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16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8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color w:val="000000"/>
          <w:sz w:val="44"/>
          <w:szCs w:val="48"/>
        </w:rPr>
        <w:t>六安市重大食品安全事件调查处置办法</w:t>
      </w:r>
    </w:p>
    <w:p w14:paraId="266AC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6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6"/>
        </w:rPr>
        <w:t>（</w:t>
      </w:r>
      <w:r>
        <w:rPr>
          <w:rFonts w:hint="eastAsia" w:ascii="Times New Roman" w:hAnsi="Times New Roman" w:eastAsia="楷体_GB2312" w:cs="楷体_GB2312"/>
          <w:color w:val="000000"/>
          <w:sz w:val="32"/>
          <w:szCs w:val="36"/>
          <w:lang w:eastAsia="zh-CN"/>
        </w:rPr>
        <w:t>征求意见</w:t>
      </w:r>
      <w:r>
        <w:rPr>
          <w:rFonts w:hint="eastAsia" w:ascii="Times New Roman" w:hAnsi="Times New Roman" w:eastAsia="楷体_GB2312" w:cs="楷体_GB2312"/>
          <w:color w:val="000000"/>
          <w:sz w:val="32"/>
          <w:szCs w:val="36"/>
        </w:rPr>
        <w:t>稿）</w:t>
      </w:r>
    </w:p>
    <w:p w14:paraId="3F07B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6"/>
        </w:rPr>
      </w:pPr>
    </w:p>
    <w:p w14:paraId="0E9CC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第一条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为进一步规范六安市重大食品安全事件（以下简称重大事件）调查处置工作，及时消除负面影响，保障公众身体健康和生命安全，根据《安徽省食品药品安全委员会关于印发〈安徽省重大食品安全事件调查处置办法〉的通知》（皖食药安委〔2025〕4号）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六安市食品药品安全委员会关于印发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&lt;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六安市食品药品安全委员会工作规则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&gt;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&lt;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六安市食品药品安全委员会成员单位主要工作职责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&gt;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的通知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（六食药安委〔2025〕1号）、《六安市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人民政府关于印发六安市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食品安全事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应急预案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的通知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》（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六政办秘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〔202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〕4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号）等有关规定，制定本办法。</w:t>
      </w:r>
    </w:p>
    <w:p w14:paraId="609D0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第二条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市食药安办负责组织、协调、指导重大事件调查处置工作。</w:t>
      </w:r>
    </w:p>
    <w:p w14:paraId="2BA59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第三条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本办法所指的重大事件，包括以下情形：</w:t>
      </w:r>
    </w:p>
    <w:p w14:paraId="1374B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（一）省食药安办转办交办的；</w:t>
      </w:r>
    </w:p>
    <w:p w14:paraId="454D6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（二）市委、市政府领导同志作出批示的；</w:t>
      </w:r>
    </w:p>
    <w:p w14:paraId="16F83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（三）经研判可能存在区域性、系统性重大食品安全风险隐患的；</w:t>
      </w:r>
    </w:p>
    <w:p w14:paraId="010B7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（四）社会广泛关注并引发敏感及以上食品安全舆情；</w:t>
      </w:r>
    </w:p>
    <w:p w14:paraId="1652E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（五）其他需要由市级层面开展调查处置的。市食药安办应针对以上情形及时启动重大事件调查处置程序，并就调查组的组成提出意见建议，报市食药安委同意后开展调查。食品安全事故调查处置按照有关规定组织实施。</w:t>
      </w:r>
    </w:p>
    <w:p w14:paraId="7558F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第四条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重大事件调查处置应当遵循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食品安全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“四个最严”要求和依法依规、实事求是、科学严谨、注重实效的原则。</w:t>
      </w:r>
    </w:p>
    <w:p w14:paraId="3F117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第五条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由市食药安办牵头组成事件调查组，调查组成员由市食药安委成员单位或相关部门派出。根据需要，也可邀请有关行业领域专家参加。</w:t>
      </w:r>
    </w:p>
    <w:p w14:paraId="26414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第六条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调查组实行组长负责制，组长一般由市食药安办负责同志担任，或委托相关部门人员担任。调查组成员在组长统一领导下开展工作。</w:t>
      </w:r>
    </w:p>
    <w:p w14:paraId="68420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第七条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调查组应当制定调查方案并充分征求调查组成员单位意见，经调查组组长批准后执行。调查方案一般包括调查工作的原则、目标、任务和分工、应当查明的问题和线索，调查步骤、方法，完成时限、措施、要求等内容。</w:t>
      </w:r>
    </w:p>
    <w:p w14:paraId="7033B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第八条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调查组负责以下工作：</w:t>
      </w:r>
    </w:p>
    <w:p w14:paraId="13C71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（一）调查事件的事实真相、发生原因，评估事件影响；</w:t>
      </w:r>
    </w:p>
    <w:p w14:paraId="00CA7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（二）监督指导涉事地监管部门追溯、控制不安全产品，开展召回、下架、封存等有关工作，防止危害蔓延扩大；</w:t>
      </w:r>
    </w:p>
    <w:p w14:paraId="6FEA6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（三）协调相关技术机构对特殊疑难问题进行检验、检测和鉴定；</w:t>
      </w:r>
    </w:p>
    <w:p w14:paraId="59CF2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（四）指导涉事地监管部门依法对违法违规行为进行行政处罚，对涉嫌犯罪的，移送公安机关；</w:t>
      </w:r>
    </w:p>
    <w:p w14:paraId="602EF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（五）认定事件性质，厘清涉事单位、部门、机构及其人员的责任，提出责任追究建议；</w:t>
      </w:r>
    </w:p>
    <w:p w14:paraId="76647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（六）调查过程中涉及食品行业及相关行业的，听取有关行业主管部门意见。涉事地食药安委要积极配合调查组开展调查处置工作。开展调查时应当避免对调查对象正常经营活动产生影响。</w:t>
      </w:r>
    </w:p>
    <w:p w14:paraId="3B279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第九条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事件调查处置过程中，市食药安办负责协调相关部门共同应对处置舆情。涉事地县区食药安委或食药安办要按照《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六安市食品安全委员会办公室转发关于印发安徽省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食品安全舆情事件应急处置工作规定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的通知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》（六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食安委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办秘〔202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号）要求，组织做好信息发布、舆论引导等工作。</w:t>
      </w:r>
    </w:p>
    <w:p w14:paraId="193DB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第十条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现场调查结束后，调查组应认真总结，形成调查报告。</w:t>
      </w:r>
    </w:p>
    <w:p w14:paraId="0EBE9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（一）由调查组组长组织起草调查报告，调查组各成员单位共同派员参加起草工作。经调查组成员签字确认后，以市食药安办文件形式报送省食药安办或市食药安委。调查报告应当包括事实真相和原因、责任追究、事件防范和整改措施等内容。</w:t>
      </w:r>
    </w:p>
    <w:p w14:paraId="4CEA8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（二）调查组成员对事件的原因、性质、责任认定、责任追究等不能取得一致意见时，应当由调查组组长进行协调，协调后调查组组长有权提出结论性意见。</w:t>
      </w:r>
    </w:p>
    <w:p w14:paraId="0A31F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（三）调查组应当在60日内完成调查并提交调查报告；特殊情况下，经市食药安办批准，期限可以适当延长，但延长的期限最长不超过60日。</w:t>
      </w:r>
    </w:p>
    <w:p w14:paraId="1A687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（四）调查报告以市食药安办文件发至涉事县（区）食药安委，抄送事件调查组成员所在单位。</w:t>
      </w:r>
    </w:p>
    <w:p w14:paraId="1B06D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第十一条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市食药安办一般应向社会公开调查处置信息，依法需要保密的内容除外。</w:t>
      </w:r>
    </w:p>
    <w:p w14:paraId="745B5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第十二条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市食药安办根据省食药安办要求或市委、市政府负责同志对调查报告的批复意见，对涉事地人民政府、部门及有关人员发出食品安全“三书一函”（《挂牌督办通知书》《约谈通知书》《整改通知书》《提醒敦促函》）；涉及市食药安委相关成员单位的，向成员单位发出《提醒敦促函》，提出具体工作要求。市食药安办根据事件情形对全市范围内或部分县（区）防范同类问题发生提出指导性意见。</w:t>
      </w:r>
    </w:p>
    <w:p w14:paraId="5AE22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第十三条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收到《挂牌督办通知书》《整改通知书》的单位应当在规定时间内上报初步处理结果或整改方案，经市食药安办审核同意后按要求开展下一步工作，并以书面形式报送整改落实情况。收到《约谈通知书》的个人应当在约谈结束后的规定时间内上报书面检查和整改方案，得到认可后按要求进行整改，并书面报送整改落实情况。收到《提醒敦促函》的单位应当在规定时间内将工作落实情况以书面形式报市食药安办。</w:t>
      </w:r>
    </w:p>
    <w:p w14:paraId="0EC50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第十四条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市食药安办自收到书面报告后的3个月内，视情组织对整改落实情况开展评估。</w:t>
      </w:r>
    </w:p>
    <w:p w14:paraId="62AC2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第十五条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对事件调查处置过程中发现涉事地食品安全责任落实不到位的，由属地党委、政府或相关部门根据调查组建议，依法依规追究有关人员责任；对处置不力造成严重不良影响或引发敏感及以上舆情的，依法依规追究有关人员责任。</w:t>
      </w:r>
    </w:p>
    <w:p w14:paraId="3F20A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第十六条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市食药安办应加强对各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县区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食品安全事件调查处置工作的督促指导，必要时可要求提级调查。</w:t>
      </w:r>
    </w:p>
    <w:p w14:paraId="3A730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第十七条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本办法由市食药安办负责解释，自印发之日起施行。</w:t>
      </w:r>
    </w:p>
    <w:p w14:paraId="66187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</w:p>
    <w:p w14:paraId="30E7B660"/>
    <w:bookmarkEnd w:id="0"/>
    <w:sectPr>
      <w:pgSz w:w="11906" w:h="16838"/>
      <w:pgMar w:top="2098" w:right="1531" w:bottom="2098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D79B65"/>
    <w:rsid w:val="6BDFB53B"/>
    <w:rsid w:val="753BBC02"/>
    <w:rsid w:val="7FDDDA5B"/>
    <w:rsid w:val="DFB25E91"/>
    <w:rsid w:val="EFD79B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qFormat/>
    <w:uiPriority w:val="0"/>
    <w:pPr>
      <w:keepNext/>
      <w:keepLines/>
      <w:widowControl w:val="0"/>
      <w:spacing w:before="280" w:after="290" w:line="376" w:lineRule="auto"/>
      <w:jc w:val="both"/>
      <w:outlineLvl w:val="3"/>
    </w:pPr>
    <w:rPr>
      <w:rFonts w:ascii="Arial" w:hAnsi="Arial" w:eastAsia="黑体" w:cs="Times New Roman"/>
      <w:b/>
      <w:bCs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221.666666666667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2026-04-10T16:50:00Z</dcterms:created>
  <dc:creator>crooked</dc:creator>
  <cp:lastModifiedBy>admin</cp:lastModifiedBy>
  <cp:lastPrinted>2026-04-11T03:44:34Z</cp:lastPrinted>
  <dcterms:modified xsi:type="dcterms:W3CDTF">2026-04-13T15:10:10Z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0FB568677C365DC7D296DC69291728A8_43</vt:lpwstr>
  </property>
</Properties>
</file>