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339E4">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jc w:val="center"/>
        <w:textAlignment w:val="auto"/>
        <w:rPr>
          <w:rFonts w:hint="eastAsia" w:ascii="方正小标宋简体" w:hAnsi="方正小标宋简体" w:eastAsia="方正小标宋简体" w:cs="方正小标宋简体"/>
          <w:snapToGrid w:val="0"/>
          <w:color w:val="000000"/>
          <w:kern w:val="2"/>
          <w:sz w:val="44"/>
          <w:szCs w:val="44"/>
          <w:vertAlign w:val="baseline"/>
          <w:lang w:val="en-US" w:eastAsia="zh-CN" w:bidi="ar-SA"/>
        </w:rPr>
      </w:pPr>
    </w:p>
    <w:p w14:paraId="3E871E2D">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jc w:val="center"/>
        <w:textAlignment w:val="auto"/>
        <w:rPr>
          <w:rFonts w:hint="eastAsia" w:ascii="方正小标宋简体" w:hAnsi="方正小标宋简体" w:eastAsia="方正小标宋简体" w:cs="方正小标宋简体"/>
          <w:snapToGrid w:val="0"/>
          <w:color w:val="000000"/>
          <w:kern w:val="2"/>
          <w:sz w:val="44"/>
          <w:szCs w:val="44"/>
          <w:vertAlign w:val="baseline"/>
          <w:lang w:val="en-US" w:eastAsia="zh-CN" w:bidi="ar-SA"/>
        </w:rPr>
      </w:pPr>
    </w:p>
    <w:p w14:paraId="727F7A40">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jc w:val="center"/>
        <w:textAlignment w:val="auto"/>
        <w:rPr>
          <w:rFonts w:hint="eastAsia" w:ascii="方正小标宋简体" w:hAnsi="方正小标宋简体" w:eastAsia="方正小标宋简体" w:cs="方正小标宋简体"/>
          <w:snapToGrid w:val="0"/>
          <w:color w:val="000000"/>
          <w:kern w:val="2"/>
          <w:sz w:val="44"/>
          <w:szCs w:val="44"/>
          <w:vertAlign w:val="baseline"/>
          <w:lang w:val="en-US" w:eastAsia="zh-CN" w:bidi="ar-SA"/>
        </w:rPr>
      </w:pPr>
      <w:r>
        <w:rPr>
          <w:rFonts w:hint="eastAsia" w:ascii="方正小标宋简体" w:hAnsi="方正小标宋简体" w:eastAsia="方正小标宋简体" w:cs="方正小标宋简体"/>
          <w:snapToGrid w:val="0"/>
          <w:color w:val="000000"/>
          <w:kern w:val="2"/>
          <w:sz w:val="44"/>
          <w:szCs w:val="44"/>
          <w:vertAlign w:val="baseline"/>
          <w:lang w:val="en-US" w:eastAsia="zh-CN" w:bidi="ar-SA"/>
        </w:rPr>
        <w:t>六安市行政复议档案管理办法</w:t>
      </w:r>
    </w:p>
    <w:p w14:paraId="4854CE7F">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jc w:val="center"/>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（征求意见稿）</w:t>
      </w:r>
    </w:p>
    <w:p w14:paraId="2D3ADE61">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黑体" w:hAnsi="黑体" w:eastAsia="黑体" w:cs="黑体"/>
          <w:snapToGrid w:val="0"/>
          <w:color w:val="000000"/>
          <w:kern w:val="2"/>
          <w:sz w:val="32"/>
          <w:szCs w:val="32"/>
          <w:vertAlign w:val="baseline"/>
          <w:lang w:val="en-US" w:eastAsia="zh-CN" w:bidi="ar-SA"/>
        </w:rPr>
      </w:pPr>
    </w:p>
    <w:p w14:paraId="3A7613A0">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第一条</w:t>
      </w:r>
      <w:r>
        <w:rPr>
          <w:rFonts w:hint="eastAsia" w:ascii="仿宋" w:hAnsi="仿宋" w:eastAsia="仿宋" w:cs="仿宋"/>
          <w:snapToGrid w:val="0"/>
          <w:color w:val="000000"/>
          <w:kern w:val="2"/>
          <w:sz w:val="32"/>
          <w:szCs w:val="32"/>
          <w:vertAlign w:val="baseline"/>
          <w:lang w:val="en-US" w:eastAsia="zh-CN" w:bidi="ar-SA"/>
        </w:rPr>
        <w:t xml:space="preserve">  为加强市本级行政复议案件档案管理，有效保护和利用行政复议案件档案，根据《中华人民共和国档案法》《中华人民共和国行政复议法》《安徽省档案条例》《安徽省行政复议案件档案管理办法》（皖司发〔2022〕12号）等有关法律法规规定，结合行政复议工作实际，制定本办法。</w:t>
      </w:r>
    </w:p>
    <w:p w14:paraId="1EFF3911">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第二条</w:t>
      </w:r>
      <w:r>
        <w:rPr>
          <w:rFonts w:hint="eastAsia" w:ascii="仿宋" w:hAnsi="仿宋" w:eastAsia="仿宋" w:cs="仿宋"/>
          <w:snapToGrid w:val="0"/>
          <w:color w:val="000000"/>
          <w:kern w:val="2"/>
          <w:sz w:val="32"/>
          <w:szCs w:val="32"/>
          <w:vertAlign w:val="baseline"/>
          <w:lang w:val="en-US" w:eastAsia="zh-CN" w:bidi="ar-SA"/>
        </w:rPr>
        <w:t xml:space="preserve">  六安市司法局办理市政府的行政复议案件档案管理适用本办法。</w:t>
      </w:r>
    </w:p>
    <w:p w14:paraId="003B183A">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本办法所称行政复议案件档案，是指在办理行政复议案件过程中形成的对国家和社会具有保存价值的各种文字、图表、声像等不同形式的历史记录。</w:t>
      </w:r>
    </w:p>
    <w:p w14:paraId="0135320E">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第三条</w:t>
      </w:r>
      <w:r>
        <w:rPr>
          <w:rFonts w:hint="eastAsia" w:ascii="仿宋" w:hAnsi="仿宋" w:eastAsia="仿宋" w:cs="仿宋"/>
          <w:snapToGrid w:val="0"/>
          <w:color w:val="000000"/>
          <w:kern w:val="2"/>
          <w:sz w:val="32"/>
          <w:szCs w:val="32"/>
          <w:vertAlign w:val="baseline"/>
          <w:lang w:val="en-US" w:eastAsia="zh-CN" w:bidi="ar-SA"/>
        </w:rPr>
        <w:t xml:space="preserve">  行政复议案件卷宗应按照“谁办理、谁收集、谁归卷”和“材料齐全、顺序规范、依事项（或人）立卷、检索编目、方便利用”的原则进行整理、归卷。</w:t>
      </w:r>
    </w:p>
    <w:p w14:paraId="661496D9">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default"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第四条</w:t>
      </w:r>
      <w:r>
        <w:rPr>
          <w:rFonts w:hint="eastAsia" w:ascii="黑体" w:hAnsi="黑体" w:cs="黑体"/>
          <w:snapToGrid w:val="0"/>
          <w:color w:val="000000"/>
          <w:kern w:val="2"/>
          <w:sz w:val="32"/>
          <w:szCs w:val="32"/>
          <w:vertAlign w:val="baseline"/>
          <w:lang w:val="en-US" w:eastAsia="zh-CN" w:bidi="ar-SA"/>
        </w:rPr>
        <w:t xml:space="preserve"> </w:t>
      </w:r>
      <w:r>
        <w:rPr>
          <w:rFonts w:hint="eastAsia" w:ascii="仿宋" w:hAnsi="仿宋" w:eastAsia="仿宋" w:cs="仿宋"/>
          <w:snapToGrid w:val="0"/>
          <w:color w:val="000000"/>
          <w:kern w:val="2"/>
          <w:sz w:val="32"/>
          <w:szCs w:val="32"/>
          <w:vertAlign w:val="baseline"/>
          <w:lang w:val="en-US" w:eastAsia="zh-CN" w:bidi="ar-SA"/>
        </w:rPr>
        <w:t xml:space="preserve"> 六安市司法局行政复议与应诉科负责市司法局行政复议案件档案的收集、整理、保管和利用等工作，并接受档案主管部门的监督和指导。市司法局办公室、行政执法协调监督科按照分工履行相关档案管理职责。</w:t>
      </w:r>
    </w:p>
    <w:p w14:paraId="4191B4E5">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第五条</w:t>
      </w:r>
      <w:r>
        <w:rPr>
          <w:rFonts w:hint="eastAsia" w:ascii="仿宋" w:hAnsi="仿宋" w:eastAsia="仿宋" w:cs="仿宋"/>
          <w:snapToGrid w:val="0"/>
          <w:color w:val="000000"/>
          <w:kern w:val="2"/>
          <w:sz w:val="32"/>
          <w:szCs w:val="32"/>
          <w:vertAlign w:val="baseline"/>
          <w:lang w:val="en-US" w:eastAsia="zh-CN" w:bidi="ar-SA"/>
        </w:rPr>
        <w:t xml:space="preserve">  行政复议与应诉科应当明确专门工作人员负责档案具体工作，持续完善卷宗的整理、归卷工作。</w:t>
      </w:r>
    </w:p>
    <w:p w14:paraId="380AAEE4">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w:t>
      </w:r>
      <w:r>
        <w:rPr>
          <w:rFonts w:hint="eastAsia" w:ascii="黑体" w:hAnsi="黑体" w:cs="黑体"/>
          <w:snapToGrid w:val="0"/>
          <w:color w:val="000000"/>
          <w:kern w:val="2"/>
          <w:sz w:val="32"/>
          <w:szCs w:val="32"/>
          <w:vertAlign w:val="baseline"/>
          <w:lang w:val="en-US" w:eastAsia="zh-CN" w:bidi="ar-SA"/>
        </w:rPr>
        <w:t>六</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行政复议档案应放置在专门的档案管理场所。</w:t>
      </w:r>
    </w:p>
    <w:p w14:paraId="6C9D391D">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市司法局应当设置符合安全保管条件的档案库房，安装全封闭防盗门窗、遮光阻燃窗帘、防护栏等防护设施，配备符合国家规定的密闭五节柜、密集架、光盘柜、底图柜等档案装具。</w:t>
      </w:r>
    </w:p>
    <w:p w14:paraId="7FCF113A">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w:t>
      </w:r>
      <w:r>
        <w:rPr>
          <w:rFonts w:hint="eastAsia" w:ascii="黑体" w:hAnsi="黑体" w:cs="黑体"/>
          <w:snapToGrid w:val="0"/>
          <w:color w:val="000000"/>
          <w:kern w:val="2"/>
          <w:sz w:val="32"/>
          <w:szCs w:val="32"/>
          <w:vertAlign w:val="baseline"/>
          <w:lang w:val="en-US" w:eastAsia="zh-CN" w:bidi="ar-SA"/>
        </w:rPr>
        <w:t>七</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文件材料形成时，应当采用耐久、可靠、满足长期保存需求的记录载体和记录方式。</w:t>
      </w:r>
    </w:p>
    <w:p w14:paraId="4034EC2A">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归档文件材料应当真实、准确、系统，文件材料组件齐全，内容完整。</w:t>
      </w:r>
    </w:p>
    <w:p w14:paraId="502F5BD1">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w:t>
      </w:r>
      <w:r>
        <w:rPr>
          <w:rFonts w:hint="eastAsia" w:ascii="黑体" w:hAnsi="黑体" w:cs="黑体"/>
          <w:snapToGrid w:val="0"/>
          <w:color w:val="000000"/>
          <w:kern w:val="2"/>
          <w:sz w:val="32"/>
          <w:szCs w:val="32"/>
          <w:vertAlign w:val="baseline"/>
          <w:lang w:val="en-US" w:eastAsia="zh-CN" w:bidi="ar-SA"/>
        </w:rPr>
        <w:t>八</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文件材料归档工作实行承办人负责制。承办人应当按照归档范围做好收集工作，在行政复议案件终结后按立卷方法和整理规则进行整理归档。</w:t>
      </w:r>
    </w:p>
    <w:p w14:paraId="45E9A3EC">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default"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w:t>
      </w:r>
      <w:r>
        <w:rPr>
          <w:rFonts w:hint="eastAsia" w:ascii="黑体" w:hAnsi="黑体" w:cs="黑体"/>
          <w:snapToGrid w:val="0"/>
          <w:color w:val="000000"/>
          <w:kern w:val="2"/>
          <w:sz w:val="32"/>
          <w:szCs w:val="32"/>
          <w:vertAlign w:val="baseline"/>
          <w:lang w:val="en-US" w:eastAsia="zh-CN" w:bidi="ar-SA"/>
        </w:rPr>
        <w:t>九</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行政复议案件档案应加强电子化建设，按照有关要求对纸质材料进行电子扫描并存档。</w:t>
      </w:r>
    </w:p>
    <w:p w14:paraId="4F96783D">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在办理过程中形成的电子文件，依照《电子文件归档与电子档案管理规范》（GB/T18894）执行，并与纸质文件材料一并归档。</w:t>
      </w:r>
    </w:p>
    <w:p w14:paraId="5BCB02BC">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案件中形成的照片、录音、录像实物等应按照相关标准规范单独整理归档，并与相对应的案件文件材料建立互见号。</w:t>
      </w:r>
    </w:p>
    <w:p w14:paraId="3E97B963">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第十条</w:t>
      </w:r>
      <w:r>
        <w:rPr>
          <w:rFonts w:hint="eastAsia" w:ascii="仿宋" w:hAnsi="仿宋" w:eastAsia="仿宋" w:cs="仿宋"/>
          <w:snapToGrid w:val="0"/>
          <w:color w:val="000000"/>
          <w:kern w:val="2"/>
          <w:sz w:val="32"/>
          <w:szCs w:val="32"/>
          <w:vertAlign w:val="baseline"/>
          <w:lang w:val="en-US" w:eastAsia="zh-CN" w:bidi="ar-SA"/>
        </w:rPr>
        <w:t xml:space="preserve"> 行政复议案件档案采用“年度一保管期限”分类方法进行分类。年度为行政复议案件审理结案年度。受理的行政复议案件文件材料按照结论文件材料、申请人文件材料、被申请人文件材料、第三人文件材料、审理过程文件材料进行排列。未受理行政复议案件文件材料按照结论文件材料、申请人文件材料、审理过程文件材料进行排列。</w:t>
      </w:r>
    </w:p>
    <w:p w14:paraId="15608475">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行政复议监督案件文件材料按照结论文件材料、申请人文件材料、被申请人文件材料、审理过程文件材料进行排列。</w:t>
      </w:r>
    </w:p>
    <w:p w14:paraId="76BB21D8">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第十</w:t>
      </w:r>
      <w:r>
        <w:rPr>
          <w:rFonts w:hint="eastAsia" w:ascii="黑体" w:hAnsi="黑体" w:cs="黑体"/>
          <w:snapToGrid w:val="0"/>
          <w:color w:val="000000"/>
          <w:kern w:val="2"/>
          <w:sz w:val="32"/>
          <w:szCs w:val="32"/>
          <w:vertAlign w:val="baseline"/>
          <w:lang w:val="en-US" w:eastAsia="zh-CN" w:bidi="ar-SA"/>
        </w:rPr>
        <w:t>一</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行政复议案件文件材料一般以立卷形式整理归档，根据案件材料保密需要，可以分正卷和副卷，并按照一案一号的原则，统一编制案卷号。正卷是行政复议案件审理中形成的可对外公开的文书材料，副卷是行政复议机关内部运转形成的不宜公开的文书材料。</w:t>
      </w:r>
      <w:bookmarkStart w:id="0" w:name="_GoBack"/>
      <w:bookmarkEnd w:id="0"/>
    </w:p>
    <w:p w14:paraId="7D633D42">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不予受理行政复议申请案件（不予受理、告知、转送、撤回、逾期不补正等）、行政复议监督案件档案实行一卷制，不分正副卷。</w:t>
      </w:r>
    </w:p>
    <w:p w14:paraId="62D2ADAE">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其它形成的行政复议案卷（行政复议答复、行政复议决定应诉等），可以将一个案卷视为一件，编制归档文件目录，并在备注中说明。</w:t>
      </w:r>
    </w:p>
    <w:p w14:paraId="20E711C9">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第十</w:t>
      </w:r>
      <w:r>
        <w:rPr>
          <w:rFonts w:hint="eastAsia" w:ascii="黑体" w:hAnsi="黑体" w:cs="黑体"/>
          <w:snapToGrid w:val="0"/>
          <w:color w:val="000000"/>
          <w:kern w:val="2"/>
          <w:sz w:val="32"/>
          <w:szCs w:val="32"/>
          <w:vertAlign w:val="baseline"/>
          <w:lang w:val="en-US" w:eastAsia="zh-CN" w:bidi="ar-SA"/>
        </w:rPr>
        <w:t>二</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行政复议机构应当根据行政复议工作保密事项范围和有关主管部门保密事项范围的规定确定密级和保密期限。凡未标明保密期限的，按照绝密级30年、机密级20年，秘密级10年认定。</w:t>
      </w:r>
    </w:p>
    <w:p w14:paraId="13CA1135">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行政复议案件档案的密级及其保密期限，按卷内文件的最高密级及其保密期限确定。保密期限届满，即自行解密。因工作需要提前或者推迟解密的，由行政复议与应诉科向本机关保密工作部门按解密程序申请办理。</w:t>
      </w:r>
    </w:p>
    <w:p w14:paraId="6FEEC614">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第十</w:t>
      </w:r>
      <w:r>
        <w:rPr>
          <w:rFonts w:hint="eastAsia" w:ascii="黑体" w:hAnsi="黑体" w:cs="黑体"/>
          <w:snapToGrid w:val="0"/>
          <w:color w:val="000000"/>
          <w:kern w:val="2"/>
          <w:sz w:val="32"/>
          <w:szCs w:val="32"/>
          <w:vertAlign w:val="baseline"/>
          <w:lang w:val="en-US" w:eastAsia="zh-CN" w:bidi="ar-SA"/>
        </w:rPr>
        <w:t>三</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行政复议案件文件材料按案件立卷，通常一案一卷，文件材料多的可一卷多册。不同案件的行政复议文件材料不得合并立卷。行政复议案件较少的单位，可将行政复议案件文件材料纳入文书档案按《归档文件整理规则》（DA/T22）进行整理。</w:t>
      </w:r>
    </w:p>
    <w:p w14:paraId="0CBBEAC4">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案卷包括卷皮、卷内目录和备考表。采用软卷皮“三孔一线”的装订方式装订，材料过多时可一卷数册，根据档案厚度合理设置页数，并在备考表中注明。案卷装订后，在案卷封底装订线上贴上封条并加盖骑缝章，装盒保管。</w:t>
      </w:r>
    </w:p>
    <w:p w14:paraId="760FE739">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行政复议案件档案，除封面、卷内目录、备考表外，一律使用阿拉伯数字逐页编号。每册从“1”开始，分册之间不连续编页号。正面编在右上角，反面编在左上角，无字页面不编号。声像材料在声像盒的脊背处逐件编号。</w:t>
      </w:r>
    </w:p>
    <w:p w14:paraId="70ADE754">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第十</w:t>
      </w:r>
      <w:r>
        <w:rPr>
          <w:rFonts w:hint="eastAsia" w:ascii="黑体" w:hAnsi="黑体" w:cs="黑体"/>
          <w:snapToGrid w:val="0"/>
          <w:color w:val="000000"/>
          <w:kern w:val="2"/>
          <w:sz w:val="32"/>
          <w:szCs w:val="32"/>
          <w:vertAlign w:val="baseline"/>
          <w:lang w:val="en-US" w:eastAsia="zh-CN" w:bidi="ar-SA"/>
        </w:rPr>
        <w:t>四</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行政复议案件档案的保管期限分为永久和定期两种，其中，定期分为30年和10年。</w:t>
      </w:r>
    </w:p>
    <w:p w14:paraId="43D62D0D">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（一）永久保管的档案，是指涉及房屋、土地、矿藏、水流、森林、山岭、草原、荒地、滩涂、海域等自然资源使用权、所有权及其他需要永久保管的案件。</w:t>
      </w:r>
    </w:p>
    <w:p w14:paraId="759444D0">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（二）保管30年的档案，是指涉及民族、宗教内容的案件作出撤销、变更或者确认原具体行政行为违法行政复议决定的案件，涉外行政复议案件，具有代表性、典型性、群体性，在社会上产生重大影响的案件。</w:t>
      </w:r>
    </w:p>
    <w:p w14:paraId="6B4301E5">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三）保管10年的档案，是指社会影响不大、利益冲突较小、作出维持原具体行政行为行政复议决定的案件，未造成重大损害后果的行政不作为案件，驳回行政复议申请和行政复议终止的案件，不予受理行政复议申请的案件，行政复议调解生效的案件，其他适用于定期保管的案件。</w:t>
      </w:r>
    </w:p>
    <w:p w14:paraId="61A82A85">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行政复议与应诉科负责划定行政复议案件档案的保管期限。行政复议案件档案的保管期限自案件结案后的下一个年度开始计算。</w:t>
      </w:r>
    </w:p>
    <w:p w14:paraId="5309BA16">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第十</w:t>
      </w:r>
      <w:r>
        <w:rPr>
          <w:rFonts w:hint="eastAsia" w:ascii="黑体" w:hAnsi="黑体" w:cs="黑体"/>
          <w:snapToGrid w:val="0"/>
          <w:color w:val="000000"/>
          <w:kern w:val="2"/>
          <w:sz w:val="32"/>
          <w:szCs w:val="32"/>
          <w:vertAlign w:val="baseline"/>
          <w:lang w:val="en-US" w:eastAsia="zh-CN" w:bidi="ar-SA"/>
        </w:rPr>
        <w:t>五</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行政复议案件档案案卷封面设置全宗名称、专业类别名称、案由、当事人（申请人、被申请人、第三人）、受理日期、结案日期、承办人员、复议结果、归档日期、保管期限、档号等项目。</w:t>
      </w:r>
    </w:p>
    <w:p w14:paraId="59CC75BE">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第十</w:t>
      </w:r>
      <w:r>
        <w:rPr>
          <w:rFonts w:hint="eastAsia" w:ascii="黑体" w:hAnsi="黑体" w:cs="黑体"/>
          <w:snapToGrid w:val="0"/>
          <w:color w:val="000000"/>
          <w:kern w:val="2"/>
          <w:sz w:val="32"/>
          <w:szCs w:val="32"/>
          <w:vertAlign w:val="baseline"/>
          <w:lang w:val="en-US" w:eastAsia="zh-CN" w:bidi="ar-SA"/>
        </w:rPr>
        <w:t>六</w:t>
      </w:r>
      <w:r>
        <w:rPr>
          <w:rFonts w:hint="eastAsia" w:ascii="黑体" w:hAnsi="黑体" w:eastAsia="黑体" w:cs="黑体"/>
          <w:snapToGrid w:val="0"/>
          <w:color w:val="000000"/>
          <w:kern w:val="2"/>
          <w:sz w:val="32"/>
          <w:szCs w:val="32"/>
          <w:vertAlign w:val="baseline"/>
          <w:lang w:val="en-US" w:eastAsia="zh-CN" w:bidi="ar-SA"/>
        </w:rPr>
        <w:t xml:space="preserve">条 </w:t>
      </w:r>
      <w:r>
        <w:rPr>
          <w:rFonts w:hint="eastAsia" w:ascii="仿宋" w:hAnsi="仿宋" w:eastAsia="仿宋" w:cs="仿宋"/>
          <w:snapToGrid w:val="0"/>
          <w:color w:val="000000"/>
          <w:kern w:val="2"/>
          <w:sz w:val="32"/>
          <w:szCs w:val="32"/>
          <w:vertAlign w:val="baseline"/>
          <w:lang w:val="en-US" w:eastAsia="zh-CN" w:bidi="ar-SA"/>
        </w:rPr>
        <w:t xml:space="preserve"> 行政复议案件档案卷内文件目录设置序号、档号、文件编号、责任者、文件题名、日期、页码、密级、备注等项目。</w:t>
      </w:r>
    </w:p>
    <w:p w14:paraId="070DC4E2">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第十</w:t>
      </w:r>
      <w:r>
        <w:rPr>
          <w:rFonts w:hint="eastAsia" w:ascii="黑体" w:hAnsi="黑体" w:cs="黑体"/>
          <w:snapToGrid w:val="0"/>
          <w:color w:val="000000"/>
          <w:kern w:val="2"/>
          <w:sz w:val="32"/>
          <w:szCs w:val="32"/>
          <w:vertAlign w:val="baseline"/>
          <w:lang w:val="en-US" w:eastAsia="zh-CN" w:bidi="ar-SA"/>
        </w:rPr>
        <w:t>七</w:t>
      </w:r>
      <w:r>
        <w:rPr>
          <w:rFonts w:hint="eastAsia" w:ascii="黑体" w:hAnsi="黑体" w:eastAsia="黑体" w:cs="黑体"/>
          <w:snapToGrid w:val="0"/>
          <w:color w:val="000000"/>
          <w:kern w:val="2"/>
          <w:sz w:val="32"/>
          <w:szCs w:val="32"/>
          <w:vertAlign w:val="baseline"/>
          <w:lang w:val="en-US" w:eastAsia="zh-CN" w:bidi="ar-SA"/>
        </w:rPr>
        <w:t>条</w:t>
      </w:r>
      <w:r>
        <w:rPr>
          <w:rFonts w:hint="eastAsia" w:ascii="黑体" w:hAnsi="黑体" w:cs="黑体"/>
          <w:snapToGrid w:val="0"/>
          <w:color w:val="000000"/>
          <w:kern w:val="2"/>
          <w:sz w:val="32"/>
          <w:szCs w:val="32"/>
          <w:vertAlign w:val="baseline"/>
          <w:lang w:val="en-US" w:eastAsia="zh-CN" w:bidi="ar-SA"/>
        </w:rPr>
        <w:t xml:space="preserve"> </w:t>
      </w:r>
      <w:r>
        <w:rPr>
          <w:rFonts w:hint="eastAsia" w:ascii="仿宋" w:hAnsi="仿宋" w:eastAsia="仿宋" w:cs="仿宋"/>
          <w:snapToGrid w:val="0"/>
          <w:color w:val="000000"/>
          <w:kern w:val="2"/>
          <w:sz w:val="32"/>
          <w:szCs w:val="32"/>
          <w:vertAlign w:val="baseline"/>
          <w:lang w:val="en-US" w:eastAsia="zh-CN" w:bidi="ar-SA"/>
        </w:rPr>
        <w:t>行政复议案件档案应当在案件结案后的3个月内整理完毕，在第二年6月底前向负责档案具体工作的部门移交。</w:t>
      </w:r>
    </w:p>
    <w:p w14:paraId="538EAFA3">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w:t>
      </w:r>
      <w:r>
        <w:rPr>
          <w:rFonts w:hint="eastAsia" w:ascii="黑体" w:hAnsi="黑体" w:cs="黑体"/>
          <w:snapToGrid w:val="0"/>
          <w:color w:val="000000"/>
          <w:kern w:val="2"/>
          <w:sz w:val="32"/>
          <w:szCs w:val="32"/>
          <w:vertAlign w:val="baseline"/>
          <w:lang w:val="en-US" w:eastAsia="zh-CN" w:bidi="ar-SA"/>
        </w:rPr>
        <w:t>十八</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行政复议与应诉科应当做好档案防火、防盗、防紫外线、防有害生物、防水、防潮、防尘、防高温、防污染等防护工作。库房温度应当符合《档案馆建筑设计规范》（JGJ25）规定。</w:t>
      </w:r>
    </w:p>
    <w:p w14:paraId="28508797">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w:t>
      </w:r>
      <w:r>
        <w:rPr>
          <w:rFonts w:hint="eastAsia" w:ascii="黑体" w:hAnsi="黑体" w:cs="黑体"/>
          <w:snapToGrid w:val="0"/>
          <w:color w:val="000000"/>
          <w:kern w:val="2"/>
          <w:sz w:val="32"/>
          <w:szCs w:val="32"/>
          <w:vertAlign w:val="baseline"/>
          <w:lang w:val="en-US" w:eastAsia="zh-CN" w:bidi="ar-SA"/>
        </w:rPr>
        <w:t>十九</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行政复议与应诉科对保管期限届满的行政复议案件档案应当按照《机关档案管理规定》（国家档案局第13号）及时进行鉴定并形成鉴定报告。根据档案的保存价值，确定继续保存和销毁的档案。继续保存的档案，应当重新划定保管期限并做出标注。确定销毁的档案应清点核对并编制档案销毁清册，报请本单位负责人批准后，按照有关规定销毁，销毁清册永久保存。</w:t>
      </w:r>
    </w:p>
    <w:p w14:paraId="03C21391">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第二十条</w:t>
      </w:r>
      <w:r>
        <w:rPr>
          <w:rFonts w:hint="eastAsia" w:ascii="黑体" w:hAnsi="黑体" w:cs="黑体"/>
          <w:snapToGrid w:val="0"/>
          <w:color w:val="000000"/>
          <w:kern w:val="2"/>
          <w:sz w:val="32"/>
          <w:szCs w:val="32"/>
          <w:vertAlign w:val="baseline"/>
          <w:lang w:val="en-US" w:eastAsia="zh-CN" w:bidi="ar-SA"/>
        </w:rPr>
        <w:t xml:space="preserve">  </w:t>
      </w:r>
      <w:r>
        <w:rPr>
          <w:rFonts w:hint="eastAsia" w:ascii="仿宋" w:hAnsi="仿宋" w:eastAsia="仿宋" w:cs="仿宋"/>
          <w:snapToGrid w:val="0"/>
          <w:color w:val="000000"/>
          <w:kern w:val="2"/>
          <w:sz w:val="32"/>
          <w:szCs w:val="32"/>
          <w:vertAlign w:val="baseline"/>
          <w:lang w:val="en-US" w:eastAsia="zh-CN" w:bidi="ar-SA"/>
        </w:rPr>
        <w:t>行政复议案件档案通常以数字副本代替原件提供利用。利用者应当确保所利用档案的安全和保密，不得擅自转借档案、不得折叠、剪贴、抽取、拆散档案、不得涂改、圈划、批注、污损档案。</w:t>
      </w:r>
    </w:p>
    <w:p w14:paraId="3C0122D4">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六安市司法局以外的单位查阅复制行政复议案件档案，案件当事人或者其代理律师查阅复制已经归档的行政复议案件档案，按照规定办理查阅复制手续。</w:t>
      </w:r>
    </w:p>
    <w:p w14:paraId="1593C208">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六安市司法局以外的单位调借行政复议案件档案，应当凭调卷函件，经分管负责人批准后，办理调借手续。调借的</w:t>
      </w:r>
    </w:p>
    <w:p w14:paraId="3681B81F">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仿宋" w:hAnsi="仿宋" w:eastAsia="仿宋" w:cs="仿宋"/>
          <w:snapToGrid w:val="0"/>
          <w:color w:val="000000"/>
          <w:kern w:val="2"/>
          <w:sz w:val="32"/>
          <w:szCs w:val="32"/>
          <w:vertAlign w:val="baseline"/>
          <w:lang w:val="en-US" w:eastAsia="zh-CN" w:bidi="ar-SA"/>
        </w:rPr>
        <w:t>档案，不得转借其他单位或者其他人员使用。</w:t>
      </w:r>
    </w:p>
    <w:p w14:paraId="4E22D860">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第二十</w:t>
      </w:r>
      <w:r>
        <w:rPr>
          <w:rFonts w:hint="eastAsia" w:ascii="黑体" w:hAnsi="黑体" w:cs="黑体"/>
          <w:snapToGrid w:val="0"/>
          <w:color w:val="000000"/>
          <w:kern w:val="2"/>
          <w:sz w:val="32"/>
          <w:szCs w:val="32"/>
          <w:vertAlign w:val="baseline"/>
          <w:lang w:val="en-US" w:eastAsia="zh-CN" w:bidi="ar-SA"/>
        </w:rPr>
        <w:t>一</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行政复议与应诉可应当加强档案信息化工作，及时将案件档案卷宗材料录入全国行政复议与应诉工作平台。</w:t>
      </w:r>
    </w:p>
    <w:p w14:paraId="5241AC40">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第二十</w:t>
      </w:r>
      <w:r>
        <w:rPr>
          <w:rFonts w:hint="eastAsia" w:ascii="黑体" w:hAnsi="黑体" w:cs="黑体"/>
          <w:snapToGrid w:val="0"/>
          <w:color w:val="000000"/>
          <w:kern w:val="2"/>
          <w:sz w:val="32"/>
          <w:szCs w:val="32"/>
          <w:vertAlign w:val="baseline"/>
          <w:lang w:val="en-US" w:eastAsia="zh-CN" w:bidi="ar-SA"/>
        </w:rPr>
        <w:t>二</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违反有关法律法规规定，造成行政复议档案毁损、丢失、泄密或伪造、篡改、买卖档案的，依法追究相关人员责任。构成犯罪的，依法追究刑事责任。</w:t>
      </w:r>
    </w:p>
    <w:p w14:paraId="7142E969">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Lines="0" w:line="520" w:lineRule="exact"/>
        <w:ind w:right="0" w:firstLine="640" w:firstLineChars="200"/>
        <w:jc w:val="both"/>
        <w:textAlignment w:val="auto"/>
        <w:rPr>
          <w:rFonts w:hint="eastAsia" w:ascii="仿宋" w:hAnsi="仿宋" w:eastAsia="仿宋" w:cs="仿宋"/>
          <w:snapToGrid w:val="0"/>
          <w:color w:val="000000"/>
          <w:kern w:val="2"/>
          <w:sz w:val="32"/>
          <w:szCs w:val="32"/>
          <w:vertAlign w:val="baseline"/>
          <w:lang w:val="en-US" w:eastAsia="zh-CN" w:bidi="ar-SA"/>
        </w:rPr>
      </w:pPr>
      <w:r>
        <w:rPr>
          <w:rFonts w:hint="eastAsia" w:ascii="黑体" w:hAnsi="黑体" w:eastAsia="黑体" w:cs="黑体"/>
          <w:snapToGrid w:val="0"/>
          <w:color w:val="000000"/>
          <w:kern w:val="2"/>
          <w:sz w:val="32"/>
          <w:szCs w:val="32"/>
          <w:vertAlign w:val="baseline"/>
          <w:lang w:val="en-US" w:eastAsia="zh-CN" w:bidi="ar-SA"/>
        </w:rPr>
        <w:t>第二十</w:t>
      </w:r>
      <w:r>
        <w:rPr>
          <w:rFonts w:hint="eastAsia" w:ascii="黑体" w:hAnsi="黑体" w:cs="黑体"/>
          <w:snapToGrid w:val="0"/>
          <w:color w:val="000000"/>
          <w:kern w:val="2"/>
          <w:sz w:val="32"/>
          <w:szCs w:val="32"/>
          <w:vertAlign w:val="baseline"/>
          <w:lang w:val="en-US" w:eastAsia="zh-CN" w:bidi="ar-SA"/>
        </w:rPr>
        <w:t>三</w:t>
      </w:r>
      <w:r>
        <w:rPr>
          <w:rFonts w:hint="eastAsia" w:ascii="黑体" w:hAnsi="黑体" w:eastAsia="黑体" w:cs="黑体"/>
          <w:snapToGrid w:val="0"/>
          <w:color w:val="000000"/>
          <w:kern w:val="2"/>
          <w:sz w:val="32"/>
          <w:szCs w:val="32"/>
          <w:vertAlign w:val="baseline"/>
          <w:lang w:val="en-US" w:eastAsia="zh-CN" w:bidi="ar-SA"/>
        </w:rPr>
        <w:t>条</w:t>
      </w:r>
      <w:r>
        <w:rPr>
          <w:rFonts w:hint="eastAsia" w:ascii="仿宋" w:hAnsi="仿宋" w:eastAsia="仿宋" w:cs="仿宋"/>
          <w:snapToGrid w:val="0"/>
          <w:color w:val="000000"/>
          <w:kern w:val="2"/>
          <w:sz w:val="32"/>
          <w:szCs w:val="32"/>
          <w:vertAlign w:val="baseline"/>
          <w:lang w:val="en-US" w:eastAsia="zh-CN" w:bidi="ar-SA"/>
        </w:rPr>
        <w:t xml:space="preserve"> 本办法自印发之日起施行。</w:t>
      </w:r>
    </w:p>
    <w:p w14:paraId="10A31BB6">
      <w:pPr>
        <w:keepNext w:val="0"/>
        <w:keepLines w:val="0"/>
        <w:pageBreakBefore w:val="0"/>
        <w:widowControl/>
        <w:kinsoku/>
        <w:wordWrap/>
        <w:overflowPunct/>
        <w:topLinePunct w:val="0"/>
        <w:autoSpaceDE/>
        <w:autoSpaceDN/>
        <w:bidi w:val="0"/>
        <w:adjustRightInd w:val="0"/>
        <w:snapToGrid w:val="0"/>
        <w:spacing w:line="520" w:lineRule="exact"/>
        <w:textAlignment w:val="auto"/>
        <w:rPr>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E3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5B67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95B67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017A0"/>
    <w:multiLevelType w:val="multilevel"/>
    <w:tmpl w:val="84C017A0"/>
    <w:lvl w:ilvl="0" w:tentative="0">
      <w:start w:val="1"/>
      <w:numFmt w:val="decimal"/>
      <w:pStyle w:val="7"/>
      <w:lvlText w:val="图%1"/>
      <w:lvlJc w:val="center"/>
      <w:pPr>
        <w:ind w:left="4956" w:hanging="420"/>
      </w:pPr>
      <w:rPr>
        <w:rFonts w:hint="default" w:ascii="宋体" w:hAnsi="宋体" w:eastAsia="宋体" w:cs="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E285A"/>
    <w:rsid w:val="01350605"/>
    <w:rsid w:val="03C32D8A"/>
    <w:rsid w:val="04277401"/>
    <w:rsid w:val="067601CC"/>
    <w:rsid w:val="0AE47DFA"/>
    <w:rsid w:val="0CAF2B73"/>
    <w:rsid w:val="124E2606"/>
    <w:rsid w:val="15B32036"/>
    <w:rsid w:val="163B421B"/>
    <w:rsid w:val="163E5E46"/>
    <w:rsid w:val="17C9776C"/>
    <w:rsid w:val="1D631052"/>
    <w:rsid w:val="1E5170FD"/>
    <w:rsid w:val="1FB14102"/>
    <w:rsid w:val="209E05F3"/>
    <w:rsid w:val="26E16C22"/>
    <w:rsid w:val="272F71A1"/>
    <w:rsid w:val="27461D50"/>
    <w:rsid w:val="2DB567C9"/>
    <w:rsid w:val="2EC761BC"/>
    <w:rsid w:val="2FE0203A"/>
    <w:rsid w:val="32887721"/>
    <w:rsid w:val="34AC5C0D"/>
    <w:rsid w:val="38DC224A"/>
    <w:rsid w:val="3C31334C"/>
    <w:rsid w:val="3E684D25"/>
    <w:rsid w:val="473E357A"/>
    <w:rsid w:val="50096F88"/>
    <w:rsid w:val="50854339"/>
    <w:rsid w:val="545219F0"/>
    <w:rsid w:val="5C4B2913"/>
    <w:rsid w:val="5CBF10FA"/>
    <w:rsid w:val="60B62814"/>
    <w:rsid w:val="622A33AB"/>
    <w:rsid w:val="625C1DB5"/>
    <w:rsid w:val="63E7415B"/>
    <w:rsid w:val="63FE1D11"/>
    <w:rsid w:val="643E4FFA"/>
    <w:rsid w:val="65DC4ACB"/>
    <w:rsid w:val="68B8348C"/>
    <w:rsid w:val="6FAE285A"/>
    <w:rsid w:val="73A40BF2"/>
    <w:rsid w:val="75ED062E"/>
    <w:rsid w:val="7A4054E8"/>
    <w:rsid w:val="7A4F6721"/>
    <w:rsid w:val="7AA37803"/>
    <w:rsid w:val="7C5E5AE2"/>
    <w:rsid w:val="7D16045E"/>
    <w:rsid w:val="7D6F2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before="50" w:beforeLines="50" w:line="360" w:lineRule="auto"/>
      <w:ind w:firstLine="560" w:firstLineChars="200"/>
    </w:pPr>
    <w:rPr>
      <w:rFonts w:ascii="宋体" w:hAnsi="宋体" w:eastAsia="宋体" w:cstheme="minorBidi"/>
      <w:snapToGrid w:val="0"/>
      <w:kern w:val="2"/>
      <w:sz w:val="24"/>
      <w:szCs w:val="22"/>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ascii="Calibri Light" w:hAnsi="Calibri Light" w:eastAsia="黑体" w:cs="Times New Roman"/>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A图注"/>
    <w:basedOn w:val="8"/>
    <w:qFormat/>
    <w:uiPriority w:val="0"/>
    <w:pPr>
      <w:numPr>
        <w:ilvl w:val="0"/>
        <w:numId w:val="1"/>
      </w:numPr>
    </w:pPr>
    <w:rPr>
      <w:rFonts w:eastAsia="黑体"/>
      <w:sz w:val="18"/>
      <w:szCs w:val="18"/>
    </w:rPr>
  </w:style>
  <w:style w:type="paragraph" w:customStyle="1" w:styleId="8">
    <w:name w:val="A：图表题注"/>
    <w:basedOn w:val="2"/>
    <w:qFormat/>
    <w:uiPriority w:val="0"/>
    <w:pPr>
      <w:spacing w:before="163"/>
      <w:ind w:firstLine="0" w:firstLineChars="0"/>
      <w:jc w:val="center"/>
    </w:pPr>
    <w:rPr>
      <w:rFonts w:ascii="宋体" w:hAnsi="宋体" w:eastAsia="宋体"/>
      <w:snapToGrid/>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2940</Words>
  <Characters>2969</Characters>
  <Lines>0</Lines>
  <Paragraphs>0</Paragraphs>
  <TotalTime>4</TotalTime>
  <ScaleCrop>false</ScaleCrop>
  <LinksUpToDate>false</LinksUpToDate>
  <CharactersWithSpaces>3000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2025-01-13T08:01:00Z</dcterms:created>
  <dc:creator>陈绍鹏</dc:creator>
  <cp:lastModifiedBy>陈绍鹏</cp:lastModifiedBy>
  <dcterms:modified xsi:type="dcterms:W3CDTF">2025-02-25T08:57:25Z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7AB21915EF4C4CD2A9BDDB2C47BD8003_11</vt:lpwstr>
  </property>
  <property fmtid="{D5CDD505-2E9C-101B-9397-08002B2CF9AE}" pid="4" name="KSOTemplateDocerSaveRecord">
    <vt:lpwstr>eyJoZGlkIjoiZGI2NWYzNWIwZDU4ZTNkNDE3YjIzZDQxODMzMGY2ZmUiLCJ1c2VySWQiOiIzNTAxMzAwMjgifQ==</vt:lpwstr>
  </property>
</Properties>
</file>