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B6967">
      <w:pPr>
        <w:widowControl/>
        <w:shd w:val="clear" w:color="auto" w:fill="FFFFFF"/>
        <w:spacing w:line="560" w:lineRule="exact"/>
        <w:ind w:firstLine="420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  <w:t>六安市人民政府2024年</w:t>
      </w:r>
    </w:p>
    <w:p w14:paraId="59778E9D">
      <w:pPr>
        <w:widowControl/>
        <w:shd w:val="clear" w:color="auto" w:fill="FFFFFF"/>
        <w:spacing w:line="560" w:lineRule="exact"/>
        <w:ind w:firstLine="420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  <w:t>政府信息公开工作年度报告</w:t>
      </w:r>
    </w:p>
    <w:p w14:paraId="25B4E749">
      <w:pPr>
        <w:widowControl/>
        <w:shd w:val="clear" w:color="auto" w:fill="FFFFFF"/>
        <w:spacing w:line="560" w:lineRule="exact"/>
        <w:ind w:firstLine="420"/>
        <w:rPr>
          <w:rFonts w:ascii="宋体" w:hAnsi="宋体" w:eastAsia="宋体" w:cs="宋体"/>
          <w:b/>
          <w:kern w:val="0"/>
          <w:sz w:val="24"/>
          <w:shd w:val="clear" w:color="auto" w:fill="FFFFFF"/>
        </w:rPr>
      </w:pPr>
    </w:p>
    <w:p w14:paraId="074D0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Calibri" w:cs="仿宋_GB2312"/>
          <w:szCs w:val="32"/>
          <w:shd w:val="clear" w:color="auto" w:fill="FFFFFF"/>
        </w:rPr>
      </w:pPr>
      <w:r>
        <w:rPr>
          <w:rFonts w:ascii="仿宋_GB2312" w:hAnsi="Calibri" w:cs="仿宋_GB2312"/>
          <w:szCs w:val="32"/>
          <w:shd w:val="clear" w:color="auto" w:fill="FFFFFF"/>
        </w:rPr>
        <w:t>本报告依据《中华人民共和国政府信息公开条例》（国务院令第711号）《国务院办公厅政府信息与政务公开办公室关于印发〈中华人民共和国政府信息公开工作年度报告格式〉的通知》（国办公开办函〔2021〕30号）要求，编制本报告。报告中使用数据统计期限为2024年1月1日至12月31日。如对本报告有疑问，请与六安市人民政府办公室（政务公开科）联系（地址：六安市行政中心7号楼408室，电话：0564--3379080）。</w:t>
      </w:r>
    </w:p>
    <w:p w14:paraId="7C1E108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Cs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kern w:val="0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Cs/>
          <w:kern w:val="0"/>
          <w:szCs w:val="32"/>
          <w:shd w:val="clear" w:color="auto" w:fill="FFFFFF"/>
        </w:rPr>
        <w:t>总体情况</w:t>
      </w:r>
    </w:p>
    <w:p w14:paraId="40E9C0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Calibri" w:cs="仿宋_GB2312"/>
          <w:szCs w:val="32"/>
          <w:shd w:val="clear" w:color="auto" w:fill="FFFFFF"/>
        </w:rPr>
      </w:pPr>
      <w:r>
        <w:rPr>
          <w:rFonts w:ascii="仿宋_GB2312" w:hAnsi="Calibri" w:cs="仿宋_GB2312"/>
          <w:szCs w:val="32"/>
          <w:shd w:val="clear" w:color="auto" w:fill="FFFFFF"/>
        </w:rPr>
        <w:t>（一）主动公开成果丰硕。围绕经济发展，公开促投资、扩内需政策及落实信息 0.47 万条，为经济增长注入活力。民生服务领域，76 个专题专栏公开 4.27 万余条信息，2321 个政务服务事项实现省内无差别受理、同标准办理，极大便利了群众办事。数字化转型方面，搭建全市统一政策文件库，政策文件实现统一规范管理与便捷获取。在公众参与上，完善 “开门决策” 机制，公开 269 个意见征集，28 场次常务会议有 84 人次公众列席。政策解读工作创新形式，1476 篇解读中动漫、AI 及场景化解读达 102 余篇。回应关切积极有效，召开 246 场新闻发布会、36 期在线访谈，举办 11 次 “政务服务我直播” 活动。基层政务公开持续深化，“两化” 专题发布 11.7 万条信息，优化 27 项村务公开目录并开展 27 次线下调研。公共企事业单位信息公开也稳步推进，595 个主体发布 4.2 万条信息，基层医疗、教育机构信息公开更及时规范。</w:t>
      </w:r>
    </w:p>
    <w:p w14:paraId="68AC59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Calibri" w:cs="仿宋_GB2312"/>
          <w:szCs w:val="32"/>
          <w:shd w:val="clear" w:color="auto" w:fill="FFFFFF"/>
        </w:rPr>
      </w:pPr>
      <w:r>
        <w:rPr>
          <w:rFonts w:ascii="仿宋_GB2312" w:hAnsi="Calibri" w:cs="仿宋_GB2312"/>
          <w:szCs w:val="32"/>
          <w:shd w:val="clear" w:color="auto" w:fill="FFFFFF"/>
        </w:rPr>
        <w:t>（二）依申请公开规范有序。不断优化依申请公开流程，维护更新信息公开指南，完善线下受理区域功能布局，确保申请渠道畅通。实现依申请公开平台与公文系统融通，形成登记至归档的闭环办理。探索新办</w:t>
      </w:r>
      <w:bookmarkStart w:id="0" w:name="_GoBack"/>
      <w:bookmarkEnd w:id="0"/>
      <w:r>
        <w:rPr>
          <w:rFonts w:ascii="仿宋_GB2312" w:hAnsi="Calibri" w:cs="仿宋_GB2312"/>
          <w:szCs w:val="32"/>
          <w:shd w:val="clear" w:color="auto" w:fill="FFFFFF"/>
        </w:rPr>
        <w:t>理模式，保障申请人权益，并根据新修订行政复议法调整答复书中的救济渠道表述，本年度办结1315件，结转下年度56件，其中涉及土地征迁类的依申请公开数据居多，部门中自然资源办件量较大。</w:t>
      </w:r>
    </w:p>
    <w:p w14:paraId="45D7CE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Calibri" w:cs="仿宋_GB2312"/>
          <w:szCs w:val="32"/>
          <w:shd w:val="clear" w:color="auto" w:fill="FFFFFF"/>
        </w:rPr>
      </w:pPr>
      <w:r>
        <w:rPr>
          <w:rFonts w:ascii="仿宋_GB2312" w:hAnsi="Calibri" w:cs="仿宋_GB2312"/>
          <w:szCs w:val="32"/>
          <w:shd w:val="clear" w:color="auto" w:fill="FFFFFF"/>
        </w:rPr>
        <w:t>（三）信息管理严格规范。严格落实规范性文件格式要求，梳理并公开 1250 件继续有效规范性文件。优化法定主动公开目录，规范说明类信息发布，清理 15.7 万余条历史失效信息。强化保密审查机制，明确人员责任，优化后台过滤功能，确保信息发布安全、准确。</w:t>
      </w:r>
    </w:p>
    <w:p w14:paraId="289662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Calibri" w:cs="仿宋_GB2312"/>
          <w:szCs w:val="32"/>
          <w:shd w:val="clear" w:color="auto" w:fill="FFFFFF"/>
        </w:rPr>
      </w:pPr>
      <w:r>
        <w:rPr>
          <w:rFonts w:ascii="仿宋_GB2312" w:hAnsi="Calibri" w:cs="仿宋_GB2312"/>
          <w:szCs w:val="32"/>
          <w:shd w:val="clear" w:color="auto" w:fill="FFFFFF"/>
        </w:rPr>
        <w:t>（四）公开平台建设持续加强。统筹建立 34 个专题专栏，48 家单位网站、143 个政务新媒体稳定运行，刊发 30 期政府公报。组织 120 场 “政府开放日”，152 个专区开展 79 场政策咨询宣讲活动，服务 4.68 万人次，增强了政府与群众的互动交流。</w:t>
      </w:r>
    </w:p>
    <w:p w14:paraId="029309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Calibri" w:cs="仿宋_GB2312"/>
          <w:szCs w:val="32"/>
          <w:shd w:val="clear" w:color="auto" w:fill="FFFFFF"/>
        </w:rPr>
      </w:pPr>
      <w:r>
        <w:rPr>
          <w:rFonts w:ascii="仿宋_GB2312" w:hAnsi="Calibri" w:cs="仿宋_GB2312"/>
          <w:szCs w:val="32"/>
          <w:shd w:val="clear" w:color="auto" w:fill="FFFFFF"/>
        </w:rPr>
        <w:t>（五）监督保障坚实有力。印发重点工作清单，开展专项提升行动推动工作落实。通过日常和专项评估反馈问题，以 “回头看” 强化考核。组织 40 场专题培训、12 场集中办公，培训 2679 人次，推广 73 篇优秀经验，其中 4 篇被省级刊登。开展 15 次社会评议，未出现信息公开责任追究情况。</w:t>
      </w:r>
    </w:p>
    <w:p w14:paraId="37F559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bCs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kern w:val="0"/>
          <w:szCs w:val="32"/>
          <w:shd w:val="clear" w:color="auto" w:fill="FFFFFF"/>
        </w:rPr>
        <w:t>二、主动公开政府信息情况</w:t>
      </w:r>
    </w:p>
    <w:p w14:paraId="5F6CB764">
      <w:pPr>
        <w:widowControl/>
        <w:shd w:val="clear" w:color="auto" w:fill="FFFFFF"/>
        <w:rPr>
          <w:rFonts w:ascii="宋体" w:hAnsi="宋体" w:eastAsia="宋体" w:cs="宋体"/>
          <w:b/>
          <w:kern w:val="0"/>
          <w:sz w:val="24"/>
          <w:shd w:val="clear" w:color="auto" w:fill="FFFFFF"/>
        </w:rPr>
      </w:pPr>
    </w:p>
    <w:tbl>
      <w:tblPr>
        <w:tblStyle w:val="5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D6EC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43B8443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 w14:paraId="4CE98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DEFFAA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94CDC7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0D2212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34CF0E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现行有效件数</w:t>
            </w:r>
          </w:p>
        </w:tc>
      </w:tr>
      <w:tr w14:paraId="124A0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2A01B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87367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92831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7937A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</w:tr>
      <w:tr w14:paraId="27647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F9190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39871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88557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1188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EB4E8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1250</w:t>
            </w:r>
          </w:p>
        </w:tc>
      </w:tr>
      <w:tr w14:paraId="2244D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B57D33A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 w14:paraId="4FA20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B74889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047B0C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744AF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545EFE">
            <w:pPr>
              <w:widowControl/>
              <w:jc w:val="left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F911D2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1078949</w:t>
            </w:r>
          </w:p>
        </w:tc>
      </w:tr>
      <w:tr w14:paraId="2B163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C875CB5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 w14:paraId="58C3A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2F0BDB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F29E18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70202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DC75B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BD2B0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1976967</w:t>
            </w:r>
          </w:p>
        </w:tc>
      </w:tr>
      <w:tr w14:paraId="1E83C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26F62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C2EA2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15717　</w:t>
            </w:r>
          </w:p>
        </w:tc>
      </w:tr>
      <w:tr w14:paraId="62DC0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9C62250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 w14:paraId="5B207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B517B3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85950F3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623D4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70685F">
            <w:pPr>
              <w:widowControl/>
              <w:jc w:val="left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7A3F0A9">
            <w:pPr>
              <w:jc w:val="center"/>
              <w:rPr>
                <w:rFonts w:ascii="宋体" w:hAnsi="Times New Roman" w:cs="Times New Roman"/>
                <w:sz w:val="24"/>
              </w:rPr>
            </w:pPr>
            <w:r>
              <w:rPr>
                <w:rFonts w:hint="eastAsia" w:ascii="宋体" w:hAnsi="Times New Roman" w:cs="Times New Roman"/>
                <w:sz w:val="24"/>
              </w:rPr>
              <w:t>72961</w:t>
            </w:r>
          </w:p>
        </w:tc>
      </w:tr>
    </w:tbl>
    <w:p w14:paraId="7EF6B9F4">
      <w:pPr>
        <w:widowControl/>
        <w:jc w:val="left"/>
        <w:rPr>
          <w:rFonts w:ascii="仿宋_GB2312" w:hAnsi="Times New Roman" w:cs="Times New Roman"/>
          <w:szCs w:val="32"/>
        </w:rPr>
      </w:pPr>
    </w:p>
    <w:p w14:paraId="44422DF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bCs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kern w:val="0"/>
          <w:szCs w:val="32"/>
          <w:shd w:val="clear" w:color="auto" w:fill="FFFFFF"/>
        </w:rPr>
        <w:t>三、收到和处理政府信息公开申请情况</w:t>
      </w:r>
    </w:p>
    <w:p w14:paraId="3F8AB008">
      <w:pPr>
        <w:widowControl/>
        <w:shd w:val="clear" w:color="auto" w:fill="FFFFFF"/>
        <w:rPr>
          <w:rFonts w:ascii="宋体" w:hAnsi="宋体" w:eastAsia="宋体" w:cs="宋体"/>
          <w:b/>
          <w:kern w:val="0"/>
          <w:sz w:val="24"/>
          <w:shd w:val="clear" w:color="auto" w:fill="FFFFFF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46E353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BBA2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0E528">
            <w:pPr>
              <w:widowControl/>
              <w:jc w:val="center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6EA60E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B3FB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1030D4">
            <w:pPr>
              <w:widowControl/>
              <w:jc w:val="center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EE51B">
            <w:pPr>
              <w:widowControl/>
              <w:jc w:val="center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0E05B">
            <w:pPr>
              <w:widowControl/>
              <w:jc w:val="center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125611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5624A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1A274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CE170">
            <w:pPr>
              <w:widowControl/>
              <w:jc w:val="center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 w14:paraId="1A56A6DC">
            <w:pPr>
              <w:widowControl/>
              <w:jc w:val="center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D28DF">
            <w:pPr>
              <w:widowControl/>
              <w:jc w:val="center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 w14:paraId="770AA12D">
            <w:pPr>
              <w:widowControl/>
              <w:jc w:val="center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7755D">
            <w:pPr>
              <w:widowControl/>
              <w:jc w:val="center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FFB66">
            <w:pPr>
              <w:widowControl/>
              <w:jc w:val="center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32CA8">
            <w:pPr>
              <w:widowControl/>
              <w:jc w:val="center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C985A">
            <w:pPr>
              <w:rPr>
                <w:rFonts w:ascii="宋体" w:hAnsi="Calibri" w:eastAsia="宋体" w:cs="Times New Roman"/>
                <w:sz w:val="24"/>
              </w:rPr>
            </w:pPr>
          </w:p>
        </w:tc>
      </w:tr>
      <w:tr w14:paraId="0582C4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B738A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761A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1310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445E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89BE4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2EB39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02D9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E46E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3E71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1341</w:t>
            </w:r>
          </w:p>
        </w:tc>
      </w:tr>
      <w:tr w14:paraId="1A5D59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D35777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FDA8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5C02E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674D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BA09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F668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F829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CEDBA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30</w:t>
            </w:r>
          </w:p>
        </w:tc>
      </w:tr>
      <w:tr w14:paraId="240E7E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1FF6E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5BB85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FB4889">
            <w:pPr>
              <w:widowControl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535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9339B">
            <w:pPr>
              <w:widowControl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D7EBF">
            <w:pPr>
              <w:widowControl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81DAB3">
            <w:pPr>
              <w:widowControl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50940">
            <w:pPr>
              <w:widowControl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F9128">
            <w:pPr>
              <w:widowControl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3F41A">
            <w:pPr>
              <w:widowControl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542</w:t>
            </w:r>
          </w:p>
        </w:tc>
      </w:tr>
      <w:tr w14:paraId="322BB9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F6ED3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DB6695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99CF6">
            <w:pPr>
              <w:widowControl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214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AF7AD">
            <w:pPr>
              <w:widowControl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44F3FF">
            <w:pPr>
              <w:widowControl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567D8">
            <w:pPr>
              <w:widowControl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D8912">
            <w:pPr>
              <w:widowControl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C2CC39">
            <w:pPr>
              <w:widowControl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F3D8F9">
            <w:pPr>
              <w:widowControl/>
              <w:jc w:val="center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220</w:t>
            </w:r>
          </w:p>
        </w:tc>
      </w:tr>
      <w:tr w14:paraId="439182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380AB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4F99D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C95AA5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2F22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DB03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0A63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88171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B5B7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0ACA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918A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14</w:t>
            </w:r>
          </w:p>
        </w:tc>
      </w:tr>
      <w:tr w14:paraId="63053F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56515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F9CCA8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82905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ADBB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C0437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78C0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AF812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64FC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68E3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7AADF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</w:tr>
      <w:tr w14:paraId="65D0E8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1DA47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6C0C3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2CE3D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E5C1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1072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CE9D3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2B3B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02B4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9469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928DE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</w:tr>
      <w:tr w14:paraId="38A991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0C07F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193B4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866EA9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161E5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20BEC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1948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8E211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C0B2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7CF3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590FF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12</w:t>
            </w:r>
          </w:p>
        </w:tc>
      </w:tr>
      <w:tr w14:paraId="2AEB4C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838D9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551110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3D56A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0FE7E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EA7E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1778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1544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FAE7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2E73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3B21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14</w:t>
            </w:r>
          </w:p>
        </w:tc>
      </w:tr>
      <w:tr w14:paraId="2CFCC1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FC418B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BB434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A5507E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B9E5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072D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5294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96FE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D86F4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152F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7AB7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9</w:t>
            </w:r>
          </w:p>
        </w:tc>
      </w:tr>
      <w:tr w14:paraId="5E460B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854A48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9E532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2DE475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5844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5E8B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BE44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1916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66596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02FA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2226D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</w:p>
        </w:tc>
      </w:tr>
      <w:tr w14:paraId="7BEE47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A554D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88869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97824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20A2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A1C0D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FCBA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CA42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16C9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CA2F6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1DE6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</w:t>
            </w:r>
          </w:p>
        </w:tc>
      </w:tr>
      <w:tr w14:paraId="4145D8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12859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E7FE4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602BF0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20474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396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9903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CE36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6FBF2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E2DA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1EA6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6C67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408</w:t>
            </w:r>
          </w:p>
        </w:tc>
      </w:tr>
      <w:tr w14:paraId="4F3A67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3F6878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8F0BB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84E5B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12E6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DEE8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888D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5797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BD52E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0A2C7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54F5D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11</w:t>
            </w:r>
          </w:p>
        </w:tc>
      </w:tr>
      <w:tr w14:paraId="426606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C98CF8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19509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5EA8AB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D25D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6E8C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26BB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F22E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3F8C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1EA7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C6DA8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</w:tr>
      <w:tr w14:paraId="6EAAC5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D1E18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DD3E64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98FA8E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C0E5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B3F5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E6F6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12B6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A3F97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3E5E0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6B343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</w:p>
        </w:tc>
      </w:tr>
      <w:tr w14:paraId="5E5B98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09AD23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1266F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21DE15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D592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C6C7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3610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C07E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BBA5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D3F56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53DC2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</w:t>
            </w:r>
          </w:p>
        </w:tc>
      </w:tr>
      <w:tr w14:paraId="32E5D1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2B68A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C50FC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DA918A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C6EF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8407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5B47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7A71C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085F5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9A9D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F8373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</w:tr>
      <w:tr w14:paraId="640366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1BDD7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4F9E3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3E6973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D80F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833E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44CD2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48C3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5771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D900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85D02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</w:tr>
      <w:tr w14:paraId="780579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16AFAA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76DC08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3A9DE">
            <w:pPr>
              <w:widowControl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4473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1324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56B2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B5A1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1701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E245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2838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</w:t>
            </w:r>
          </w:p>
        </w:tc>
      </w:tr>
      <w:tr w14:paraId="3FE1D5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C320D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2317BD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5127E">
            <w:pPr>
              <w:widowControl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A057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17E1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F9809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09A0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A3EB0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82C8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4EC3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</w:t>
            </w:r>
          </w:p>
        </w:tc>
      </w:tr>
      <w:tr w14:paraId="098336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4E3EB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37431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574778">
            <w:pPr>
              <w:widowControl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681B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4AA2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D0A5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B01AB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F542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3B5C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14C0E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</w:tr>
      <w:tr w14:paraId="63C2F8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21B61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703527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B9D36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A089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FD4D0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38CD2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51CF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082C0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E729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1DAB9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33</w:t>
            </w:r>
          </w:p>
        </w:tc>
      </w:tr>
      <w:tr w14:paraId="19DC74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623DD">
            <w:pPr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BC81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A2C0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1283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7CAC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7C71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F8AAE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7707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E4348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3637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1315</w:t>
            </w:r>
          </w:p>
        </w:tc>
      </w:tr>
      <w:tr w14:paraId="43886D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2B276">
            <w:pPr>
              <w:widowControl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1AE9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C3BBB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EA8A6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2C8F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C1024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1E91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1849B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56</w:t>
            </w:r>
          </w:p>
        </w:tc>
      </w:tr>
    </w:tbl>
    <w:p w14:paraId="5A779AD8">
      <w:pPr>
        <w:widowControl/>
        <w:shd w:val="clear" w:color="auto" w:fill="FFFFFF"/>
        <w:rPr>
          <w:rFonts w:ascii="宋体" w:hAnsi="宋体" w:eastAsia="宋体" w:cs="宋体"/>
          <w:sz w:val="24"/>
        </w:rPr>
      </w:pPr>
    </w:p>
    <w:p w14:paraId="718A88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  <w:shd w:val="clear" w:color="auto" w:fill="FFFFFF"/>
        </w:rPr>
        <w:t>四、政府信息公开行政复议、行政诉讼情况</w:t>
      </w:r>
    </w:p>
    <w:p w14:paraId="766593EA">
      <w:pPr>
        <w:widowControl/>
        <w:shd w:val="clear" w:color="auto" w:fill="FFFFFF"/>
        <w:jc w:val="center"/>
        <w:rPr>
          <w:rFonts w:ascii="宋体" w:hAnsi="宋体" w:eastAsia="宋体" w:cs="宋体"/>
          <w:sz w:val="24"/>
        </w:rPr>
      </w:pPr>
    </w:p>
    <w:tbl>
      <w:tblPr>
        <w:tblStyle w:val="5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4B734F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37B1C0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7DA275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5FCD2F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575042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A58676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E1CF3E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4C3E81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5809A0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90180E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757642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2CB304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2BF56E">
            <w:pPr>
              <w:rPr>
                <w:rFonts w:ascii="宋体" w:hAnsi="Times New Roman" w:cs="Times New Roman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F1FA58">
            <w:pPr>
              <w:rPr>
                <w:rFonts w:ascii="宋体" w:hAnsi="Times New Roman" w:cs="Times New Roman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7968E7">
            <w:pPr>
              <w:rPr>
                <w:rFonts w:ascii="宋体" w:hAnsi="Times New Roman" w:cs="Times New Roman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0CBBF4">
            <w:pPr>
              <w:rPr>
                <w:rFonts w:ascii="宋体" w:hAnsi="Times New Roman" w:cs="Times New Roman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1E09B5">
            <w:pPr>
              <w:rPr>
                <w:rFonts w:ascii="宋体" w:hAnsi="Times New Roman" w:cs="Times New Roman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5C0460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2E9B4D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C5ABFA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CACCB8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618C35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B8C090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FCEFC6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B52F38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D6ACEE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D5043A">
            <w:pPr>
              <w:widowControl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5DB96D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BC84B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73033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D764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C4CA0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BF60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56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0E759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8CFF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0522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90F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9EDF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DABB0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13C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40B9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E4D91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CCBF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</w:t>
            </w:r>
          </w:p>
        </w:tc>
      </w:tr>
    </w:tbl>
    <w:p w14:paraId="6C3F37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Cs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kern w:val="0"/>
          <w:szCs w:val="32"/>
          <w:shd w:val="clear" w:color="auto" w:fill="FFFFFF"/>
        </w:rPr>
        <w:t>五、存在的主要问题及改进情况</w:t>
      </w:r>
    </w:p>
    <w:p w14:paraId="16F1F9D5">
      <w:pPr>
        <w:pStyle w:val="3"/>
        <w:widowControl/>
        <w:shd w:val="clear" w:color="auto" w:fill="FFFFFF"/>
        <w:spacing w:beforeAutospacing="0" w:afterAutospacing="0" w:line="570" w:lineRule="exact"/>
        <w:ind w:firstLine="640" w:firstLineChars="200"/>
        <w:jc w:val="both"/>
        <w:rPr>
          <w:rFonts w:ascii="仿宋_GB2312" w:hAnsi="Calibri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cs="仿宋_GB2312"/>
          <w:sz w:val="32"/>
          <w:szCs w:val="32"/>
          <w:shd w:val="clear" w:color="auto" w:fill="FFFFFF"/>
        </w:rPr>
        <w:t>2024年，我市的政府信息公开工作取得一定成绩，但与上级政府要求和人民群众期盼还存有差距，一是决策公开参与度不高，渠道单一；二是征地信息公开不够系统化、集成化，征地方面信息公开申请较多且集中。下一步将采取以下措施进行完善：一是提高征集信息宣传力度，创新宣传形式，发挥广播、电视、微信微博等平台作用，结合“政府开放日”、政务公开专区等线下活动进行线下征集，提高意见征集的公众知晓度，有效引导公众参与政府决策。二是借鉴省内外征地信息公开先进经验，搭建全市征地信息公开专题，分不同区域、不同地块展示征地信息，统筹好线上线下公开内容，引入政务服务地图等功能，便于申请人及时获取相关信息，通过主动公开的质量提升，推进依申请公开的数量减少。</w:t>
      </w:r>
    </w:p>
    <w:p w14:paraId="1E39BA6F">
      <w:pPr>
        <w:pStyle w:val="3"/>
        <w:widowControl/>
        <w:shd w:val="clear" w:color="auto" w:fill="FFFFFF"/>
        <w:spacing w:beforeAutospacing="0" w:afterAutospacing="0" w:line="570" w:lineRule="exact"/>
        <w:ind w:firstLine="640"/>
        <w:jc w:val="both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六、其他需要报告的事项</w:t>
      </w:r>
    </w:p>
    <w:p w14:paraId="2A6E9E84">
      <w:pPr>
        <w:pStyle w:val="3"/>
        <w:widowControl/>
        <w:shd w:val="clear" w:color="auto" w:fill="FFFFFF"/>
        <w:spacing w:beforeAutospacing="0" w:afterAutospacing="0" w:line="570" w:lineRule="exact"/>
        <w:ind w:left="640"/>
        <w:jc w:val="both"/>
        <w:rPr>
          <w:rFonts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（一）创新工作</w:t>
      </w:r>
    </w:p>
    <w:p w14:paraId="00F3AA14">
      <w:pPr>
        <w:spacing w:line="570" w:lineRule="exact"/>
        <w:ind w:firstLine="640" w:firstLineChars="200"/>
        <w:rPr>
          <w:rFonts w:ascii="仿宋_GB2312" w:hAnsi="Calibri" w:cs="仿宋_GB231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金寨县</w:t>
      </w:r>
      <w:r>
        <w:rPr>
          <w:rFonts w:ascii="仿宋_GB2312" w:hAnsi="仿宋_GB2312" w:cs="仿宋_GB2312"/>
          <w:color w:val="000000"/>
          <w:kern w:val="0"/>
          <w:szCs w:val="32"/>
        </w:rPr>
        <w:t>上线全省首个皖企通本地化服务——金寨县涉企政策智能推送系统，破解企业看不到、看不准、看不懂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难题</w:t>
      </w:r>
      <w:r>
        <w:rPr>
          <w:rFonts w:ascii="仿宋_GB2312" w:hAnsi="仿宋_GB2312" w:cs="仿宋_GB2312"/>
          <w:color w:val="000000"/>
          <w:kern w:val="0"/>
          <w:szCs w:val="32"/>
        </w:rPr>
        <w:t>，推动“人找政策”向“政策找人”转变。</w:t>
      </w:r>
      <w:r>
        <w:rPr>
          <w:rFonts w:hint="eastAsia" w:ascii="仿宋_GB2312" w:hAnsi="仿宋_GB2312" w:cs="仿宋_GB2312"/>
          <w:kern w:val="0"/>
          <w:szCs w:val="32"/>
        </w:rPr>
        <w:t>裕安区在全省率先打造意见征集库、政策文件库、标签库、OA办公系统等功能联通的规范性文件合法性审查平台，全场景构建智慧赋能审查，为规范性文件审查监管开辟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新路径，实现规范性文件“拟、审、发、备、查”全流程规范管理。</w:t>
      </w:r>
      <w:r>
        <w:rPr>
          <w:rFonts w:hint="eastAsia" w:ascii="仿宋_GB2312" w:hAnsi="仿宋_GB2312" w:cs="仿宋_GB2312"/>
          <w:kern w:val="0"/>
          <w:szCs w:val="32"/>
        </w:rPr>
        <w:t>金安区推出“政府开放日”活动年，相继开展木厂镇政策宣</w:t>
      </w:r>
      <w:r>
        <w:rPr>
          <w:rFonts w:hint="eastAsia" w:ascii="仿宋_GB2312" w:hAnsi="仿宋_GB2312" w:cs="仿宋_GB2312"/>
          <w:szCs w:val="32"/>
        </w:rPr>
        <w:t>传“大赶集”、三十铺镇“十里果乡”、望城街道“志愿服务迎端午惠民政策暖人心”系列活动。</w:t>
      </w:r>
    </w:p>
    <w:p w14:paraId="566BEB9A">
      <w:pPr>
        <w:pStyle w:val="3"/>
        <w:widowControl/>
        <w:shd w:val="clear" w:color="auto" w:fill="FFFFFF"/>
        <w:spacing w:beforeAutospacing="0" w:afterAutospacing="0" w:line="570" w:lineRule="exact"/>
        <w:ind w:firstLine="640"/>
        <w:jc w:val="both"/>
        <w:rPr>
          <w:rFonts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（二）依申请公开收费情况</w:t>
      </w:r>
    </w:p>
    <w:p w14:paraId="41A35B4D">
      <w:pPr>
        <w:pStyle w:val="3"/>
        <w:widowControl/>
        <w:shd w:val="clear" w:color="auto" w:fill="FFFFFF"/>
        <w:spacing w:beforeAutospacing="0" w:afterAutospacing="0" w:line="570" w:lineRule="exact"/>
        <w:ind w:firstLine="640"/>
        <w:jc w:val="both"/>
        <w:rPr>
          <w:rFonts w:ascii="仿宋_GB2312" w:hAnsi="Calibri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cs="仿宋_GB2312"/>
          <w:sz w:val="32"/>
          <w:szCs w:val="32"/>
          <w:shd w:val="clear" w:color="auto" w:fill="FFFFFF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 w14:paraId="0294E5BB">
      <w:pPr>
        <w:spacing w:line="57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B2DBD"/>
    <w:rsid w:val="00323B92"/>
    <w:rsid w:val="00683D71"/>
    <w:rsid w:val="008645A6"/>
    <w:rsid w:val="008A3F98"/>
    <w:rsid w:val="009A59D2"/>
    <w:rsid w:val="00A30A6C"/>
    <w:rsid w:val="00A31889"/>
    <w:rsid w:val="00A870A7"/>
    <w:rsid w:val="00C07C5A"/>
    <w:rsid w:val="00D27859"/>
    <w:rsid w:val="00FB5B55"/>
    <w:rsid w:val="0103109D"/>
    <w:rsid w:val="01AC5326"/>
    <w:rsid w:val="03732E33"/>
    <w:rsid w:val="038858BF"/>
    <w:rsid w:val="05935C48"/>
    <w:rsid w:val="095F1124"/>
    <w:rsid w:val="0AF1169E"/>
    <w:rsid w:val="0B8C17DE"/>
    <w:rsid w:val="0CBB5DCD"/>
    <w:rsid w:val="0D2D5077"/>
    <w:rsid w:val="0E0645A9"/>
    <w:rsid w:val="0E6A0C59"/>
    <w:rsid w:val="0F2E5AE8"/>
    <w:rsid w:val="130C304F"/>
    <w:rsid w:val="15B5652B"/>
    <w:rsid w:val="164832AE"/>
    <w:rsid w:val="17BC089D"/>
    <w:rsid w:val="18D4028D"/>
    <w:rsid w:val="1ABA2925"/>
    <w:rsid w:val="1FDF1A4C"/>
    <w:rsid w:val="202026F6"/>
    <w:rsid w:val="236B2DBD"/>
    <w:rsid w:val="25512CC1"/>
    <w:rsid w:val="25AF42AB"/>
    <w:rsid w:val="27392E24"/>
    <w:rsid w:val="27903292"/>
    <w:rsid w:val="27A564CB"/>
    <w:rsid w:val="280A078E"/>
    <w:rsid w:val="28FF67C2"/>
    <w:rsid w:val="291D2944"/>
    <w:rsid w:val="29CA499C"/>
    <w:rsid w:val="2AEF020A"/>
    <w:rsid w:val="2E083C16"/>
    <w:rsid w:val="2E114F9C"/>
    <w:rsid w:val="2EF2196E"/>
    <w:rsid w:val="31E654E2"/>
    <w:rsid w:val="33131358"/>
    <w:rsid w:val="38262388"/>
    <w:rsid w:val="3D6A103A"/>
    <w:rsid w:val="3DA54F8F"/>
    <w:rsid w:val="3EE62D4C"/>
    <w:rsid w:val="3FA333D0"/>
    <w:rsid w:val="40840A92"/>
    <w:rsid w:val="408A7ED2"/>
    <w:rsid w:val="40BB5654"/>
    <w:rsid w:val="42F27014"/>
    <w:rsid w:val="44CD7376"/>
    <w:rsid w:val="453D71CC"/>
    <w:rsid w:val="465E21AA"/>
    <w:rsid w:val="46E44190"/>
    <w:rsid w:val="48D355C5"/>
    <w:rsid w:val="4A58262E"/>
    <w:rsid w:val="4AB327E6"/>
    <w:rsid w:val="4AF04E15"/>
    <w:rsid w:val="4BAA1A7C"/>
    <w:rsid w:val="4C151AF8"/>
    <w:rsid w:val="4CFB2FAB"/>
    <w:rsid w:val="4D444D3F"/>
    <w:rsid w:val="4D7C79C4"/>
    <w:rsid w:val="4ED83222"/>
    <w:rsid w:val="4F0F0CCD"/>
    <w:rsid w:val="4F345285"/>
    <w:rsid w:val="4F8520AF"/>
    <w:rsid w:val="53A84B2E"/>
    <w:rsid w:val="540B4756"/>
    <w:rsid w:val="552E76E7"/>
    <w:rsid w:val="55853427"/>
    <w:rsid w:val="560A7E4A"/>
    <w:rsid w:val="56A71DBA"/>
    <w:rsid w:val="56D80CCA"/>
    <w:rsid w:val="5766419B"/>
    <w:rsid w:val="583423B4"/>
    <w:rsid w:val="5915388D"/>
    <w:rsid w:val="59F50C46"/>
    <w:rsid w:val="5AAE5A38"/>
    <w:rsid w:val="5B3976A4"/>
    <w:rsid w:val="5BA858A7"/>
    <w:rsid w:val="5C3D2493"/>
    <w:rsid w:val="5D6A6265"/>
    <w:rsid w:val="5E79177D"/>
    <w:rsid w:val="614332F0"/>
    <w:rsid w:val="61AE1FCB"/>
    <w:rsid w:val="632B4EC8"/>
    <w:rsid w:val="63B65488"/>
    <w:rsid w:val="667738AC"/>
    <w:rsid w:val="670363B0"/>
    <w:rsid w:val="68042701"/>
    <w:rsid w:val="6A4044F3"/>
    <w:rsid w:val="700337A8"/>
    <w:rsid w:val="72A450E4"/>
    <w:rsid w:val="73CF74EA"/>
    <w:rsid w:val="73EA6EF9"/>
    <w:rsid w:val="73FA5922"/>
    <w:rsid w:val="74123DAE"/>
    <w:rsid w:val="751E7C98"/>
    <w:rsid w:val="7522402A"/>
    <w:rsid w:val="75907FF2"/>
    <w:rsid w:val="765C40F5"/>
    <w:rsid w:val="778C5451"/>
    <w:rsid w:val="79B17BC5"/>
    <w:rsid w:val="7A3B66A5"/>
    <w:rsid w:val="7A3D2136"/>
    <w:rsid w:val="7A4A317F"/>
    <w:rsid w:val="7A5B2925"/>
    <w:rsid w:val="7C1C3DC8"/>
    <w:rsid w:val="7CB151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 2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394351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TML Acronym"/>
    <w:basedOn w:val="6"/>
    <w:qFormat/>
    <w:uiPriority w:val="0"/>
  </w:style>
  <w:style w:type="character" w:styleId="11">
    <w:name w:val="Hyperlink"/>
    <w:basedOn w:val="6"/>
    <w:qFormat/>
    <w:uiPriority w:val="0"/>
    <w:rPr>
      <w:color w:val="394351"/>
      <w:u w:val="none"/>
    </w:rPr>
  </w:style>
  <w:style w:type="character" w:styleId="12">
    <w:name w:val="HTML Cod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15">
    <w:name w:val="正文文本缩进 21"/>
    <w:qFormat/>
    <w:uiPriority w:val="0"/>
    <w:pPr>
      <w:widowControl w:val="0"/>
      <w:spacing w:line="590" w:lineRule="exact"/>
      <w:ind w:firstLine="88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split"/>
    <w:basedOn w:val="6"/>
    <w:qFormat/>
    <w:uiPriority w:val="0"/>
    <w:rPr>
      <w:sz w:val="24"/>
      <w:szCs w:val="24"/>
    </w:rPr>
  </w:style>
  <w:style w:type="character" w:customStyle="1" w:styleId="17">
    <w:name w:val="tmpztreemove_arrow"/>
    <w:basedOn w:val="6"/>
    <w:qFormat/>
    <w:uiPriority w:val="0"/>
  </w:style>
  <w:style w:type="character" w:customStyle="1" w:styleId="18">
    <w:name w:val="small_title"/>
    <w:basedOn w:val="6"/>
    <w:qFormat/>
    <w:uiPriority w:val="0"/>
    <w:rPr>
      <w:sz w:val="27"/>
      <w:szCs w:val="27"/>
    </w:rPr>
  </w:style>
  <w:style w:type="character" w:customStyle="1" w:styleId="19">
    <w:name w:val="before"/>
    <w:basedOn w:val="6"/>
    <w:qFormat/>
    <w:uiPriority w:val="0"/>
    <w:rPr>
      <w:shd w:val="clear" w:color="auto" w:fill="A0A0A0"/>
    </w:rPr>
  </w:style>
  <w:style w:type="character" w:customStyle="1" w:styleId="20">
    <w:name w:val="before1"/>
    <w:basedOn w:val="6"/>
    <w:qFormat/>
    <w:uiPriority w:val="0"/>
    <w:rPr>
      <w:shd w:val="clear" w:color="auto" w:fill="FFFFFF"/>
    </w:rPr>
  </w:style>
  <w:style w:type="character" w:customStyle="1" w:styleId="21">
    <w:name w:val="img_title16"/>
    <w:basedOn w:val="6"/>
    <w:qFormat/>
    <w:uiPriority w:val="0"/>
    <w:rPr>
      <w:b/>
      <w:bCs/>
      <w:sz w:val="52"/>
      <w:szCs w:val="52"/>
    </w:rPr>
  </w:style>
  <w:style w:type="character" w:customStyle="1" w:styleId="22">
    <w:name w:val="button"/>
    <w:basedOn w:val="6"/>
    <w:qFormat/>
    <w:uiPriority w:val="0"/>
  </w:style>
  <w:style w:type="character" w:customStyle="1" w:styleId="23">
    <w:name w:val="nth-of-type(3)"/>
    <w:basedOn w:val="6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1598</Words>
  <Characters>1756</Characters>
  <Lines>23</Lines>
  <Paragraphs>6</Paragraphs>
  <TotalTime>11</TotalTime>
  <ScaleCrop>false</ScaleCrop>
  <LinksUpToDate>false</LinksUpToDate>
  <CharactersWithSpaces>1822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2025-02-25T03:30:00Z</dcterms:created>
  <dc:creator>李文红</dc:creator>
  <cp:lastModifiedBy>嬿雅wbh</cp:lastModifiedBy>
  <cp:lastPrinted>2025-02-25T02:36:00Z</cp:lastPrinted>
  <dcterms:modified xsi:type="dcterms:W3CDTF">2025-11-20T03:12:01Z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A7AADC6918014805B9E86DC09F0F865C_13</vt:lpwstr>
  </property>
  <property fmtid="{D5CDD505-2E9C-101B-9397-08002B2CF9AE}" pid="4" name="KSOTemplateDocerSaveRecord">
    <vt:lpwstr>eyJoZGlkIjoiOTU5Zjc4YTkxMWZjMzA4OWRlOGMwMDQ1MTYyMmVjMjIiLCJ1c2VySWQiOiI3MTY2NTg5ODAifQ==</vt:lpwstr>
  </property>
</Properties>
</file>