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BC026">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anchor distT="0" distB="0" distL="114300" distR="114300" simplePos="0" relativeHeight="251659264" behindDoc="1" locked="0" layoutInCell="1" allowOverlap="1">
            <wp:simplePos x="0" y="0"/>
            <wp:positionH relativeFrom="column">
              <wp:posOffset>34290</wp:posOffset>
            </wp:positionH>
            <wp:positionV relativeFrom="paragraph">
              <wp:posOffset>262255</wp:posOffset>
            </wp:positionV>
            <wp:extent cx="5614670" cy="2441575"/>
            <wp:effectExtent l="0" t="0" r="5080" b="15875"/>
            <wp:wrapNone/>
            <wp:docPr id="1" name="图片 1" descr="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4"/>
                    <pic:cNvPicPr>
                      <a:picLocks noChangeAspect="1"/>
                    </pic:cNvPicPr>
                  </pic:nvPicPr>
                  <pic:blipFill>
                    <a:blip r:embed="rId6"/>
                    <a:stretch>
                      <a:fillRect/>
                    </a:stretch>
                  </pic:blipFill>
                  <pic:spPr>
                    <a:xfrm>
                      <a:off x="0" y="0"/>
                      <a:ext cx="5614670" cy="2441575"/>
                    </a:xfrm>
                    <a:prstGeom prst="rect">
                      <a:avLst/>
                    </a:prstGeom>
                  </pic:spPr>
                </pic:pic>
              </a:graphicData>
            </a:graphic>
          </wp:anchor>
        </w:drawing>
      </w:r>
    </w:p>
    <w:p w14:paraId="1C163339">
      <w:pPr>
        <w:pageBreakBefore w:val="0"/>
        <w:widowControl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44"/>
          <w:szCs w:val="44"/>
          <w:lang w:val="en-US" w:eastAsia="zh-CN"/>
        </w:rPr>
      </w:pPr>
    </w:p>
    <w:p w14:paraId="5782999F">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14:paraId="2A61904B">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14:paraId="5D416C57">
      <w:pPr>
        <w:pStyle w:val="2"/>
        <w:rPr>
          <w:rFonts w:hint="eastAsia"/>
          <w:lang w:val="en-US" w:eastAsia="zh-CN"/>
        </w:rPr>
      </w:pPr>
    </w:p>
    <w:p w14:paraId="5DBB3B91">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14:paraId="02741260">
      <w:pPr>
        <w:pStyle w:val="2"/>
        <w:rPr>
          <w:rFonts w:hint="eastAsia" w:ascii="方正小标宋简体" w:hAnsi="方正小标宋简体" w:eastAsia="方正小标宋简体" w:cs="方正小标宋简体"/>
          <w:sz w:val="44"/>
          <w:szCs w:val="44"/>
          <w:lang w:val="en-US" w:eastAsia="zh-CN"/>
        </w:rPr>
      </w:pPr>
    </w:p>
    <w:p w14:paraId="472C4728">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关于印发六安市“十四五”市场</w:t>
      </w:r>
    </w:p>
    <w:p w14:paraId="4F713342">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监管规划的通知</w:t>
      </w:r>
    </w:p>
    <w:p w14:paraId="51416815">
      <w:pPr>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b w:val="0"/>
          <w:sz w:val="32"/>
          <w:szCs w:val="32"/>
          <w:shd w:val="clear" w:color="auto" w:fill="FFFFFF"/>
          <w:lang w:val="en-US" w:eastAsia="zh-CN"/>
        </w:rPr>
      </w:pPr>
      <w:r>
        <w:rPr>
          <w:rFonts w:hint="eastAsia" w:ascii="仿宋_GB2312" w:hAnsi="仿宋_GB2312" w:eastAsia="仿宋_GB2312" w:cs="仿宋_GB2312"/>
          <w:b w:val="0"/>
          <w:sz w:val="32"/>
          <w:szCs w:val="32"/>
          <w:shd w:val="clear" w:color="auto" w:fill="FFFFFF"/>
          <w:lang w:val="en-US" w:eastAsia="zh-CN"/>
        </w:rPr>
        <w:t>各县区市场监督管理局、市市场监督管理局开发区分局，各县区发展和改革委员会、市开发区发展改革局：</w:t>
      </w:r>
    </w:p>
    <w:p w14:paraId="7A7B51DF">
      <w:pPr>
        <w:pStyle w:val="2"/>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b w:val="0"/>
          <w:sz w:val="32"/>
          <w:szCs w:val="32"/>
          <w:shd w:val="clear" w:color="auto" w:fill="FFFFFF"/>
          <w:lang w:val="en-US" w:eastAsia="zh-CN"/>
        </w:rPr>
      </w:pPr>
      <w:r>
        <w:rPr>
          <w:rFonts w:hint="eastAsia" w:ascii="仿宋_GB2312" w:hAnsi="仿宋_GB2312" w:eastAsia="仿宋_GB2312" w:cs="仿宋_GB2312"/>
          <w:b w:val="0"/>
          <w:sz w:val="32"/>
          <w:szCs w:val="32"/>
          <w:shd w:val="clear" w:color="auto" w:fill="FFFFFF"/>
          <w:lang w:val="en-US" w:eastAsia="zh-CN"/>
        </w:rPr>
        <w:t>现将《六安市“十四五”市场监管规划》印发给你们，请认真贯彻实施。</w:t>
      </w:r>
    </w:p>
    <w:p w14:paraId="2398B508">
      <w:pPr>
        <w:keepNext w:val="0"/>
        <w:keepLines w:val="0"/>
        <w:pageBreakBefore w:val="0"/>
        <w:widowControl w:val="0"/>
        <w:kinsoku/>
        <w:wordWrap/>
        <w:overflowPunct/>
        <w:topLinePunct w:val="0"/>
        <w:autoSpaceDE/>
        <w:autoSpaceDN/>
        <w:bidi w:val="0"/>
        <w:adjustRightInd/>
        <w:snapToGrid/>
        <w:spacing w:line="800" w:lineRule="exact"/>
        <w:ind w:firstLine="641"/>
        <w:textAlignment w:val="auto"/>
        <w:rPr>
          <w:rFonts w:hint="default"/>
          <w:sz w:val="32"/>
          <w:szCs w:val="32"/>
          <w:lang w:val="en-US" w:eastAsia="zh-CN"/>
        </w:rPr>
      </w:pPr>
    </w:p>
    <w:p w14:paraId="4DBDE0BF">
      <w:pPr>
        <w:pageBreakBefore w:val="0"/>
        <w:widowControl w:val="0"/>
        <w:kinsoku/>
        <w:wordWrap/>
        <w:overflowPunct/>
        <w:topLinePunct w:val="0"/>
        <w:autoSpaceDE/>
        <w:autoSpaceDN/>
        <w:bidi w:val="0"/>
        <w:adjustRightInd/>
        <w:snapToGrid/>
        <w:spacing w:line="560" w:lineRule="exact"/>
        <w:rPr>
          <w:rFonts w:hint="default"/>
          <w:sz w:val="32"/>
          <w:szCs w:val="32"/>
          <w:lang w:val="en-US" w:eastAsia="zh-CN"/>
        </w:rPr>
      </w:pPr>
    </w:p>
    <w:p w14:paraId="411DC75F">
      <w:pPr>
        <w:pStyle w:val="2"/>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六安市市场监督管理局          六安市发展和改革委员会</w:t>
      </w:r>
    </w:p>
    <w:p w14:paraId="7B9B2EA7">
      <w:pPr>
        <w:pageBreakBefore w:val="0"/>
        <w:widowControl w:val="0"/>
        <w:kinsoku/>
        <w:wordWrap/>
        <w:overflowPunct/>
        <w:topLinePunct w:val="0"/>
        <w:autoSpaceDE/>
        <w:autoSpaceDN/>
        <w:bidi w:val="0"/>
        <w:adjustRightInd/>
        <w:snapToGrid/>
        <w:spacing w:line="560" w:lineRule="exact"/>
        <w:ind w:firstLine="5440" w:firstLineChars="17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2022年3月2日</w:t>
      </w:r>
    </w:p>
    <w:p w14:paraId="6FBB0976">
      <w:pPr>
        <w:pStyle w:val="2"/>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lang w:val="en-US" w:eastAsia="zh-CN"/>
        </w:rPr>
      </w:pPr>
    </w:p>
    <w:p w14:paraId="29345389">
      <w:pPr>
        <w:pStyle w:val="2"/>
        <w:keepNext/>
        <w:keepLines/>
        <w:pageBreakBefore w:val="0"/>
        <w:widowControl w:val="0"/>
        <w:kinsoku/>
        <w:wordWrap/>
        <w:overflowPunct/>
        <w:topLinePunct w:val="0"/>
        <w:autoSpaceDE/>
        <w:autoSpaceDN/>
        <w:bidi w:val="0"/>
        <w:adjustRightInd/>
        <w:snapToGrid/>
        <w:spacing w:before="157" w:beforeLines="50" w:line="560" w:lineRule="exact"/>
        <w:textAlignment w:val="baseline"/>
        <w:rPr>
          <w:rFonts w:hint="default"/>
          <w:sz w:val="32"/>
          <w:szCs w:val="32"/>
          <w:lang w:val="en-US" w:eastAsia="zh-CN"/>
        </w:rPr>
      </w:pPr>
      <w:r>
        <w:rPr>
          <w:rFonts w:hint="eastAsia" w:ascii="仿宋_GB2312" w:hAnsi="仿宋_GB2312" w:eastAsia="仿宋_GB2312" w:cs="仿宋_GB2312"/>
          <w:b w:val="0"/>
          <w:bCs w:val="0"/>
          <w:sz w:val="32"/>
          <w:szCs w:val="32"/>
          <w:lang w:val="en-US" w:eastAsia="zh-CN"/>
        </w:rPr>
        <w:t>(此件公开发布)</w:t>
      </w:r>
    </w:p>
    <w:p w14:paraId="2D3B01AF">
      <w:pPr>
        <w:pageBreakBefore w:val="0"/>
        <w:widowControl w:val="0"/>
        <w:kinsoku/>
        <w:wordWrap/>
        <w:overflowPunct/>
        <w:topLinePunct w:val="0"/>
        <w:autoSpaceDE/>
        <w:autoSpaceDN/>
        <w:bidi w:val="0"/>
        <w:adjustRightInd/>
        <w:snapToGrid/>
        <w:spacing w:line="560" w:lineRule="exact"/>
        <w:rPr>
          <w:rFonts w:hint="default"/>
          <w:sz w:val="32"/>
          <w:szCs w:val="32"/>
          <w:lang w:val="en-US" w:eastAsia="zh-CN"/>
        </w:rPr>
      </w:pPr>
    </w:p>
    <w:p w14:paraId="4FDC53D3">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pacing w:val="17"/>
          <w:sz w:val="44"/>
          <w:szCs w:val="44"/>
        </w:rPr>
        <w:sectPr>
          <w:footerReference r:id="rId3" w:type="default"/>
          <w:pgSz w:w="11906" w:h="16838"/>
          <w:pgMar w:top="1701" w:right="1474" w:bottom="1701" w:left="1474"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821FFB7">
      <w:pPr>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六安市“十四五”市场监管规划</w:t>
      </w:r>
    </w:p>
    <w:p w14:paraId="480F967E">
      <w:pPr>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32"/>
          <w:szCs w:val="32"/>
        </w:rPr>
      </w:pPr>
    </w:p>
    <w:p w14:paraId="0362D4BB">
      <w:pPr>
        <w:pageBreakBefore w:val="0"/>
        <w:widowControl w:val="0"/>
        <w:kinsoku/>
        <w:wordWrap/>
        <w:overflowPunct/>
        <w:topLinePunct w:val="0"/>
        <w:autoSpaceDE/>
        <w:autoSpaceDN/>
        <w:bidi w:val="0"/>
        <w:adjustRightInd/>
        <w:snapToGrid/>
        <w:spacing w:line="560" w:lineRule="exact"/>
        <w:ind w:firstLine="640" w:firstLineChars="200"/>
        <w:rPr>
          <w:rFonts w:ascii="Times New Roman" w:hAnsi="仿宋_GB2312" w:eastAsia="仿宋_GB2312" w:cs="Times New Roman"/>
          <w:sz w:val="32"/>
          <w:szCs w:val="32"/>
        </w:rPr>
      </w:pPr>
      <w:r>
        <w:rPr>
          <w:rFonts w:ascii="仿宋_GB2312" w:hAnsi="Times New Roman" w:eastAsia="仿宋_GB2312" w:cs="Times New Roman"/>
          <w:kern w:val="0"/>
          <w:sz w:val="32"/>
          <w:szCs w:val="32"/>
        </w:rPr>
        <w:t>为进一步提升市场监管现代化水平，建立高标准市场体系，营造市场化法治化国际化营商环境，服务六安市经济社会高质量发展，</w:t>
      </w:r>
      <w:r>
        <w:rPr>
          <w:rFonts w:ascii="Times New Roman" w:hAnsi="仿宋_GB2312" w:eastAsia="仿宋_GB2312" w:cs="Times New Roman"/>
          <w:sz w:val="32"/>
          <w:szCs w:val="32"/>
        </w:rPr>
        <w:t>根据《</w:t>
      </w:r>
      <w:bookmarkStart w:id="0" w:name="_Hlk33522410"/>
      <w:r>
        <w:rPr>
          <w:rFonts w:ascii="Times New Roman" w:hAnsi="仿宋_GB2312" w:eastAsia="仿宋_GB2312" w:cs="Times New Roman"/>
          <w:bCs/>
          <w:sz w:val="32"/>
          <w:szCs w:val="32"/>
        </w:rPr>
        <w:t>六安市国民经济和社会发展第十四个五年规划和</w:t>
      </w:r>
      <w:r>
        <w:rPr>
          <w:rFonts w:hint="eastAsia" w:ascii="仿宋_GB2312" w:hAnsi="仿宋_GB2312" w:eastAsia="仿宋_GB2312" w:cs="仿宋_GB2312"/>
          <w:bCs/>
          <w:sz w:val="32"/>
          <w:szCs w:val="32"/>
        </w:rPr>
        <w:t>2035</w:t>
      </w:r>
      <w:r>
        <w:rPr>
          <w:rFonts w:ascii="Times New Roman" w:hAnsi="仿宋_GB2312" w:eastAsia="仿宋_GB2312" w:cs="Times New Roman"/>
          <w:bCs/>
          <w:sz w:val="32"/>
          <w:szCs w:val="32"/>
        </w:rPr>
        <w:t>年远景目标纲要</w:t>
      </w:r>
      <w:bookmarkEnd w:id="0"/>
      <w:r>
        <w:rPr>
          <w:rFonts w:ascii="Times New Roman" w:hAnsi="仿宋_GB2312" w:eastAsia="仿宋_GB2312" w:cs="Times New Roman"/>
          <w:sz w:val="32"/>
          <w:szCs w:val="32"/>
        </w:rPr>
        <w:t>》，结合全市市场监管工作实际，编制本规划。</w:t>
      </w:r>
    </w:p>
    <w:p w14:paraId="0E96D87C">
      <w:pPr>
        <w:pageBreakBefore w:val="0"/>
        <w:widowControl w:val="0"/>
        <w:kinsoku/>
        <w:wordWrap/>
        <w:overflowPunct/>
        <w:topLinePunct w:val="0"/>
        <w:autoSpaceDE/>
        <w:autoSpaceDN/>
        <w:bidi w:val="0"/>
        <w:adjustRightInd/>
        <w:snapToGrid/>
        <w:spacing w:line="560" w:lineRule="exact"/>
        <w:ind w:firstLine="640" w:firstLineChars="200"/>
        <w:rPr>
          <w:rStyle w:val="16"/>
          <w:rFonts w:hint="eastAsia" w:ascii="黑体" w:hAnsi="黑体" w:eastAsia="黑体" w:cs="黑体"/>
          <w:b w:val="0"/>
          <w:bCs/>
          <w:sz w:val="32"/>
          <w:szCs w:val="32"/>
          <w:shd w:val="clear" w:color="auto" w:fill="FFFFFF"/>
        </w:rPr>
      </w:pPr>
      <w:r>
        <w:rPr>
          <w:rStyle w:val="16"/>
          <w:rFonts w:hint="eastAsia" w:ascii="黑体" w:hAnsi="黑体" w:eastAsia="黑体" w:cs="黑体"/>
          <w:b w:val="0"/>
          <w:bCs/>
          <w:sz w:val="32"/>
          <w:szCs w:val="32"/>
          <w:shd w:val="clear" w:color="auto" w:fill="FFFFFF"/>
        </w:rPr>
        <w:t>一、发展基础</w:t>
      </w:r>
    </w:p>
    <w:p w14:paraId="4FAE47AA">
      <w:pPr>
        <w:pageBreakBefore w:val="0"/>
        <w:widowControl w:val="0"/>
        <w:kinsoku/>
        <w:wordWrap/>
        <w:overflowPunct/>
        <w:topLinePunct w:val="0"/>
        <w:autoSpaceDE/>
        <w:autoSpaceDN/>
        <w:bidi w:val="0"/>
        <w:adjustRightInd/>
        <w:snapToGrid/>
        <w:spacing w:line="560" w:lineRule="exact"/>
        <w:ind w:firstLine="640" w:firstLineChars="200"/>
        <w:rPr>
          <w:rFonts w:ascii="Times New Roman" w:hAnsi="仿宋_GB2312" w:eastAsia="仿宋_GB2312"/>
          <w:sz w:val="32"/>
          <w:szCs w:val="32"/>
          <w:shd w:val="clear" w:color="auto" w:fill="FFFFFF"/>
        </w:rPr>
      </w:pP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十三五</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期间，全市市场监管系统在市委、市政府和省市场监管局、省药品监管局的正确领导下，认真学习贯彻习近平新时代中国特色社会主义思想，按照国家和省、市统一部署，着力优环境、保安全、提质量、严监管、固根基、树形象，全市市场监管工作取得新的成效。</w:t>
      </w:r>
    </w:p>
    <w:p w14:paraId="27671EBE">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shd w:val="clear" w:color="auto" w:fill="FFFFFF"/>
        </w:rPr>
      </w:pPr>
      <w:r>
        <w:rPr>
          <w:rStyle w:val="16"/>
          <w:rFonts w:hint="eastAsia" w:ascii="楷体_GB2312" w:hAnsi="楷体" w:eastAsia="楷体_GB2312"/>
          <w:b w:val="0"/>
          <w:bCs/>
          <w:sz w:val="32"/>
          <w:szCs w:val="32"/>
          <w:shd w:val="clear" w:color="auto" w:fill="FFFFFF"/>
        </w:rPr>
        <w:t>全面完成机构改革任务。</w:t>
      </w:r>
      <w:r>
        <w:rPr>
          <w:rFonts w:hint="eastAsia" w:ascii="仿宋_GB2312" w:hAnsi="仿宋_GB2312" w:eastAsia="仿宋_GB2312" w:cs="仿宋_GB2312"/>
          <w:sz w:val="32"/>
          <w:szCs w:val="32"/>
          <w:shd w:val="clear" w:color="auto" w:fill="FFFFFF"/>
        </w:rPr>
        <w:t>按照中央、省委、市委机构改革和综合执法改革要求，将原市工商质监局、原市食品药品监管局的职责，以及市发改委的价格监督检查与反垄断执法、市科技局的知识产权行政管理、市</w:t>
      </w:r>
      <w:r>
        <w:rPr>
          <w:rFonts w:hint="eastAsia" w:ascii="仿宋_GB2312" w:hAnsi="仿宋_GB2312" w:eastAsia="仿宋_GB2312" w:cs="仿宋_GB2312"/>
          <w:sz w:val="32"/>
          <w:szCs w:val="32"/>
          <w:shd w:val="clear" w:color="auto" w:fill="FFFFFF"/>
          <w:lang w:eastAsia="zh-CN"/>
        </w:rPr>
        <w:t>国资委</w:t>
      </w:r>
      <w:r>
        <w:rPr>
          <w:rFonts w:hint="eastAsia" w:ascii="仿宋_GB2312" w:hAnsi="仿宋_GB2312" w:eastAsia="仿宋_GB2312" w:cs="仿宋_GB2312"/>
          <w:sz w:val="32"/>
          <w:szCs w:val="32"/>
          <w:shd w:val="clear" w:color="auto" w:fill="FFFFFF"/>
        </w:rPr>
        <w:t>的盐业监督执法职责进行整合，于2019年2月19日挂牌组建六安市市场监督管理局，加挂市知识产权局牌子。2020年4月1日，六安市市场监管综合行政执法支队挂牌成立</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2020年7月9日，六安市质量和标准化研究所成立。</w:t>
      </w:r>
    </w:p>
    <w:p w14:paraId="68ED6801">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Style w:val="16"/>
          <w:rFonts w:ascii="Times New Roman" w:hAnsi="Times New Roman" w:eastAsia="楷体_GB2312"/>
          <w:b w:val="0"/>
          <w:sz w:val="32"/>
          <w:szCs w:val="32"/>
          <w:shd w:val="clear" w:color="auto" w:fill="FFFFFF"/>
        </w:rPr>
        <w:t>营商</w:t>
      </w:r>
      <w:r>
        <w:rPr>
          <w:rFonts w:ascii="Times New Roman" w:hAnsi="Times New Roman" w:eastAsia="楷体_GB2312"/>
          <w:sz w:val="32"/>
          <w:szCs w:val="32"/>
        </w:rPr>
        <w:t>环境</w:t>
      </w:r>
      <w:r>
        <w:rPr>
          <w:rStyle w:val="16"/>
          <w:rFonts w:ascii="Times New Roman" w:hAnsi="Times New Roman" w:eastAsia="楷体_GB2312"/>
          <w:b w:val="0"/>
          <w:sz w:val="32"/>
          <w:szCs w:val="32"/>
          <w:shd w:val="clear" w:color="auto" w:fill="FFFFFF"/>
        </w:rPr>
        <w:t>不断优化。</w:t>
      </w:r>
      <w:r>
        <w:rPr>
          <w:rFonts w:hint="eastAsia" w:ascii="仿宋_GB2312" w:hAnsi="仿宋_GB2312" w:eastAsia="仿宋_GB2312" w:cs="仿宋_GB2312"/>
          <w:sz w:val="32"/>
          <w:szCs w:val="32"/>
        </w:rPr>
        <w:t>企业开办实现“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一网通办、全程网办、一日办结、零成本”。 “多证合一”改革全面推行，企业注销“一网”服务全面实现，工业产品生产许可目录由60类压减至10类，工商登记后置审批事项从194项压减至137项。</w:t>
      </w:r>
      <w:r>
        <w:rPr>
          <w:rFonts w:hint="eastAsia" w:ascii="仿宋_GB2312" w:hAnsi="仿宋_GB2312" w:eastAsia="仿宋_GB2312" w:cs="仿宋_GB2312"/>
          <w:sz w:val="32"/>
          <w:szCs w:val="32"/>
          <w:shd w:val="clear" w:color="auto" w:fill="FFFFFF"/>
        </w:rPr>
        <w:t>率先在全省开展“双随机、一公开”抽查试点工作，建立跨部门和部门内“双随机”抽查工作机制。强化企业信用监管，实施联合惩戒，</w:t>
      </w:r>
      <w:r>
        <w:rPr>
          <w:rFonts w:hint="eastAsia" w:ascii="仿宋_GB2312" w:hAnsi="仿宋_GB2312" w:eastAsia="仿宋_GB2312" w:cs="仿宋_GB2312"/>
          <w:sz w:val="32"/>
          <w:szCs w:val="32"/>
        </w:rPr>
        <w:t>市场活力显著增强。“十三五”末，全市实有各类市场主体348844户，比“十二五”末增长了94.03%。年均增长率达14.20%。</w:t>
      </w:r>
    </w:p>
    <w:p w14:paraId="7E518E09">
      <w:pPr>
        <w:pageBreakBefore w:val="0"/>
        <w:widowControl w:val="0"/>
        <w:kinsoku/>
        <w:wordWrap/>
        <w:overflowPunct/>
        <w:topLinePunct w:val="0"/>
        <w:autoSpaceDE/>
        <w:autoSpaceDN/>
        <w:bidi w:val="0"/>
        <w:adjustRightInd/>
        <w:snapToGrid/>
        <w:spacing w:line="560" w:lineRule="exact"/>
        <w:ind w:firstLine="640" w:firstLineChars="200"/>
        <w:rPr>
          <w:rFonts w:ascii="Times New Roman" w:hAnsi="仿宋_GB2312" w:eastAsia="仿宋_GB2312"/>
          <w:sz w:val="32"/>
          <w:szCs w:val="32"/>
        </w:rPr>
      </w:pPr>
      <w:r>
        <w:rPr>
          <w:rStyle w:val="16"/>
          <w:rFonts w:ascii="楷体_GB2312" w:hAnsi="楷体" w:eastAsia="楷体_GB2312"/>
          <w:b w:val="0"/>
          <w:bCs/>
          <w:sz w:val="32"/>
          <w:szCs w:val="32"/>
          <w:shd w:val="clear" w:color="auto" w:fill="FFFFFF"/>
        </w:rPr>
        <w:t>竞争环境规范有序。</w:t>
      </w:r>
      <w:r>
        <w:rPr>
          <w:rFonts w:ascii="Times New Roman" w:hAnsi="仿宋_GB2312" w:eastAsia="仿宋_GB2312"/>
          <w:sz w:val="32"/>
          <w:szCs w:val="32"/>
        </w:rPr>
        <w:t>全面落实公平竞争审查制度，加强反不正当竞争执法，我市查办的霍邱东方妇产医院商业贿赂案被国家市场监管总局评为</w:t>
      </w:r>
      <w:r>
        <w:rPr>
          <w:rFonts w:ascii="Times New Roman" w:hAnsi="Times New Roman" w:eastAsia="仿宋_GB2312"/>
          <w:sz w:val="32"/>
          <w:szCs w:val="32"/>
        </w:rPr>
        <w:t>“</w:t>
      </w:r>
      <w:r>
        <w:rPr>
          <w:rFonts w:ascii="Times New Roman" w:hAnsi="仿宋_GB2312" w:eastAsia="仿宋_GB2312"/>
          <w:sz w:val="32"/>
          <w:szCs w:val="32"/>
        </w:rPr>
        <w:t>反不正当竞争执法暨百日行动典型案件评审活动优秀案件</w:t>
      </w:r>
      <w:r>
        <w:rPr>
          <w:rFonts w:ascii="Times New Roman" w:hAnsi="Times New Roman" w:eastAsia="仿宋_GB2312"/>
          <w:sz w:val="32"/>
          <w:szCs w:val="32"/>
        </w:rPr>
        <w:t>”</w:t>
      </w:r>
      <w:r>
        <w:rPr>
          <w:rFonts w:ascii="Times New Roman" w:hAnsi="仿宋_GB2312" w:eastAsia="仿宋_GB2312"/>
          <w:sz w:val="32"/>
          <w:szCs w:val="32"/>
        </w:rPr>
        <w:t>。持续开展民生领域价格监管执法，组织行业协会商会违规收费专项整治，切实减轻企业负担。加强广告监管执法，查处一批影响较大的房地产企业和保健品生产销售企业虚假宣传案件。线上线下开展网络交易监管执法，发现并查处一批网上交易违法案件，有力维护正常网络交易秩序。</w:t>
      </w:r>
    </w:p>
    <w:p w14:paraId="5268B9CD">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sz w:val="32"/>
          <w:szCs w:val="32"/>
          <w:shd w:val="clear" w:color="auto" w:fill="FFFFFF"/>
        </w:rPr>
      </w:pPr>
      <w:r>
        <w:rPr>
          <w:rStyle w:val="16"/>
          <w:rFonts w:ascii="楷体_GB2312" w:hAnsi="楷体" w:eastAsia="楷体_GB2312"/>
          <w:b w:val="0"/>
          <w:bCs/>
          <w:sz w:val="32"/>
          <w:szCs w:val="32"/>
          <w:shd w:val="clear" w:color="auto" w:fill="FFFFFF"/>
        </w:rPr>
        <w:t>市场安全明显改善。</w:t>
      </w:r>
      <w:r>
        <w:rPr>
          <w:rFonts w:ascii="Times New Roman" w:hAnsi="仿宋_GB2312" w:eastAsia="仿宋_GB2312"/>
          <w:sz w:val="32"/>
          <w:szCs w:val="32"/>
          <w:shd w:val="clear" w:color="auto" w:fill="FFFFFF"/>
        </w:rPr>
        <w:t>坚决落实习近平总书记</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四个最严</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要求，</w:t>
      </w:r>
      <w:r>
        <w:rPr>
          <w:rFonts w:hint="eastAsia" w:ascii="仿宋_GB2312" w:hAnsi="仿宋_GB2312" w:eastAsia="仿宋_GB2312" w:cs="仿宋_GB2312"/>
          <w:sz w:val="32"/>
          <w:szCs w:val="32"/>
          <w:shd w:val="clear" w:color="auto" w:fill="FFFFFF"/>
        </w:rPr>
        <w:t>切实加强食品安全监管，围绕群众反映强烈的农残超标、非法添加等问题开展专项整治，</w:t>
      </w:r>
      <w:r>
        <w:rPr>
          <w:rFonts w:hint="eastAsia" w:ascii="仿宋_GB2312" w:hAnsi="仿宋_GB2312" w:eastAsia="仿宋_GB2312" w:cs="仿宋_GB2312"/>
          <w:sz w:val="32"/>
          <w:szCs w:val="32"/>
        </w:rPr>
        <w:t>农产品和食品安全抽检合格率达到98%以上。</w:t>
      </w:r>
      <w:r>
        <w:rPr>
          <w:rFonts w:hint="eastAsia" w:ascii="仿宋_GB2312" w:hAnsi="仿宋_GB2312" w:eastAsia="仿宋_GB2312" w:cs="仿宋_GB2312"/>
          <w:sz w:val="32"/>
          <w:szCs w:val="32"/>
          <w:shd w:val="clear" w:color="auto" w:fill="FFFFFF"/>
        </w:rPr>
        <w:t>建立</w:t>
      </w:r>
      <w:r>
        <w:rPr>
          <w:rFonts w:hint="eastAsia" w:ascii="仿宋_GB2312" w:hAnsi="仿宋_GB2312" w:eastAsia="仿宋_GB2312" w:cs="仿宋_GB2312"/>
          <w:sz w:val="32"/>
          <w:szCs w:val="32"/>
        </w:rPr>
        <w:t>食品安全追溯体系，学校食堂“明厨亮灶”覆盖率达100%。强化</w:t>
      </w:r>
      <w:r>
        <w:rPr>
          <w:rFonts w:hint="eastAsia" w:ascii="仿宋_GB2312" w:hAnsi="仿宋_GB2312" w:eastAsia="仿宋_GB2312" w:cs="仿宋_GB2312"/>
          <w:sz w:val="32"/>
          <w:szCs w:val="32"/>
          <w:shd w:val="clear" w:color="auto" w:fill="FFFFFF"/>
        </w:rPr>
        <w:t>药械化安全监管，集中开展疫苗、血液制品、特殊药品等专项整治行动，</w:t>
      </w:r>
      <w:r>
        <w:rPr>
          <w:rFonts w:hint="eastAsia" w:ascii="仿宋_GB2312" w:hAnsi="仿宋_GB2312" w:eastAsia="仿宋_GB2312" w:cs="仿宋_GB2312"/>
          <w:sz w:val="32"/>
          <w:szCs w:val="32"/>
        </w:rPr>
        <w:t>药品、医疗器械抽检合格率分别达99%和94%，人民群众用药安全得到有力保障。强化</w:t>
      </w:r>
      <w:r>
        <w:rPr>
          <w:rFonts w:hint="eastAsia" w:ascii="仿宋_GB2312" w:hAnsi="仿宋_GB2312" w:eastAsia="仿宋_GB2312" w:cs="仿宋_GB2312"/>
          <w:sz w:val="32"/>
          <w:szCs w:val="32"/>
          <w:shd w:val="clear" w:color="auto" w:fill="FFFFFF"/>
        </w:rPr>
        <w:t>特种设备安全监管，</w:t>
      </w:r>
      <w:r>
        <w:rPr>
          <w:rFonts w:ascii="Times New Roman" w:hAnsi="仿宋_GB2312" w:eastAsia="仿宋_GB2312"/>
          <w:sz w:val="32"/>
          <w:szCs w:val="32"/>
        </w:rPr>
        <w:t>出台《六安市电梯安全监督管理暂行办法》，规范日常监管，建设电梯安全信息化监管系统，开展气瓶充装质量追溯信息系统建设，推广运用特种设备安全监管大数据系统，不断提升特种设备安全监管效能。强化</w:t>
      </w:r>
      <w:r>
        <w:rPr>
          <w:rFonts w:ascii="Times New Roman" w:hAnsi="仿宋_GB2312" w:eastAsia="仿宋_GB2312"/>
          <w:sz w:val="32"/>
          <w:szCs w:val="32"/>
          <w:shd w:val="clear" w:color="auto" w:fill="FFFFFF"/>
        </w:rPr>
        <w:t>产品质量安全监管，对危险化学品</w:t>
      </w:r>
      <w:r>
        <w:rPr>
          <w:rFonts w:hint="eastAsia" w:ascii="Times New Roman" w:hAnsi="仿宋_GB2312" w:eastAsia="仿宋_GB2312"/>
          <w:sz w:val="32"/>
          <w:szCs w:val="32"/>
          <w:shd w:val="clear" w:color="auto" w:fill="FFFFFF"/>
        </w:rPr>
        <w:t>、</w:t>
      </w:r>
      <w:r>
        <w:rPr>
          <w:rFonts w:ascii="Times New Roman" w:hAnsi="仿宋_GB2312" w:eastAsia="仿宋_GB2312"/>
          <w:sz w:val="32"/>
          <w:szCs w:val="32"/>
          <w:shd w:val="clear" w:color="auto" w:fill="FFFFFF"/>
        </w:rPr>
        <w:t>烟花爆竹及电线电缆等易燃易爆品、</w:t>
      </w:r>
      <w:r>
        <w:rPr>
          <w:rFonts w:hint="eastAsia" w:ascii="仿宋_GB2312" w:eastAsia="仿宋_GB2312"/>
          <w:sz w:val="32"/>
          <w:szCs w:val="32"/>
        </w:rPr>
        <w:t>车用油品</w:t>
      </w:r>
      <w:r>
        <w:rPr>
          <w:rFonts w:hint="eastAsia" w:ascii="仿宋_GB2312" w:eastAsia="仿宋_GB2312"/>
          <w:sz w:val="32"/>
          <w:szCs w:val="32"/>
          <w:lang w:eastAsia="zh-CN"/>
        </w:rPr>
        <w:t>、</w:t>
      </w:r>
      <w:r>
        <w:rPr>
          <w:rFonts w:hint="eastAsia" w:ascii="仿宋_GB2312" w:eastAsia="仿宋_GB2312"/>
          <w:sz w:val="32"/>
          <w:szCs w:val="32"/>
        </w:rPr>
        <w:t>地膜、塑料购物袋</w:t>
      </w:r>
      <w:r>
        <w:rPr>
          <w:rFonts w:hint="eastAsia" w:ascii="仿宋_GB2312" w:hAnsi="仿宋_GB2312" w:eastAsia="仿宋_GB2312"/>
          <w:sz w:val="32"/>
          <w:szCs w:val="32"/>
          <w:shd w:val="clear" w:color="auto" w:fill="FFFFFF"/>
        </w:rPr>
        <w:t>等</w:t>
      </w:r>
      <w:r>
        <w:rPr>
          <w:rFonts w:hint="eastAsia" w:ascii="仿宋_GB2312" w:eastAsia="仿宋_GB2312"/>
          <w:sz w:val="32"/>
          <w:szCs w:val="32"/>
        </w:rPr>
        <w:t>污染防治重点产品</w:t>
      </w:r>
      <w:r>
        <w:rPr>
          <w:rFonts w:ascii="Times New Roman" w:hAnsi="仿宋_GB2312" w:eastAsia="仿宋_GB2312"/>
          <w:sz w:val="32"/>
          <w:szCs w:val="32"/>
          <w:shd w:val="clear" w:color="auto" w:fill="FFFFFF"/>
        </w:rPr>
        <w:t>开展专项监督检查。实施儿童和学生用品安全守护行动</w:t>
      </w:r>
      <w:r>
        <w:rPr>
          <w:rFonts w:hint="eastAsia" w:ascii="仿宋_GB2312" w:hAnsi="仿宋_GB2312" w:eastAsia="仿宋_GB2312"/>
          <w:sz w:val="32"/>
          <w:szCs w:val="32"/>
          <w:shd w:val="clear" w:color="auto" w:fill="FFFFFF"/>
        </w:rPr>
        <w:t>。</w:t>
      </w:r>
    </w:p>
    <w:p w14:paraId="7BBDE8BB">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Style w:val="16"/>
          <w:rFonts w:ascii="楷体_GB2312" w:hAnsi="楷体" w:eastAsia="楷体_GB2312"/>
          <w:b w:val="0"/>
          <w:bCs/>
          <w:sz w:val="32"/>
          <w:szCs w:val="32"/>
          <w:shd w:val="clear" w:color="auto" w:fill="FFFFFF"/>
        </w:rPr>
        <w:t>质量提升成效显著。</w:t>
      </w:r>
      <w:r>
        <w:rPr>
          <w:rFonts w:hint="eastAsia" w:ascii="仿宋_GB2312" w:hAnsi="仿宋_GB2312" w:eastAsia="仿宋_GB2312" w:cs="仿宋_GB2312"/>
          <w:sz w:val="32"/>
          <w:szCs w:val="32"/>
        </w:rPr>
        <w:t>六安市2020年度质量工作被省政府真抓实干成效明显地方督查激励。霍山县、舒城县、金寨县成功创建安徽省质量强县。建成“全国六安瓜片茶产业知名品牌示范区”。</w:t>
      </w:r>
      <w:r>
        <w:rPr>
          <w:rFonts w:hint="eastAsia" w:ascii="仿宋_GB2312" w:hAnsi="仿宋_GB2312" w:eastAsia="仿宋_GB2312" w:cs="仿宋_GB2312"/>
          <w:color w:val="000000" w:themeColor="text1"/>
          <w:spacing w:val="-2"/>
          <w:sz w:val="32"/>
          <w:szCs w:val="32"/>
          <w14:textFill>
            <w14:solidFill>
              <w14:schemeClr w14:val="tx1"/>
            </w14:solidFill>
          </w14:textFill>
        </w:rPr>
        <w:t>建成全省首家市级质量品牌馆。</w:t>
      </w:r>
      <w:r>
        <w:rPr>
          <w:rFonts w:hint="eastAsia" w:ascii="仿宋_GB2312" w:hAnsi="仿宋_GB2312" w:eastAsia="仿宋_GB2312" w:cs="仿宋_GB2312"/>
          <w:sz w:val="32"/>
          <w:szCs w:val="32"/>
        </w:rPr>
        <w:t>编撰30万字的《六安市产业质量提升调研报告》。</w:t>
      </w:r>
      <w:r>
        <w:rPr>
          <w:rFonts w:hint="eastAsia" w:ascii="仿宋_GB2312" w:hAnsi="仿宋_GB2312" w:eastAsia="仿宋_GB2312" w:cs="仿宋_GB2312"/>
          <w:color w:val="000000" w:themeColor="text1"/>
          <w:spacing w:val="-2"/>
          <w:sz w:val="32"/>
          <w:szCs w:val="32"/>
          <w14:textFill>
            <w14:solidFill>
              <w14:schemeClr w14:val="tx1"/>
            </w14:solidFill>
          </w14:textFill>
        </w:rPr>
        <w:t>全市</w:t>
      </w:r>
      <w:r>
        <w:rPr>
          <w:rFonts w:hint="eastAsia" w:ascii="仿宋_GB2312" w:hAnsi="仿宋_GB2312" w:eastAsia="仿宋_GB2312" w:cs="仿宋_GB2312"/>
          <w:sz w:val="32"/>
          <w:szCs w:val="32"/>
        </w:rPr>
        <w:t>共获评安徽名牌38个、六安名牌97个，10家企业获得苏浙皖赣沪质量品牌荣誉，8家企业获评安徽省首届制造业高端品牌培育企业。成立安徽省缺陷召回管理技术中心六安分中心。</w:t>
      </w:r>
    </w:p>
    <w:p w14:paraId="70889B5E">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Style w:val="16"/>
          <w:rFonts w:ascii="楷体_GB2312" w:eastAsia="楷体_GB2312"/>
          <w:b w:val="0"/>
          <w:sz w:val="32"/>
          <w:szCs w:val="32"/>
          <w:shd w:val="clear" w:color="auto" w:fill="FFFFFF"/>
        </w:rPr>
        <w:t>知识产权建设成效显著。</w:t>
      </w:r>
      <w:r>
        <w:rPr>
          <w:rFonts w:hint="eastAsia" w:ascii="仿宋_GB2312" w:hAnsi="仿宋_GB2312" w:eastAsia="仿宋_GB2312" w:cs="仿宋_GB2312"/>
          <w:sz w:val="32"/>
          <w:szCs w:val="32"/>
        </w:rPr>
        <w:t>出台了《六安市关于支持知识产权创造与运用的若干措施》，实现</w:t>
      </w:r>
      <w:r>
        <w:rPr>
          <w:rFonts w:hint="eastAsia" w:ascii="仿宋_GB2312" w:hAnsi="仿宋_GB2312" w:eastAsia="仿宋_GB2312" w:cs="仿宋_GB2312"/>
          <w:bCs/>
          <w:sz w:val="32"/>
          <w:szCs w:val="32"/>
        </w:rPr>
        <w:t>专利权质押融资总额17.74亿元。</w:t>
      </w:r>
      <w:r>
        <w:rPr>
          <w:rFonts w:hint="eastAsia" w:ascii="仿宋_GB2312" w:hAnsi="仿宋_GB2312" w:eastAsia="仿宋_GB2312" w:cs="仿宋_GB2312"/>
          <w:sz w:val="32"/>
          <w:szCs w:val="32"/>
        </w:rPr>
        <w:t>培育创建市级以上知识产权优势企业114家。创建国家知识产权强县示范县1个、试点县2个，省级知识产权试点县4个，省级知识产权示范园区3家。“十三五”末，全市发明专利有效量2312件，每万人口发明专利拥有量4.7件。全市商标申请量51032件，有效注册量41165件，每万户市场主体注册商标拥有量1180件。</w:t>
      </w:r>
    </w:p>
    <w:p w14:paraId="23F53CB5">
      <w:pPr>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Style w:val="16"/>
          <w:rFonts w:ascii="楷体_GB2312" w:eastAsia="楷体_GB2312"/>
          <w:b w:val="0"/>
          <w:sz w:val="32"/>
          <w:szCs w:val="32"/>
          <w:shd w:val="clear" w:color="auto" w:fill="FFFFFF"/>
        </w:rPr>
        <w:t>市场监管执法能力水平稳步提高。</w:t>
      </w:r>
      <w:r>
        <w:rPr>
          <w:rFonts w:hint="eastAsia" w:ascii="仿宋_GB2312" w:hAnsi="仿宋_GB2312" w:eastAsia="仿宋_GB2312" w:cs="仿宋_GB2312"/>
          <w:sz w:val="32"/>
          <w:szCs w:val="32"/>
        </w:rPr>
        <w:t>出台《六安市市场监管局行政执法案件办理暂行规定》。大力开展重点领域执法和联合“双打”、“长江禁捕打非断链”、“扫黑除恶”等专项执法行动，挂牌办理一批重大典型案件。2020年，全市共查结各类违法案件4221件，罚没款2414.00万元。一起加工、出售非国家重点保护野生动物案入选2020年度国家市场监管总局“联合双打行动”典型案例；某房地产代理公司和某教育培训公司侵害消费者个人信息案入选2020年度国家市场监管总局“守护消费”暨打击侵害消费者个人信息违法行为专项执法行动典型案例。</w:t>
      </w:r>
    </w:p>
    <w:p w14:paraId="3D941E99">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sz w:val="32"/>
          <w:szCs w:val="32"/>
        </w:rPr>
      </w:pPr>
      <w:r>
        <w:rPr>
          <w:rStyle w:val="16"/>
          <w:rFonts w:ascii="楷体_GB2312" w:eastAsia="楷体_GB2312"/>
          <w:b w:val="0"/>
          <w:sz w:val="32"/>
          <w:szCs w:val="32"/>
          <w:shd w:val="clear" w:color="auto" w:fill="FFFFFF"/>
        </w:rPr>
        <w:t>消费环境持续改善。</w:t>
      </w:r>
      <w:r>
        <w:rPr>
          <w:rFonts w:hint="eastAsia" w:ascii="仿宋_GB2312" w:hAnsi="仿宋_GB2312" w:eastAsia="仿宋_GB2312" w:cs="仿宋_GB2312"/>
          <w:sz w:val="32"/>
          <w:szCs w:val="32"/>
        </w:rPr>
        <w:t>“十三五”期间，我市大力加强消费者权益保护，持续改善市场消费环境，人民群众消费满意度不断提高。12315</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受理消费者投诉举报咨询近10万件，每年为消费者挽回经济损失近600万元。12315“五进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商场、进超市、进市场、进企业、进景区）活动深入开展，共建立消费维权服务站285个，依托辖区市场监管所、村、社区设立“一会两站”1304个。在重点行业领域，建立消费维权绿色通道26个。1500余家单位参与全市放心消费创建活动，372家企业（店）承诺线下实体店无理由退货。每年开展</w:t>
      </w:r>
      <w:r>
        <w:rPr>
          <w:rFonts w:hint="eastAsia" w:ascii="仿宋_GB2312" w:hAnsi="仿宋_GB2312" w:eastAsia="仿宋_GB2312" w:cs="仿宋_GB2312"/>
          <w:spacing w:val="17"/>
          <w:sz w:val="32"/>
          <w:szCs w:val="32"/>
        </w:rPr>
        <w:t>3·15</w:t>
      </w:r>
      <w:r>
        <w:rPr>
          <w:rFonts w:hint="eastAsia" w:ascii="仿宋_GB2312" w:hAnsi="仿宋_GB2312" w:eastAsia="仿宋_GB2312" w:cs="仿宋_GB2312"/>
          <w:sz w:val="32"/>
          <w:szCs w:val="32"/>
        </w:rPr>
        <w:t>消费维权宣传和集中打假治劣、销毁假冒伪劣商品活动，人民群众消费维权意识进一步增强。</w:t>
      </w:r>
    </w:p>
    <w:tbl>
      <w:tblPr>
        <w:tblStyle w:val="14"/>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479"/>
        <w:gridCol w:w="1134"/>
        <w:gridCol w:w="1134"/>
        <w:gridCol w:w="1047"/>
      </w:tblGrid>
      <w:tr w14:paraId="0EB2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4" w:type="dxa"/>
            <w:gridSpan w:val="5"/>
          </w:tcPr>
          <w:p w14:paraId="17A70541">
            <w:pPr>
              <w:keepNext w:val="0"/>
              <w:keepLines w:val="0"/>
              <w:pageBreakBefore w:val="0"/>
              <w:widowControl w:val="0"/>
              <w:kinsoku/>
              <w:wordWrap/>
              <w:overflowPunct/>
              <w:topLinePunct w:val="0"/>
              <w:autoSpaceDE/>
              <w:autoSpaceDN/>
              <w:bidi w:val="0"/>
              <w:adjustRightInd/>
              <w:snapToGrid/>
              <w:spacing w:after="63" w:afterLines="20" w:line="560" w:lineRule="exact"/>
              <w:jc w:val="center"/>
              <w:textAlignment w:val="auto"/>
              <w:rPr>
                <w:rFonts w:ascii="黑体" w:hAnsi="黑体" w:eastAsia="黑体" w:cs="Times New Roman"/>
                <w:sz w:val="28"/>
                <w:szCs w:val="28"/>
              </w:rPr>
            </w:pPr>
            <w:r>
              <w:rPr>
                <w:rFonts w:hint="eastAsia" w:ascii="黑体" w:hAnsi="黑体" w:eastAsia="黑体" w:cs="Times New Roman"/>
                <w:sz w:val="28"/>
                <w:szCs w:val="28"/>
              </w:rPr>
              <w:t>专栏1  “十三五”市场监管主要指标完成情况</w:t>
            </w:r>
          </w:p>
        </w:tc>
      </w:tr>
      <w:tr w14:paraId="72FC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Pr>
          <w:p w14:paraId="22380BD4">
            <w:pPr>
              <w:keepNext w:val="0"/>
              <w:keepLines w:val="0"/>
              <w:pageBreakBefore w:val="0"/>
              <w:widowControl w:val="0"/>
              <w:kinsoku/>
              <w:wordWrap/>
              <w:overflowPunct/>
              <w:topLinePunct w:val="0"/>
              <w:autoSpaceDE/>
              <w:autoSpaceDN/>
              <w:bidi w:val="0"/>
              <w:adjustRightInd/>
              <w:snapToGrid/>
              <w:spacing w:after="32" w:afterLines="10"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4479" w:type="dxa"/>
          </w:tcPr>
          <w:p w14:paraId="48C56F1B">
            <w:pPr>
              <w:keepNext w:val="0"/>
              <w:keepLines w:val="0"/>
              <w:pageBreakBefore w:val="0"/>
              <w:widowControl w:val="0"/>
              <w:kinsoku/>
              <w:wordWrap/>
              <w:overflowPunct/>
              <w:topLinePunct w:val="0"/>
              <w:autoSpaceDE/>
              <w:autoSpaceDN/>
              <w:bidi w:val="0"/>
              <w:adjustRightInd/>
              <w:snapToGrid/>
              <w:spacing w:after="32" w:afterLines="10"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指</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标</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名</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称</w:t>
            </w:r>
          </w:p>
        </w:tc>
        <w:tc>
          <w:tcPr>
            <w:tcW w:w="1134" w:type="dxa"/>
          </w:tcPr>
          <w:p w14:paraId="6774BBD5">
            <w:pPr>
              <w:keepNext w:val="0"/>
              <w:keepLines w:val="0"/>
              <w:pageBreakBefore w:val="0"/>
              <w:widowControl w:val="0"/>
              <w:kinsoku/>
              <w:wordWrap/>
              <w:overflowPunct/>
              <w:topLinePunct w:val="0"/>
              <w:autoSpaceDE/>
              <w:autoSpaceDN/>
              <w:bidi w:val="0"/>
              <w:adjustRightInd/>
              <w:snapToGrid/>
              <w:spacing w:after="32" w:afterLines="10"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2015年</w:t>
            </w:r>
          </w:p>
        </w:tc>
        <w:tc>
          <w:tcPr>
            <w:tcW w:w="1134" w:type="dxa"/>
          </w:tcPr>
          <w:p w14:paraId="666BD29E">
            <w:pPr>
              <w:keepNext w:val="0"/>
              <w:keepLines w:val="0"/>
              <w:pageBreakBefore w:val="0"/>
              <w:widowControl w:val="0"/>
              <w:kinsoku/>
              <w:wordWrap/>
              <w:overflowPunct/>
              <w:topLinePunct w:val="0"/>
              <w:autoSpaceDE/>
              <w:autoSpaceDN/>
              <w:bidi w:val="0"/>
              <w:adjustRightInd/>
              <w:snapToGrid/>
              <w:spacing w:after="32" w:afterLines="10"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2020年</w:t>
            </w:r>
          </w:p>
        </w:tc>
        <w:tc>
          <w:tcPr>
            <w:tcW w:w="1047" w:type="dxa"/>
          </w:tcPr>
          <w:p w14:paraId="5A2B01D0">
            <w:pPr>
              <w:keepNext w:val="0"/>
              <w:keepLines w:val="0"/>
              <w:pageBreakBefore w:val="0"/>
              <w:widowControl w:val="0"/>
              <w:kinsoku/>
              <w:wordWrap/>
              <w:overflowPunct/>
              <w:topLinePunct w:val="0"/>
              <w:autoSpaceDE/>
              <w:autoSpaceDN/>
              <w:bidi w:val="0"/>
              <w:adjustRightInd/>
              <w:snapToGrid/>
              <w:spacing w:after="32" w:afterLines="10"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增长</w:t>
            </w:r>
          </w:p>
        </w:tc>
      </w:tr>
      <w:tr w14:paraId="6A80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5473DDE6">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w:t>
            </w:r>
          </w:p>
        </w:tc>
        <w:tc>
          <w:tcPr>
            <w:tcW w:w="4479" w:type="dxa"/>
          </w:tcPr>
          <w:p w14:paraId="2ABBEFBB">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市场主体总数（户）</w:t>
            </w:r>
          </w:p>
        </w:tc>
        <w:tc>
          <w:tcPr>
            <w:tcW w:w="1134" w:type="dxa"/>
          </w:tcPr>
          <w:p w14:paraId="68A7B0FA">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179787</w:t>
            </w:r>
          </w:p>
        </w:tc>
        <w:tc>
          <w:tcPr>
            <w:tcW w:w="1134" w:type="dxa"/>
          </w:tcPr>
          <w:p w14:paraId="78B08F88">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348844</w:t>
            </w:r>
          </w:p>
        </w:tc>
        <w:tc>
          <w:tcPr>
            <w:tcW w:w="1047" w:type="dxa"/>
          </w:tcPr>
          <w:p w14:paraId="4189853A">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94</w:t>
            </w:r>
            <w:r>
              <w:rPr>
                <w:rFonts w:hint="eastAsia" w:ascii="仿宋_GB2312" w:eastAsia="仿宋_GB2312" w:cs="Times New Roman" w:hAnsiTheme="minorEastAsia"/>
                <w:kern w:val="0"/>
                <w:sz w:val="28"/>
                <w:szCs w:val="28"/>
              </w:rPr>
              <w:t>％</w:t>
            </w:r>
          </w:p>
        </w:tc>
      </w:tr>
      <w:tr w14:paraId="6F60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046C65DD">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2</w:t>
            </w:r>
          </w:p>
        </w:tc>
        <w:tc>
          <w:tcPr>
            <w:tcW w:w="4479" w:type="dxa"/>
          </w:tcPr>
          <w:p w14:paraId="42CD2086">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企业总数（户）</w:t>
            </w:r>
          </w:p>
        </w:tc>
        <w:tc>
          <w:tcPr>
            <w:tcW w:w="1134" w:type="dxa"/>
          </w:tcPr>
          <w:p w14:paraId="44B2AD77">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32302</w:t>
            </w:r>
          </w:p>
        </w:tc>
        <w:tc>
          <w:tcPr>
            <w:tcW w:w="1134" w:type="dxa"/>
          </w:tcPr>
          <w:p w14:paraId="45D1CFDC">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97234</w:t>
            </w:r>
          </w:p>
        </w:tc>
        <w:tc>
          <w:tcPr>
            <w:tcW w:w="1047" w:type="dxa"/>
          </w:tcPr>
          <w:p w14:paraId="17B97A17">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201</w:t>
            </w:r>
            <w:r>
              <w:rPr>
                <w:rFonts w:hint="eastAsia" w:ascii="仿宋_GB2312" w:eastAsia="仿宋_GB2312" w:cs="Times New Roman" w:hAnsiTheme="minorEastAsia"/>
                <w:kern w:val="0"/>
                <w:sz w:val="28"/>
                <w:szCs w:val="28"/>
              </w:rPr>
              <w:t>％</w:t>
            </w:r>
          </w:p>
        </w:tc>
      </w:tr>
      <w:tr w14:paraId="781F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67D3E357">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3</w:t>
            </w:r>
          </w:p>
        </w:tc>
        <w:tc>
          <w:tcPr>
            <w:tcW w:w="4479" w:type="dxa"/>
          </w:tcPr>
          <w:p w14:paraId="2C8DF7A1">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每万人口有效发明专利拥有量（件）</w:t>
            </w:r>
          </w:p>
        </w:tc>
        <w:tc>
          <w:tcPr>
            <w:tcW w:w="1134" w:type="dxa"/>
            <w:vAlign w:val="center"/>
          </w:tcPr>
          <w:p w14:paraId="4FF22014">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0.99</w:t>
            </w:r>
          </w:p>
        </w:tc>
        <w:tc>
          <w:tcPr>
            <w:tcW w:w="1134" w:type="dxa"/>
            <w:vAlign w:val="center"/>
          </w:tcPr>
          <w:p w14:paraId="059D4E56">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4.7</w:t>
            </w:r>
          </w:p>
        </w:tc>
        <w:tc>
          <w:tcPr>
            <w:tcW w:w="1047" w:type="dxa"/>
            <w:vAlign w:val="center"/>
          </w:tcPr>
          <w:p w14:paraId="677B302C">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375</w:t>
            </w:r>
            <w:r>
              <w:rPr>
                <w:rFonts w:hint="eastAsia" w:ascii="仿宋_GB2312" w:eastAsia="仿宋_GB2312" w:cs="Times New Roman" w:hAnsiTheme="minorEastAsia"/>
                <w:sz w:val="28"/>
                <w:szCs w:val="28"/>
              </w:rPr>
              <w:t>％</w:t>
            </w:r>
          </w:p>
        </w:tc>
      </w:tr>
      <w:tr w14:paraId="2320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166ABCD3">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4</w:t>
            </w:r>
          </w:p>
        </w:tc>
        <w:tc>
          <w:tcPr>
            <w:tcW w:w="4479" w:type="dxa"/>
          </w:tcPr>
          <w:p w14:paraId="2ABE95D4">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pacing w:val="-22"/>
                <w:sz w:val="28"/>
                <w:szCs w:val="28"/>
              </w:rPr>
            </w:pPr>
            <w:r>
              <w:rPr>
                <w:rFonts w:hint="eastAsia" w:ascii="仿宋_GB2312" w:eastAsia="仿宋_GB2312" w:cs="Times New Roman" w:hAnsiTheme="minorEastAsia"/>
                <w:spacing w:val="-22"/>
                <w:sz w:val="28"/>
                <w:szCs w:val="28"/>
              </w:rPr>
              <w:t>每万户市场主体注册商标拥有量（件）</w:t>
            </w:r>
          </w:p>
        </w:tc>
        <w:tc>
          <w:tcPr>
            <w:tcW w:w="1134" w:type="dxa"/>
            <w:vAlign w:val="center"/>
          </w:tcPr>
          <w:p w14:paraId="1B09E07B">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681</w:t>
            </w:r>
          </w:p>
        </w:tc>
        <w:tc>
          <w:tcPr>
            <w:tcW w:w="1134" w:type="dxa"/>
            <w:vAlign w:val="center"/>
          </w:tcPr>
          <w:p w14:paraId="0F7160F1">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1180</w:t>
            </w:r>
          </w:p>
        </w:tc>
        <w:tc>
          <w:tcPr>
            <w:tcW w:w="1047" w:type="dxa"/>
            <w:vAlign w:val="center"/>
          </w:tcPr>
          <w:p w14:paraId="04531E20">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73</w:t>
            </w:r>
            <w:r>
              <w:rPr>
                <w:rFonts w:hint="eastAsia" w:ascii="仿宋_GB2312" w:eastAsia="仿宋_GB2312" w:cs="Times New Roman" w:hAnsiTheme="minorEastAsia"/>
                <w:sz w:val="28"/>
                <w:szCs w:val="28"/>
              </w:rPr>
              <w:t>％</w:t>
            </w:r>
          </w:p>
        </w:tc>
      </w:tr>
      <w:tr w14:paraId="0DC5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12EC6107">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5</w:t>
            </w:r>
          </w:p>
        </w:tc>
        <w:tc>
          <w:tcPr>
            <w:tcW w:w="4479" w:type="dxa"/>
          </w:tcPr>
          <w:p w14:paraId="36AFE3A3">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有效注册商标总量（件）</w:t>
            </w:r>
          </w:p>
        </w:tc>
        <w:tc>
          <w:tcPr>
            <w:tcW w:w="1134" w:type="dxa"/>
          </w:tcPr>
          <w:p w14:paraId="46D97A3B">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12248</w:t>
            </w:r>
          </w:p>
        </w:tc>
        <w:tc>
          <w:tcPr>
            <w:tcW w:w="1134" w:type="dxa"/>
          </w:tcPr>
          <w:p w14:paraId="3B58C566">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41165</w:t>
            </w:r>
          </w:p>
        </w:tc>
        <w:tc>
          <w:tcPr>
            <w:tcW w:w="1047" w:type="dxa"/>
          </w:tcPr>
          <w:p w14:paraId="34D72582">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236</w:t>
            </w:r>
            <w:r>
              <w:rPr>
                <w:rFonts w:hint="eastAsia" w:ascii="仿宋_GB2312" w:eastAsia="仿宋_GB2312" w:hAnsiTheme="minorEastAsia"/>
                <w:kern w:val="0"/>
                <w:sz w:val="28"/>
                <w:szCs w:val="28"/>
              </w:rPr>
              <w:t>％</w:t>
            </w:r>
          </w:p>
        </w:tc>
      </w:tr>
      <w:tr w14:paraId="4B74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266BF41E">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6</w:t>
            </w:r>
          </w:p>
        </w:tc>
        <w:tc>
          <w:tcPr>
            <w:tcW w:w="4479" w:type="dxa"/>
          </w:tcPr>
          <w:p w14:paraId="17210497">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有效发明专利总量（件）</w:t>
            </w:r>
          </w:p>
        </w:tc>
        <w:tc>
          <w:tcPr>
            <w:tcW w:w="1134" w:type="dxa"/>
          </w:tcPr>
          <w:p w14:paraId="231243CC">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565</w:t>
            </w:r>
          </w:p>
        </w:tc>
        <w:tc>
          <w:tcPr>
            <w:tcW w:w="1134" w:type="dxa"/>
          </w:tcPr>
          <w:p w14:paraId="04D726A7">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2312</w:t>
            </w:r>
          </w:p>
        </w:tc>
        <w:tc>
          <w:tcPr>
            <w:tcW w:w="1047" w:type="dxa"/>
          </w:tcPr>
          <w:p w14:paraId="27798DD6">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309</w:t>
            </w:r>
            <w:r>
              <w:rPr>
                <w:rFonts w:hint="eastAsia" w:ascii="仿宋_GB2312" w:eastAsia="仿宋_GB2312" w:hAnsiTheme="minorEastAsia"/>
                <w:kern w:val="0"/>
                <w:sz w:val="28"/>
                <w:szCs w:val="28"/>
              </w:rPr>
              <w:t>％</w:t>
            </w:r>
          </w:p>
        </w:tc>
      </w:tr>
      <w:tr w14:paraId="77C7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5D768940">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7</w:t>
            </w:r>
          </w:p>
        </w:tc>
        <w:tc>
          <w:tcPr>
            <w:tcW w:w="4479" w:type="dxa"/>
          </w:tcPr>
          <w:p w14:paraId="75E62688">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地理标志产品（件）</w:t>
            </w:r>
          </w:p>
        </w:tc>
        <w:tc>
          <w:tcPr>
            <w:tcW w:w="1134" w:type="dxa"/>
          </w:tcPr>
          <w:p w14:paraId="34A06E94">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10</w:t>
            </w:r>
          </w:p>
        </w:tc>
        <w:tc>
          <w:tcPr>
            <w:tcW w:w="1134" w:type="dxa"/>
          </w:tcPr>
          <w:p w14:paraId="620C863B">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11</w:t>
            </w:r>
          </w:p>
        </w:tc>
        <w:tc>
          <w:tcPr>
            <w:tcW w:w="1047" w:type="dxa"/>
          </w:tcPr>
          <w:p w14:paraId="3ED972EE">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kern w:val="0"/>
                <w:sz w:val="28"/>
                <w:szCs w:val="28"/>
              </w:rPr>
              <w:t>10</w:t>
            </w:r>
            <w:r>
              <w:rPr>
                <w:rFonts w:hint="eastAsia" w:ascii="仿宋_GB2312" w:eastAsia="仿宋_GB2312" w:cs="Times New Roman" w:hAnsiTheme="minorEastAsia"/>
                <w:kern w:val="0"/>
                <w:sz w:val="28"/>
                <w:szCs w:val="28"/>
              </w:rPr>
              <w:t>％</w:t>
            </w:r>
          </w:p>
        </w:tc>
      </w:tr>
      <w:tr w14:paraId="05E3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6812A8C6">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8</w:t>
            </w:r>
          </w:p>
        </w:tc>
        <w:tc>
          <w:tcPr>
            <w:tcW w:w="4479" w:type="dxa"/>
          </w:tcPr>
          <w:p w14:paraId="6D05BC99">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知识产权质押融资登记金额（亿元）</w:t>
            </w:r>
          </w:p>
        </w:tc>
        <w:tc>
          <w:tcPr>
            <w:tcW w:w="1134" w:type="dxa"/>
          </w:tcPr>
          <w:p w14:paraId="3DE15034">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0.26</w:t>
            </w:r>
          </w:p>
        </w:tc>
        <w:tc>
          <w:tcPr>
            <w:tcW w:w="1134" w:type="dxa"/>
          </w:tcPr>
          <w:p w14:paraId="194BFF05">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z w:val="28"/>
                <w:szCs w:val="28"/>
              </w:rPr>
            </w:pPr>
            <w:r>
              <w:rPr>
                <w:rFonts w:hint="eastAsia" w:ascii="仿宋_GB2312" w:hAnsi="Times New Roman" w:eastAsia="仿宋_GB2312"/>
                <w:sz w:val="28"/>
                <w:szCs w:val="28"/>
              </w:rPr>
              <w:t>3.1</w:t>
            </w:r>
          </w:p>
        </w:tc>
        <w:tc>
          <w:tcPr>
            <w:tcW w:w="1047" w:type="dxa"/>
          </w:tcPr>
          <w:p w14:paraId="4B33FAC4">
            <w:pPr>
              <w:pStyle w:val="6"/>
              <w:keepNext w:val="0"/>
              <w:keepLines w:val="0"/>
              <w:pageBreakBefore w:val="0"/>
              <w:widowControl w:val="0"/>
              <w:kinsoku/>
              <w:wordWrap/>
              <w:overflowPunct/>
              <w:topLinePunct w:val="0"/>
              <w:autoSpaceDE/>
              <w:autoSpaceDN/>
              <w:bidi w:val="0"/>
              <w:adjustRightInd/>
              <w:snapToGrid/>
              <w:spacing w:after="32" w:afterLines="10" w:line="510" w:lineRule="exact"/>
              <w:ind w:firstLine="0" w:firstLineChars="0"/>
              <w:jc w:val="center"/>
              <w:textAlignment w:val="auto"/>
              <w:rPr>
                <w:rFonts w:ascii="仿宋_GB2312" w:hAnsi="Times New Roman" w:eastAsia="仿宋_GB2312"/>
                <w:spacing w:val="-22"/>
                <w:kern w:val="0"/>
                <w:sz w:val="28"/>
                <w:szCs w:val="28"/>
              </w:rPr>
            </w:pPr>
            <w:r>
              <w:rPr>
                <w:rFonts w:hint="eastAsia" w:ascii="仿宋_GB2312" w:hAnsi="Times New Roman" w:eastAsia="仿宋_GB2312"/>
                <w:spacing w:val="-22"/>
                <w:kern w:val="0"/>
                <w:sz w:val="28"/>
                <w:szCs w:val="28"/>
              </w:rPr>
              <w:t>1092</w:t>
            </w:r>
            <w:r>
              <w:rPr>
                <w:rFonts w:hint="eastAsia" w:ascii="仿宋_GB2312" w:eastAsia="仿宋_GB2312" w:hAnsiTheme="minorEastAsia"/>
                <w:spacing w:val="-22"/>
                <w:kern w:val="0"/>
                <w:sz w:val="28"/>
                <w:szCs w:val="28"/>
              </w:rPr>
              <w:t>％</w:t>
            </w:r>
          </w:p>
        </w:tc>
      </w:tr>
      <w:tr w14:paraId="6FCD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04E6FC6D">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9</w:t>
            </w:r>
          </w:p>
        </w:tc>
        <w:tc>
          <w:tcPr>
            <w:tcW w:w="4479" w:type="dxa"/>
          </w:tcPr>
          <w:p w14:paraId="4B0BBEC1">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全市社会公用计量标准（项）</w:t>
            </w:r>
          </w:p>
        </w:tc>
        <w:tc>
          <w:tcPr>
            <w:tcW w:w="1134" w:type="dxa"/>
            <w:vAlign w:val="center"/>
          </w:tcPr>
          <w:p w14:paraId="23DEA383">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117</w:t>
            </w:r>
          </w:p>
        </w:tc>
        <w:tc>
          <w:tcPr>
            <w:tcW w:w="1134" w:type="dxa"/>
            <w:vAlign w:val="center"/>
          </w:tcPr>
          <w:p w14:paraId="06669F80">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173</w:t>
            </w:r>
          </w:p>
        </w:tc>
        <w:tc>
          <w:tcPr>
            <w:tcW w:w="1047" w:type="dxa"/>
            <w:vAlign w:val="center"/>
          </w:tcPr>
          <w:p w14:paraId="22BC971B">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48</w:t>
            </w:r>
            <w:r>
              <w:rPr>
                <w:rFonts w:hint="eastAsia" w:ascii="仿宋_GB2312" w:eastAsia="仿宋_GB2312" w:cs="Times New Roman" w:hAnsiTheme="minorEastAsia"/>
                <w:kern w:val="0"/>
                <w:sz w:val="28"/>
                <w:szCs w:val="28"/>
              </w:rPr>
              <w:t>％</w:t>
            </w:r>
          </w:p>
        </w:tc>
      </w:tr>
      <w:tr w14:paraId="440D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007DC2F6">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10</w:t>
            </w:r>
          </w:p>
        </w:tc>
        <w:tc>
          <w:tcPr>
            <w:tcW w:w="4479" w:type="dxa"/>
          </w:tcPr>
          <w:p w14:paraId="728E2F77">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最高计量标准（项）</w:t>
            </w:r>
          </w:p>
        </w:tc>
        <w:tc>
          <w:tcPr>
            <w:tcW w:w="1134" w:type="dxa"/>
          </w:tcPr>
          <w:p w14:paraId="2E223933">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56</w:t>
            </w:r>
          </w:p>
        </w:tc>
        <w:tc>
          <w:tcPr>
            <w:tcW w:w="1134" w:type="dxa"/>
          </w:tcPr>
          <w:p w14:paraId="6C85BD3D">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78</w:t>
            </w:r>
          </w:p>
        </w:tc>
        <w:tc>
          <w:tcPr>
            <w:tcW w:w="1047" w:type="dxa"/>
          </w:tcPr>
          <w:p w14:paraId="07800E1B">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39</w:t>
            </w:r>
            <w:r>
              <w:rPr>
                <w:rFonts w:hint="eastAsia" w:ascii="仿宋_GB2312" w:eastAsia="仿宋_GB2312" w:cs="Times New Roman" w:hAnsiTheme="minorEastAsia"/>
                <w:kern w:val="0"/>
                <w:sz w:val="28"/>
                <w:szCs w:val="28"/>
              </w:rPr>
              <w:t>％</w:t>
            </w:r>
          </w:p>
        </w:tc>
      </w:tr>
      <w:tr w14:paraId="69BE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34DDFC7A">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11</w:t>
            </w:r>
          </w:p>
        </w:tc>
        <w:tc>
          <w:tcPr>
            <w:tcW w:w="4479" w:type="dxa"/>
          </w:tcPr>
          <w:p w14:paraId="5E807945">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生产领域产品质量监督抽查合格率</w:t>
            </w:r>
          </w:p>
        </w:tc>
        <w:tc>
          <w:tcPr>
            <w:tcW w:w="1134" w:type="dxa"/>
            <w:vAlign w:val="center"/>
          </w:tcPr>
          <w:p w14:paraId="6A9EF35C">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94.4%</w:t>
            </w:r>
          </w:p>
        </w:tc>
        <w:tc>
          <w:tcPr>
            <w:tcW w:w="1134" w:type="dxa"/>
            <w:vAlign w:val="center"/>
          </w:tcPr>
          <w:p w14:paraId="641D4389">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98%</w:t>
            </w:r>
          </w:p>
        </w:tc>
        <w:tc>
          <w:tcPr>
            <w:tcW w:w="1047" w:type="dxa"/>
            <w:vAlign w:val="center"/>
          </w:tcPr>
          <w:p w14:paraId="44D33C64">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3.8</w:t>
            </w:r>
            <w:r>
              <w:rPr>
                <w:rFonts w:hint="eastAsia" w:ascii="仿宋_GB2312" w:eastAsia="仿宋_GB2312" w:cs="Times New Roman" w:hAnsiTheme="minorEastAsia"/>
                <w:kern w:val="0"/>
                <w:sz w:val="28"/>
                <w:szCs w:val="28"/>
              </w:rPr>
              <w:t>％</w:t>
            </w:r>
          </w:p>
        </w:tc>
      </w:tr>
      <w:tr w14:paraId="2BEF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20EBED8E">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12</w:t>
            </w:r>
          </w:p>
        </w:tc>
        <w:tc>
          <w:tcPr>
            <w:tcW w:w="4479" w:type="dxa"/>
          </w:tcPr>
          <w:p w14:paraId="17FF83CB">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全市获资质认定检验检测机构（家）</w:t>
            </w:r>
          </w:p>
        </w:tc>
        <w:tc>
          <w:tcPr>
            <w:tcW w:w="1134" w:type="dxa"/>
            <w:vAlign w:val="center"/>
          </w:tcPr>
          <w:p w14:paraId="6823679C">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75</w:t>
            </w:r>
          </w:p>
        </w:tc>
        <w:tc>
          <w:tcPr>
            <w:tcW w:w="1134" w:type="dxa"/>
            <w:vAlign w:val="center"/>
          </w:tcPr>
          <w:p w14:paraId="5C813A10">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93</w:t>
            </w:r>
          </w:p>
        </w:tc>
        <w:tc>
          <w:tcPr>
            <w:tcW w:w="1047" w:type="dxa"/>
            <w:vAlign w:val="center"/>
          </w:tcPr>
          <w:p w14:paraId="38369380">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24</w:t>
            </w:r>
            <w:r>
              <w:rPr>
                <w:rFonts w:hint="eastAsia" w:ascii="仿宋_GB2312" w:eastAsia="仿宋_GB2312" w:cs="Times New Roman" w:hAnsiTheme="minorEastAsia"/>
                <w:kern w:val="0"/>
                <w:sz w:val="28"/>
                <w:szCs w:val="28"/>
              </w:rPr>
              <w:t>％</w:t>
            </w:r>
          </w:p>
        </w:tc>
      </w:tr>
      <w:tr w14:paraId="3831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58B9A609">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13</w:t>
            </w:r>
          </w:p>
        </w:tc>
        <w:tc>
          <w:tcPr>
            <w:tcW w:w="4479" w:type="dxa"/>
          </w:tcPr>
          <w:p w14:paraId="3E8369F5">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全市广告经营单位（家）</w:t>
            </w:r>
          </w:p>
        </w:tc>
        <w:tc>
          <w:tcPr>
            <w:tcW w:w="1134" w:type="dxa"/>
          </w:tcPr>
          <w:p w14:paraId="58DF6FA7">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1887</w:t>
            </w:r>
          </w:p>
        </w:tc>
        <w:tc>
          <w:tcPr>
            <w:tcW w:w="1134" w:type="dxa"/>
          </w:tcPr>
          <w:p w14:paraId="679ECE78">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3895</w:t>
            </w:r>
          </w:p>
        </w:tc>
        <w:tc>
          <w:tcPr>
            <w:tcW w:w="1047" w:type="dxa"/>
          </w:tcPr>
          <w:p w14:paraId="3159D0CE">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106</w:t>
            </w:r>
            <w:r>
              <w:rPr>
                <w:rFonts w:hint="eastAsia" w:ascii="仿宋_GB2312" w:eastAsia="仿宋_GB2312" w:cs="Times New Roman" w:hAnsiTheme="minorEastAsia"/>
                <w:kern w:val="0"/>
                <w:sz w:val="28"/>
                <w:szCs w:val="28"/>
              </w:rPr>
              <w:t>％</w:t>
            </w:r>
          </w:p>
        </w:tc>
      </w:tr>
      <w:tr w14:paraId="456E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426EC66B">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14</w:t>
            </w:r>
          </w:p>
        </w:tc>
        <w:tc>
          <w:tcPr>
            <w:tcW w:w="4479" w:type="dxa"/>
          </w:tcPr>
          <w:p w14:paraId="43924451">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广告从业人员（万人）</w:t>
            </w:r>
          </w:p>
        </w:tc>
        <w:tc>
          <w:tcPr>
            <w:tcW w:w="1134" w:type="dxa"/>
          </w:tcPr>
          <w:p w14:paraId="69E09099">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0.38</w:t>
            </w:r>
          </w:p>
        </w:tc>
        <w:tc>
          <w:tcPr>
            <w:tcW w:w="1134" w:type="dxa"/>
          </w:tcPr>
          <w:p w14:paraId="11F86C39">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1.7</w:t>
            </w:r>
          </w:p>
        </w:tc>
        <w:tc>
          <w:tcPr>
            <w:tcW w:w="1047" w:type="dxa"/>
          </w:tcPr>
          <w:p w14:paraId="1C96C34D">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347</w:t>
            </w:r>
            <w:r>
              <w:rPr>
                <w:rFonts w:hint="eastAsia" w:ascii="仿宋_GB2312" w:eastAsia="仿宋_GB2312" w:cs="Times New Roman" w:hAnsiTheme="minorEastAsia"/>
                <w:kern w:val="0"/>
                <w:sz w:val="28"/>
                <w:szCs w:val="28"/>
              </w:rPr>
              <w:t>％</w:t>
            </w:r>
          </w:p>
        </w:tc>
      </w:tr>
      <w:tr w14:paraId="0001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1257909C">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Times New Roman" w:hAnsi="Times New Roman" w:cs="Times New Roman"/>
                <w:sz w:val="24"/>
              </w:rPr>
            </w:pPr>
            <w:r>
              <w:rPr>
                <w:rFonts w:ascii="Times New Roman" w:hAnsi="Times New Roman" w:cs="Times New Roman"/>
                <w:sz w:val="24"/>
              </w:rPr>
              <w:t>15</w:t>
            </w:r>
          </w:p>
        </w:tc>
        <w:tc>
          <w:tcPr>
            <w:tcW w:w="4479" w:type="dxa"/>
          </w:tcPr>
          <w:p w14:paraId="1A2C6609">
            <w:pPr>
              <w:keepNext w:val="0"/>
              <w:keepLines w:val="0"/>
              <w:pageBreakBefore w:val="0"/>
              <w:widowControl w:val="0"/>
              <w:kinsoku/>
              <w:wordWrap/>
              <w:overflowPunct/>
              <w:topLinePunct w:val="0"/>
              <w:autoSpaceDE/>
              <w:autoSpaceDN/>
              <w:bidi w:val="0"/>
              <w:adjustRightInd/>
              <w:snapToGrid/>
              <w:spacing w:after="32" w:afterLines="10" w:line="510" w:lineRule="exact"/>
              <w:textAlignment w:val="auto"/>
              <w:rPr>
                <w:rFonts w:ascii="仿宋_GB2312" w:hAnsi="Times New Roman" w:eastAsia="仿宋_GB2312" w:cs="Times New Roman"/>
                <w:sz w:val="28"/>
                <w:szCs w:val="28"/>
              </w:rPr>
            </w:pPr>
            <w:r>
              <w:rPr>
                <w:rFonts w:hint="eastAsia" w:ascii="仿宋_GB2312" w:eastAsia="仿宋_GB2312" w:cs="Times New Roman" w:hAnsiTheme="minorEastAsia"/>
                <w:sz w:val="28"/>
                <w:szCs w:val="28"/>
              </w:rPr>
              <w:t>广告经营额（亿元）</w:t>
            </w:r>
          </w:p>
        </w:tc>
        <w:tc>
          <w:tcPr>
            <w:tcW w:w="1134" w:type="dxa"/>
          </w:tcPr>
          <w:p w14:paraId="7C4C808B">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p>
        </w:tc>
        <w:tc>
          <w:tcPr>
            <w:tcW w:w="1134" w:type="dxa"/>
          </w:tcPr>
          <w:p w14:paraId="113023BC">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17</w:t>
            </w:r>
          </w:p>
        </w:tc>
        <w:tc>
          <w:tcPr>
            <w:tcW w:w="1047" w:type="dxa"/>
          </w:tcPr>
          <w:p w14:paraId="42D38257">
            <w:pPr>
              <w:keepNext w:val="0"/>
              <w:keepLines w:val="0"/>
              <w:pageBreakBefore w:val="0"/>
              <w:widowControl w:val="0"/>
              <w:kinsoku/>
              <w:wordWrap/>
              <w:overflowPunct/>
              <w:topLinePunct w:val="0"/>
              <w:autoSpaceDE/>
              <w:autoSpaceDN/>
              <w:bidi w:val="0"/>
              <w:adjustRightInd/>
              <w:snapToGrid/>
              <w:spacing w:after="32" w:afterLines="10" w:line="510" w:lineRule="exact"/>
              <w:jc w:val="center"/>
              <w:textAlignment w:val="auto"/>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183</w:t>
            </w:r>
            <w:r>
              <w:rPr>
                <w:rFonts w:hint="eastAsia" w:ascii="仿宋_GB2312" w:eastAsia="仿宋_GB2312" w:cs="Times New Roman" w:hAnsiTheme="minorEastAsia"/>
                <w:kern w:val="0"/>
                <w:sz w:val="28"/>
                <w:szCs w:val="28"/>
              </w:rPr>
              <w:t>％</w:t>
            </w:r>
          </w:p>
        </w:tc>
      </w:tr>
    </w:tbl>
    <w:p w14:paraId="783E4AE7">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二、总体要求</w:t>
      </w:r>
    </w:p>
    <w:p w14:paraId="43623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eastAsia" w:ascii="楷体_GB2312" w:hAnsi="黑体" w:eastAsia="楷体_GB2312"/>
          <w:b w:val="0"/>
          <w:bCs/>
          <w:sz w:val="32"/>
          <w:szCs w:val="32"/>
          <w:shd w:val="clear" w:color="auto" w:fill="FFFFFF"/>
        </w:rPr>
      </w:pPr>
      <w:r>
        <w:rPr>
          <w:rStyle w:val="16"/>
          <w:rFonts w:hint="eastAsia" w:ascii="楷体_GB2312" w:hAnsi="黑体" w:eastAsia="楷体_GB2312"/>
          <w:b w:val="0"/>
          <w:bCs/>
          <w:sz w:val="32"/>
          <w:szCs w:val="32"/>
          <w:shd w:val="clear" w:color="auto" w:fill="FFFFFF"/>
        </w:rPr>
        <w:t>（一）指导思想</w:t>
      </w:r>
    </w:p>
    <w:p w14:paraId="01B5E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仿宋_GB2312" w:eastAsia="仿宋_GB2312"/>
          <w:sz w:val="32"/>
          <w:szCs w:val="32"/>
        </w:rPr>
      </w:pPr>
      <w:r>
        <w:rPr>
          <w:rFonts w:ascii="Times New Roman" w:hAnsi="仿宋_GB2312" w:eastAsia="仿宋_GB2312"/>
          <w:sz w:val="32"/>
          <w:szCs w:val="32"/>
        </w:rPr>
        <w:t>以习近平新时代中国特色社会主义思想为指导，深入贯彻党的十九大和十九届历次全会</w:t>
      </w:r>
      <w:r>
        <w:rPr>
          <w:rFonts w:hint="eastAsia" w:ascii="Times New Roman" w:hAnsi="仿宋_GB2312" w:eastAsia="仿宋_GB2312"/>
          <w:sz w:val="32"/>
          <w:szCs w:val="32"/>
        </w:rPr>
        <w:t>以及</w:t>
      </w:r>
      <w:r>
        <w:rPr>
          <w:rFonts w:ascii="Times New Roman" w:hAnsi="仿宋_GB2312" w:eastAsia="仿宋_GB2312"/>
          <w:sz w:val="32"/>
          <w:szCs w:val="32"/>
        </w:rPr>
        <w:t>习近平考察安徽</w:t>
      </w:r>
      <w:r>
        <w:rPr>
          <w:rFonts w:hint="eastAsia" w:ascii="Times New Roman" w:hAnsi="仿宋_GB2312" w:eastAsia="仿宋_GB2312"/>
          <w:sz w:val="32"/>
          <w:szCs w:val="32"/>
          <w:lang w:eastAsia="zh-CN"/>
        </w:rPr>
        <w:t>特别是亲临六安</w:t>
      </w:r>
      <w:r>
        <w:rPr>
          <w:rFonts w:ascii="Times New Roman" w:hAnsi="仿宋_GB2312" w:eastAsia="仿宋_GB2312"/>
          <w:sz w:val="32"/>
          <w:szCs w:val="32"/>
        </w:rPr>
        <w:t>重要讲话指示精神，立足新发展阶段，贯彻新发展理念，服务新发展格局，坚持创优市场准入环境、激发市场主体活力，规范市场竞争和消费环境，实施质量强市、知识产权强市、食品药品安全战略，提升食品、药品、特种设备和重点工业产品安全保障水平，改革监管体制机制，创新监管方法手段，融入长三角一体化市场监管体系，以高标准市场监管体系建设推动全市经济社会高质量发展，不断增强人民群众获得感、幸福感和安全感，为加快建设新阶段现代化幸福六安打造新优势、作出新贡献。</w:t>
      </w:r>
    </w:p>
    <w:p w14:paraId="41B33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eastAsia" w:ascii="楷体_GB2312" w:hAnsi="黑体" w:eastAsia="楷体_GB2312"/>
          <w:b w:val="0"/>
          <w:bCs/>
          <w:sz w:val="32"/>
          <w:szCs w:val="32"/>
          <w:shd w:val="clear" w:color="auto" w:fill="FFFFFF"/>
        </w:rPr>
      </w:pPr>
      <w:r>
        <w:rPr>
          <w:rStyle w:val="16"/>
          <w:rFonts w:hint="eastAsia" w:ascii="楷体_GB2312" w:hAnsi="黑体" w:eastAsia="楷体_GB2312"/>
          <w:b w:val="0"/>
          <w:bCs/>
          <w:sz w:val="32"/>
          <w:szCs w:val="32"/>
          <w:shd w:val="clear" w:color="auto" w:fill="FFFFFF"/>
        </w:rPr>
        <w:t>（二）基本原则</w:t>
      </w:r>
    </w:p>
    <w:p w14:paraId="67DD64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color w:val="auto"/>
          <w:sz w:val="32"/>
          <w:szCs w:val="32"/>
          <w:shd w:val="clear" w:color="auto" w:fill="FFFFFF"/>
        </w:rPr>
      </w:pPr>
      <w:r>
        <w:rPr>
          <w:rStyle w:val="16"/>
          <w:rFonts w:hint="eastAsia" w:ascii="仿宋_GB2312" w:hAnsi="Times New Roman" w:eastAsia="仿宋_GB2312"/>
          <w:kern w:val="2"/>
          <w:sz w:val="32"/>
          <w:szCs w:val="32"/>
          <w:shd w:val="clear" w:color="auto" w:fill="FFFFFF"/>
        </w:rPr>
        <w:t>——坚持人民至上。</w:t>
      </w:r>
      <w:r>
        <w:rPr>
          <w:rFonts w:ascii="Times New Roman" w:hAnsi="仿宋_GB2312" w:eastAsia="仿宋_GB2312"/>
          <w:color w:val="auto"/>
          <w:sz w:val="32"/>
          <w:szCs w:val="32"/>
          <w:u w:val="none"/>
          <w:shd w:val="clear" w:color="auto" w:fill="FFFFFF"/>
        </w:rPr>
        <w:t>把维护最广大人民群众根本利益作为</w:t>
      </w:r>
      <w:r>
        <w:rPr>
          <w:rFonts w:hint="eastAsia" w:ascii="Times New Roman" w:hAnsi="仿宋_GB2312" w:eastAsia="仿宋_GB2312"/>
          <w:color w:val="auto"/>
          <w:sz w:val="32"/>
          <w:szCs w:val="32"/>
          <w:u w:val="none"/>
          <w:shd w:val="clear" w:color="auto" w:fill="FFFFFF"/>
          <w:lang w:eastAsia="zh-CN"/>
        </w:rPr>
        <w:t>市场监管</w:t>
      </w:r>
      <w:r>
        <w:rPr>
          <w:rFonts w:ascii="Times New Roman" w:hAnsi="仿宋_GB2312" w:eastAsia="仿宋_GB2312"/>
          <w:color w:val="auto"/>
          <w:sz w:val="32"/>
          <w:szCs w:val="32"/>
          <w:u w:val="none"/>
          <w:shd w:val="clear" w:color="auto" w:fill="FFFFFF"/>
        </w:rPr>
        <w:t>工作的出发点和落脚点，</w:t>
      </w:r>
      <w:r>
        <w:rPr>
          <w:rFonts w:hint="eastAsia" w:ascii="Times New Roman" w:hAnsi="仿宋_GB2312" w:eastAsia="仿宋_GB2312"/>
          <w:color w:val="auto"/>
          <w:sz w:val="32"/>
          <w:szCs w:val="32"/>
          <w:u w:val="none"/>
          <w:shd w:val="clear" w:color="auto" w:fill="FFFFFF"/>
          <w:lang w:eastAsia="zh-CN"/>
        </w:rPr>
        <w:t>围绕群众需求，</w:t>
      </w:r>
      <w:r>
        <w:rPr>
          <w:rFonts w:ascii="Times New Roman" w:hAnsi="仿宋_GB2312" w:eastAsia="仿宋_GB2312"/>
          <w:color w:val="auto"/>
          <w:sz w:val="32"/>
          <w:szCs w:val="32"/>
          <w:u w:val="none"/>
          <w:shd w:val="clear" w:color="auto" w:fill="FFFFFF"/>
        </w:rPr>
        <w:t>通过严格市场监管、质量监管、安全监管，</w:t>
      </w:r>
      <w:r>
        <w:rPr>
          <w:rFonts w:hint="eastAsia" w:ascii="Times New Roman" w:hAnsi="仿宋_GB2312" w:eastAsia="仿宋_GB2312"/>
          <w:color w:val="auto"/>
          <w:sz w:val="32"/>
          <w:szCs w:val="32"/>
          <w:u w:val="none"/>
          <w:shd w:val="clear" w:color="auto" w:fill="FFFFFF"/>
          <w:lang w:eastAsia="zh-CN"/>
        </w:rPr>
        <w:t>强化消费权益保护，提升市场监管领域政务服务水平，</w:t>
      </w:r>
      <w:r>
        <w:rPr>
          <w:rFonts w:ascii="Times New Roman" w:hAnsi="仿宋_GB2312" w:eastAsia="仿宋_GB2312"/>
          <w:color w:val="auto"/>
          <w:sz w:val="32"/>
          <w:szCs w:val="32"/>
          <w:u w:val="none"/>
          <w:shd w:val="clear" w:color="auto" w:fill="FFFFFF"/>
        </w:rPr>
        <w:t>让广大人民群众有更多</w:t>
      </w:r>
      <w:r>
        <w:rPr>
          <w:rFonts w:ascii="Times New Roman" w:hAnsi="仿宋_GB2312" w:eastAsia="仿宋_GB2312"/>
          <w:color w:val="auto"/>
          <w:sz w:val="32"/>
          <w:szCs w:val="32"/>
          <w:shd w:val="clear" w:color="auto" w:fill="FFFFFF"/>
        </w:rPr>
        <w:t>、更直接、更实在的获得感</w:t>
      </w:r>
      <w:r>
        <w:rPr>
          <w:rFonts w:hint="eastAsia" w:ascii="Times New Roman" w:hAnsi="仿宋_GB2312" w:eastAsia="仿宋_GB2312"/>
          <w:color w:val="auto"/>
          <w:sz w:val="32"/>
          <w:szCs w:val="32"/>
          <w:shd w:val="clear" w:color="auto" w:fill="FFFFFF"/>
          <w:lang w:eastAsia="zh-CN"/>
        </w:rPr>
        <w:t>、</w:t>
      </w:r>
      <w:r>
        <w:rPr>
          <w:rFonts w:ascii="Times New Roman" w:hAnsi="仿宋_GB2312" w:eastAsia="仿宋_GB2312"/>
          <w:color w:val="auto"/>
          <w:sz w:val="32"/>
          <w:szCs w:val="32"/>
          <w:shd w:val="clear" w:color="auto" w:fill="FFFFFF"/>
        </w:rPr>
        <w:t>幸福感</w:t>
      </w:r>
      <w:r>
        <w:rPr>
          <w:rFonts w:hint="eastAsia" w:ascii="Times New Roman" w:hAnsi="仿宋_GB2312" w:eastAsia="仿宋_GB2312"/>
          <w:color w:val="auto"/>
          <w:sz w:val="32"/>
          <w:szCs w:val="32"/>
          <w:shd w:val="clear" w:color="auto" w:fill="FFFFFF"/>
          <w:lang w:eastAsia="zh-CN"/>
        </w:rPr>
        <w:t>、</w:t>
      </w:r>
      <w:r>
        <w:rPr>
          <w:rFonts w:ascii="Times New Roman" w:hAnsi="仿宋_GB2312" w:eastAsia="仿宋_GB2312"/>
          <w:color w:val="auto"/>
          <w:sz w:val="32"/>
          <w:szCs w:val="32"/>
          <w:shd w:val="clear" w:color="auto" w:fill="FFFFFF"/>
        </w:rPr>
        <w:t>安全感。　</w:t>
      </w:r>
    </w:p>
    <w:p w14:paraId="393E5F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trike w:val="0"/>
          <w:dstrike w:val="0"/>
          <w:sz w:val="32"/>
          <w:szCs w:val="32"/>
        </w:rPr>
      </w:pPr>
      <w:r>
        <w:rPr>
          <w:rStyle w:val="16"/>
          <w:rFonts w:hint="eastAsia" w:ascii="仿宋_GB2312" w:hAnsi="Times New Roman" w:eastAsia="仿宋_GB2312"/>
          <w:kern w:val="2"/>
          <w:sz w:val="32"/>
          <w:szCs w:val="32"/>
          <w:shd w:val="clear" w:color="auto" w:fill="FFFFFF"/>
        </w:rPr>
        <w:t>——坚持依法监管。</w:t>
      </w:r>
      <w:r>
        <w:rPr>
          <w:rFonts w:ascii="Times New Roman" w:hAnsi="仿宋_GB2312" w:eastAsia="仿宋_GB2312"/>
          <w:sz w:val="32"/>
          <w:szCs w:val="32"/>
          <w:shd w:val="clear" w:color="auto" w:fill="FFFFFF"/>
        </w:rPr>
        <w:t>牢固树立依法监管理念，强化法治思维，严格依据法定程序、权限、职责办事，按照</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谁主管谁负责、谁审批谁负责</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的原则，厘清职能边界、明确权责范围，切实做到法定职责必须为、法无授权不可为；严格规范公正文明执法，推动市场监管工作全面纳入法治轨道</w:t>
      </w:r>
      <w:r>
        <w:rPr>
          <w:rFonts w:hint="eastAsia" w:ascii="Times New Roman" w:hAnsi="仿宋_GB2312" w:eastAsia="仿宋_GB2312"/>
          <w:strike w:val="0"/>
          <w:dstrike w:val="0"/>
          <w:sz w:val="32"/>
          <w:szCs w:val="32"/>
          <w:u w:val="none"/>
          <w:shd w:val="clear" w:color="auto" w:fill="FFFFFF"/>
          <w:lang w:eastAsia="zh-CN"/>
        </w:rPr>
        <w:t>，</w:t>
      </w:r>
      <w:r>
        <w:rPr>
          <w:rFonts w:ascii="Times New Roman" w:hAnsi="仿宋_GB2312" w:eastAsia="仿宋_GB2312"/>
          <w:strike w:val="0"/>
          <w:dstrike w:val="0"/>
          <w:sz w:val="32"/>
          <w:szCs w:val="32"/>
          <w:shd w:val="clear" w:color="auto" w:fill="FFFFFF"/>
        </w:rPr>
        <w:t>为全面规范市场秩序保驾护航。</w:t>
      </w:r>
    </w:p>
    <w:p w14:paraId="3D01C5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cs="Times New Roman"/>
          <w:sz w:val="32"/>
          <w:szCs w:val="32"/>
        </w:rPr>
      </w:pPr>
      <w:r>
        <w:rPr>
          <w:rStyle w:val="16"/>
          <w:rFonts w:hint="eastAsia" w:ascii="仿宋_GB2312" w:hAnsi="Times New Roman" w:eastAsia="仿宋_GB2312" w:cs="Times New Roman"/>
          <w:sz w:val="32"/>
          <w:szCs w:val="32"/>
          <w:shd w:val="clear" w:color="auto" w:fill="FFFFFF"/>
        </w:rPr>
        <w:t>——坚持改革创新。</w:t>
      </w:r>
      <w:r>
        <w:rPr>
          <w:rFonts w:ascii="Times New Roman" w:hAnsi="仿宋_GB2312" w:eastAsia="仿宋_GB2312" w:cs="Times New Roman"/>
          <w:sz w:val="32"/>
          <w:szCs w:val="32"/>
        </w:rPr>
        <w:t>把提高监管效率作为市场监管的基本要求，推进科学监管、智慧监管、精准监管、阳光监管和综合监管。对新产业新业态新模式</w:t>
      </w:r>
      <w:r>
        <w:rPr>
          <w:rFonts w:hint="eastAsia" w:ascii="Times New Roman" w:hAnsi="仿宋_GB2312" w:eastAsia="仿宋_GB2312" w:cs="Times New Roman"/>
          <w:sz w:val="32"/>
          <w:szCs w:val="32"/>
          <w:lang w:eastAsia="zh-CN"/>
        </w:rPr>
        <w:t>实施</w:t>
      </w:r>
      <w:r>
        <w:rPr>
          <w:rFonts w:ascii="Times New Roman" w:hAnsi="仿宋_GB2312" w:eastAsia="仿宋_GB2312" w:cs="Times New Roman"/>
          <w:sz w:val="32"/>
          <w:szCs w:val="32"/>
        </w:rPr>
        <w:t>包容审慎监管。积极融入长三角一体化发展，对标更高目标、更高标准、更高水平，推动各项工作争先进位、开拓创新、突出特色，全力提升六安市场监管事业发展层次，确保始终走在全省前列。</w:t>
      </w:r>
    </w:p>
    <w:p w14:paraId="2761BB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sz w:val="32"/>
          <w:szCs w:val="32"/>
          <w:u w:val="none"/>
          <w:shd w:val="clear" w:color="auto" w:fill="FFFFFF"/>
        </w:rPr>
      </w:pPr>
      <w:r>
        <w:rPr>
          <w:rStyle w:val="16"/>
          <w:rFonts w:hint="eastAsia" w:ascii="仿宋_GB2312" w:hAnsi="Times New Roman" w:eastAsia="仿宋_GB2312"/>
          <w:kern w:val="2"/>
          <w:sz w:val="32"/>
          <w:szCs w:val="32"/>
          <w:shd w:val="clear" w:color="auto" w:fill="FFFFFF"/>
        </w:rPr>
        <w:t>——坚持严守底线。</w:t>
      </w:r>
      <w:r>
        <w:rPr>
          <w:rFonts w:ascii="Times New Roman" w:hAnsi="仿宋_GB2312" w:eastAsia="仿宋_GB2312"/>
          <w:sz w:val="32"/>
          <w:szCs w:val="32"/>
          <w:shd w:val="clear" w:color="auto" w:fill="FFFFFF"/>
        </w:rPr>
        <w:t>严守安全底线，认真落实</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四个最严</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要求，源头严防、过程严管、风险严控，确保人民群众买得放心、用得放心、吃得放心；严守职责底线，坚决扛起改革责任，忠实履行监管使命，切实维护</w:t>
      </w:r>
      <w:r>
        <w:rPr>
          <w:rFonts w:ascii="Times New Roman" w:hAnsi="仿宋_GB2312" w:eastAsia="仿宋_GB2312"/>
          <w:sz w:val="32"/>
          <w:szCs w:val="32"/>
          <w:u w:val="none"/>
          <w:shd w:val="clear" w:color="auto" w:fill="FFFFFF"/>
        </w:rPr>
        <w:t>群众利益，积极推动高质量发展</w:t>
      </w:r>
      <w:r>
        <w:rPr>
          <w:rFonts w:hint="eastAsia" w:ascii="Times New Roman" w:hAnsi="仿宋_GB2312" w:eastAsia="仿宋_GB2312"/>
          <w:sz w:val="32"/>
          <w:szCs w:val="32"/>
          <w:u w:val="none"/>
          <w:shd w:val="clear" w:color="auto" w:fill="FFFFFF"/>
          <w:lang w:eastAsia="zh-CN"/>
        </w:rPr>
        <w:t>；严守廉洁底线，</w:t>
      </w:r>
      <w:r>
        <w:rPr>
          <w:rFonts w:ascii="Times New Roman" w:hAnsi="仿宋_GB2312" w:eastAsia="仿宋_GB2312"/>
          <w:sz w:val="32"/>
          <w:szCs w:val="32"/>
          <w:u w:val="none"/>
          <w:shd w:val="clear" w:color="auto" w:fill="FFFFFF"/>
        </w:rPr>
        <w:t>坚决在廉洁自律上筑牢防线、不越红线。</w:t>
      </w:r>
    </w:p>
    <w:p w14:paraId="07951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eastAsia" w:ascii="楷体_GB2312" w:hAnsi="黑体" w:eastAsia="楷体_GB2312"/>
          <w:b w:val="0"/>
          <w:bCs/>
          <w:sz w:val="32"/>
          <w:szCs w:val="32"/>
          <w:shd w:val="clear" w:color="auto" w:fill="FFFFFF"/>
        </w:rPr>
      </w:pPr>
      <w:r>
        <w:rPr>
          <w:rStyle w:val="16"/>
          <w:rFonts w:hint="eastAsia" w:ascii="楷体_GB2312" w:hAnsi="黑体" w:eastAsia="楷体_GB2312"/>
          <w:b w:val="0"/>
          <w:bCs/>
          <w:sz w:val="32"/>
          <w:szCs w:val="32"/>
          <w:shd w:val="clear" w:color="auto" w:fill="FFFFFF"/>
        </w:rPr>
        <w:t>（三）总体目标</w:t>
      </w:r>
    </w:p>
    <w:p w14:paraId="03AB6A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仿宋_GB2312" w:eastAsia="仿宋_GB2312"/>
          <w:sz w:val="32"/>
          <w:szCs w:val="32"/>
          <w:shd w:val="clear" w:color="auto" w:fill="FFFFFF"/>
        </w:rPr>
      </w:pPr>
      <w:r>
        <w:rPr>
          <w:rFonts w:ascii="Times New Roman" w:hAnsi="仿宋_GB2312" w:eastAsia="仿宋_GB2312"/>
          <w:sz w:val="32"/>
          <w:szCs w:val="32"/>
          <w:shd w:val="clear" w:color="auto" w:fill="FFFFFF"/>
        </w:rPr>
        <w:t>到</w:t>
      </w:r>
      <w:r>
        <w:rPr>
          <w:rFonts w:ascii="Times New Roman" w:hAnsi="Times New Roman" w:eastAsia="仿宋_GB2312"/>
          <w:sz w:val="32"/>
          <w:szCs w:val="32"/>
          <w:shd w:val="clear" w:color="auto" w:fill="FFFFFF"/>
        </w:rPr>
        <w:t>2025</w:t>
      </w:r>
      <w:r>
        <w:rPr>
          <w:rFonts w:ascii="Times New Roman" w:hAnsi="仿宋_GB2312" w:eastAsia="仿宋_GB2312"/>
          <w:sz w:val="32"/>
          <w:szCs w:val="32"/>
          <w:shd w:val="clear" w:color="auto" w:fill="FFFFFF"/>
        </w:rPr>
        <w:t>年，基本建成统一开放、竞争有序、诚信守法、监管有力的现代市场体系，形成创新创业、公平竞争、安全放心的市场营商环境，形成市场导向、标准引领、质量为本的质量强市体系，形成法治保障、信息支撑、多元共治的市场治理格局。</w:t>
      </w:r>
    </w:p>
    <w:p w14:paraId="30036B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Times New Roman" w:eastAsia="仿宋_GB2312"/>
          <w:color w:val="000000"/>
          <w:sz w:val="32"/>
          <w:szCs w:val="32"/>
        </w:rPr>
      </w:pPr>
      <w:r>
        <w:rPr>
          <w:rStyle w:val="16"/>
          <w:rFonts w:hint="eastAsia" w:ascii="仿宋_GB2312" w:hAnsi="Times New Roman" w:eastAsia="仿宋_GB2312"/>
          <w:sz w:val="32"/>
          <w:szCs w:val="32"/>
          <w:shd w:val="clear" w:color="auto" w:fill="FFFFFF"/>
        </w:rPr>
        <w:t>——市场准入环境更加宽松便捷。</w:t>
      </w:r>
      <w:r>
        <w:rPr>
          <w:rFonts w:ascii="仿宋_GB2312" w:hAnsi="Times New Roman" w:eastAsia="仿宋_GB2312"/>
          <w:color w:val="000000"/>
          <w:sz w:val="32"/>
          <w:szCs w:val="32"/>
        </w:rPr>
        <w:t>涉企经营许可事项实现清单管理，商事主体登记注册和行政审批流程全面优化，市场主体总量稳步增加，企业开办时间明显缩减，</w:t>
      </w:r>
      <w:r>
        <w:rPr>
          <w:rFonts w:ascii="Times New Roman" w:hAnsi="仿宋_GB2312" w:eastAsia="仿宋_GB2312"/>
          <w:sz w:val="32"/>
          <w:szCs w:val="32"/>
          <w:shd w:val="clear" w:color="auto" w:fill="FFFFFF"/>
        </w:rPr>
        <w:t>市场活力持续激发，大众创业、万众创新的市场环境不断改善。</w:t>
      </w:r>
      <w:r>
        <w:rPr>
          <w:rFonts w:ascii="仿宋_GB2312" w:hAnsi="Times New Roman" w:eastAsia="仿宋_GB2312"/>
          <w:color w:val="000000"/>
          <w:sz w:val="32"/>
          <w:szCs w:val="32"/>
        </w:rPr>
        <w:t>公平统一、开放透明的市场准入规则基本形成。</w:t>
      </w:r>
    </w:p>
    <w:p w14:paraId="5C7E18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sz w:val="32"/>
          <w:szCs w:val="32"/>
          <w:shd w:val="clear" w:color="auto" w:fill="FFFFFF"/>
        </w:rPr>
      </w:pPr>
      <w:r>
        <w:rPr>
          <w:rStyle w:val="16"/>
          <w:rFonts w:hint="eastAsia" w:ascii="仿宋_GB2312" w:hAnsi="Times New Roman" w:eastAsia="仿宋_GB2312"/>
          <w:sz w:val="32"/>
          <w:szCs w:val="32"/>
          <w:shd w:val="clear" w:color="auto" w:fill="FFFFFF"/>
        </w:rPr>
        <w:t>——市场竞争环境更加公平公正。</w:t>
      </w:r>
      <w:r>
        <w:rPr>
          <w:rFonts w:ascii="Times New Roman" w:hAnsi="仿宋_GB2312" w:eastAsia="仿宋_GB2312"/>
          <w:sz w:val="32"/>
          <w:szCs w:val="32"/>
          <w:shd w:val="clear" w:color="auto" w:fill="FFFFFF"/>
        </w:rPr>
        <w:t>公平竞争审查制度全面实施，反不正当竞争执法成效显著，侵权假冒、地方保护、行业壁垒、企业垄断得到有效治理，公平竞争、优胜劣汰机制基本建立。</w:t>
      </w:r>
    </w:p>
    <w:p w14:paraId="1A3825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宋体"/>
          <w:color w:val="000000"/>
          <w:kern w:val="0"/>
          <w:sz w:val="32"/>
          <w:szCs w:val="32"/>
        </w:rPr>
      </w:pPr>
      <w:r>
        <w:rPr>
          <w:rStyle w:val="16"/>
          <w:rFonts w:hint="eastAsia" w:ascii="仿宋_GB2312" w:eastAsia="仿宋_GB2312" w:cs="Times New Roman"/>
          <w:kern w:val="0"/>
          <w:sz w:val="32"/>
          <w:szCs w:val="32"/>
          <w:shd w:val="clear" w:color="auto" w:fill="FFFFFF"/>
        </w:rPr>
        <w:t>——</w:t>
      </w:r>
      <w:r>
        <w:rPr>
          <w:rStyle w:val="16"/>
          <w:rFonts w:ascii="仿宋_GB2312" w:eastAsia="仿宋_GB2312" w:cs="Times New Roman"/>
          <w:kern w:val="0"/>
          <w:sz w:val="32"/>
          <w:szCs w:val="32"/>
          <w:shd w:val="clear" w:color="auto" w:fill="FFFFFF"/>
        </w:rPr>
        <w:t>市场消费环境更加安全放心。</w:t>
      </w:r>
      <w:r>
        <w:rPr>
          <w:rFonts w:hint="eastAsia" w:ascii="仿宋_GB2312" w:hAnsi="Calibri" w:eastAsia="仿宋_GB2312" w:cs="宋体"/>
          <w:color w:val="000000"/>
          <w:kern w:val="0"/>
          <w:sz w:val="32"/>
          <w:szCs w:val="32"/>
        </w:rPr>
        <w:t>消费投诉举报系统不断优化，消费投诉公示制度全面推行，消费者低成本、高效率的维权机制更加健全，放心满意消费创建活动向纵深推进，维权社会化水平明显提高，消费者利益得到有力保护。</w:t>
      </w:r>
    </w:p>
    <w:p w14:paraId="698EBF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sz w:val="32"/>
          <w:szCs w:val="32"/>
          <w:shd w:val="clear" w:color="auto" w:fill="FFFFFF"/>
        </w:rPr>
      </w:pPr>
      <w:r>
        <w:rPr>
          <w:rStyle w:val="16"/>
          <w:rFonts w:hint="eastAsia" w:ascii="仿宋_GB2312" w:eastAsia="仿宋_GB2312"/>
          <w:sz w:val="32"/>
          <w:szCs w:val="32"/>
          <w:shd w:val="clear" w:color="auto" w:fill="FFFFFF"/>
        </w:rPr>
        <w:t>——质量</w:t>
      </w:r>
      <w:r>
        <w:rPr>
          <w:rStyle w:val="16"/>
          <w:rFonts w:ascii="仿宋_GB2312" w:eastAsia="仿宋_GB2312"/>
          <w:sz w:val="32"/>
          <w:szCs w:val="32"/>
          <w:shd w:val="clear" w:color="auto" w:fill="FFFFFF"/>
        </w:rPr>
        <w:t>品牌和创新能力显著提升。</w:t>
      </w:r>
      <w:r>
        <w:rPr>
          <w:rFonts w:ascii="Times New Roman" w:hAnsi="仿宋_GB2312" w:eastAsia="仿宋_GB2312"/>
          <w:sz w:val="32"/>
          <w:szCs w:val="32"/>
          <w:shd w:val="clear" w:color="auto" w:fill="FFFFFF"/>
        </w:rPr>
        <w:t>质量强市战略深入实施，企业主体作用充分激发，质量诚信体系和质量基础保障体系初步建立，培育一批品牌形象突出、质量水平一流、具有六安特色的现代企业和产业集群。知识产权保护和运用意识明显增强，专利质量大幅提升，形成一批知识产权优势产业和优势企业。</w:t>
      </w:r>
    </w:p>
    <w:p w14:paraId="37D2AC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sz w:val="32"/>
          <w:szCs w:val="32"/>
          <w:shd w:val="clear" w:color="auto" w:fill="FFFFFF"/>
        </w:rPr>
      </w:pPr>
      <w:r>
        <w:rPr>
          <w:rStyle w:val="16"/>
          <w:rFonts w:hint="eastAsia" w:ascii="仿宋_GB2312" w:eastAsia="仿宋_GB2312"/>
          <w:sz w:val="32"/>
          <w:szCs w:val="32"/>
          <w:shd w:val="clear" w:color="auto" w:fill="FFFFFF"/>
        </w:rPr>
        <w:t>——市场治理机制更加</w:t>
      </w:r>
      <w:r>
        <w:rPr>
          <w:rStyle w:val="16"/>
          <w:rFonts w:ascii="仿宋_GB2312" w:eastAsia="仿宋_GB2312"/>
          <w:sz w:val="32"/>
          <w:szCs w:val="32"/>
          <w:shd w:val="clear" w:color="auto" w:fill="FFFFFF"/>
        </w:rPr>
        <w:t>完善有效。</w:t>
      </w:r>
      <w:r>
        <w:rPr>
          <w:rFonts w:ascii="Times New Roman" w:hAnsi="仿宋_GB2312" w:eastAsia="仿宋_GB2312"/>
          <w:sz w:val="32"/>
          <w:szCs w:val="32"/>
          <w:shd w:val="clear" w:color="auto" w:fill="FFFFFF"/>
        </w:rPr>
        <w:t>市场监管职责范围进一步界定，</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谁审批谁监管，谁主管谁监管</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的监管责任全面落实，协调、配合、齐抓共管的市场监管格局基本形成。双随机监管、信用监管、智慧监管等新型监管机制进一步完善。</w:t>
      </w:r>
    </w:p>
    <w:tbl>
      <w:tblPr>
        <w:tblStyle w:val="13"/>
        <w:tblW w:w="9039" w:type="dxa"/>
        <w:tblInd w:w="0" w:type="dxa"/>
        <w:shd w:val="clear" w:color="auto" w:fill="FFFFFF"/>
        <w:tblLayout w:type="fixed"/>
        <w:tblCellMar>
          <w:top w:w="15" w:type="dxa"/>
          <w:left w:w="15" w:type="dxa"/>
          <w:bottom w:w="15" w:type="dxa"/>
          <w:right w:w="15" w:type="dxa"/>
        </w:tblCellMar>
      </w:tblPr>
      <w:tblGrid>
        <w:gridCol w:w="817"/>
        <w:gridCol w:w="5103"/>
        <w:gridCol w:w="992"/>
        <w:gridCol w:w="1065"/>
        <w:gridCol w:w="1062"/>
      </w:tblGrid>
      <w:tr w14:paraId="20098081">
        <w:tblPrEx>
          <w:shd w:val="clear" w:color="auto" w:fill="FFFFFF"/>
          <w:tblCellMar>
            <w:top w:w="15" w:type="dxa"/>
            <w:left w:w="15" w:type="dxa"/>
            <w:bottom w:w="15" w:type="dxa"/>
            <w:right w:w="15" w:type="dxa"/>
          </w:tblCellMar>
        </w:tblPrEx>
        <w:trPr>
          <w:trHeight w:val="458" w:hRule="atLeast"/>
        </w:trPr>
        <w:tc>
          <w:tcPr>
            <w:tcW w:w="9039"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28E94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Calibri" w:hAnsi="Calibri" w:eastAsia="宋体" w:cs="Times New Roman"/>
                <w:color w:val="333333"/>
                <w:kern w:val="0"/>
                <w:sz w:val="28"/>
                <w:szCs w:val="28"/>
              </w:rPr>
            </w:pPr>
            <w:r>
              <w:rPr>
                <w:rFonts w:hint="eastAsia" w:ascii="黑体" w:hAnsi="黑体" w:eastAsia="黑体" w:cs="黑体"/>
                <w:sz w:val="28"/>
                <w:szCs w:val="28"/>
              </w:rPr>
              <w:t>专栏2 “十四五”时期市场监管主要指标</w:t>
            </w:r>
          </w:p>
        </w:tc>
      </w:tr>
      <w:tr w14:paraId="09831289">
        <w:tblPrEx>
          <w:tblCellMar>
            <w:top w:w="15" w:type="dxa"/>
            <w:left w:w="15" w:type="dxa"/>
            <w:bottom w:w="15" w:type="dxa"/>
            <w:right w:w="15" w:type="dxa"/>
          </w:tblCellMar>
        </w:tblPrEx>
        <w:trPr>
          <w:trHeight w:val="494"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BB1CF2">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hint="eastAsia" w:ascii="黑体" w:hAnsi="黑体" w:eastAsia="黑体" w:cs="黑体"/>
                <w:sz w:val="28"/>
                <w:szCs w:val="28"/>
              </w:rPr>
            </w:pPr>
            <w:r>
              <w:rPr>
                <w:rFonts w:hint="eastAsia" w:ascii="黑体" w:hAnsi="黑体" w:eastAsia="黑体" w:cs="黑体"/>
                <w:sz w:val="28"/>
                <w:szCs w:val="28"/>
              </w:rPr>
              <w:t>类别</w:t>
            </w:r>
          </w:p>
        </w:tc>
        <w:tc>
          <w:tcPr>
            <w:tcW w:w="51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B34799">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 xml:space="preserve">指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标</w:t>
            </w:r>
            <w:r>
              <w:rPr>
                <w:rFonts w:hint="eastAsia" w:ascii="黑体" w:hAnsi="黑体" w:eastAsia="黑体" w:cs="黑体"/>
                <w:sz w:val="28"/>
                <w:szCs w:val="28"/>
                <w:lang w:val="en-US" w:eastAsia="zh-CN"/>
              </w:rPr>
              <w:t xml:space="preserve"> </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61A85B">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hint="eastAsia" w:ascii="黑体" w:hAnsi="黑体" w:eastAsia="黑体" w:cs="黑体"/>
                <w:spacing w:val="-22"/>
                <w:sz w:val="28"/>
                <w:szCs w:val="28"/>
              </w:rPr>
            </w:pPr>
            <w:r>
              <w:rPr>
                <w:rFonts w:hint="eastAsia" w:ascii="黑体" w:hAnsi="黑体" w:eastAsia="黑体" w:cs="黑体"/>
                <w:spacing w:val="-22"/>
                <w:sz w:val="28"/>
                <w:szCs w:val="28"/>
              </w:rPr>
              <w:t>2020年</w:t>
            </w:r>
          </w:p>
        </w:tc>
        <w:tc>
          <w:tcPr>
            <w:tcW w:w="10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33FFB5">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hint="eastAsia" w:ascii="黑体" w:hAnsi="黑体" w:eastAsia="黑体" w:cs="黑体"/>
                <w:spacing w:val="-22"/>
                <w:sz w:val="28"/>
                <w:szCs w:val="28"/>
              </w:rPr>
            </w:pPr>
            <w:r>
              <w:rPr>
                <w:rFonts w:hint="eastAsia" w:ascii="黑体" w:hAnsi="黑体" w:eastAsia="黑体" w:cs="黑体"/>
                <w:spacing w:val="-22"/>
                <w:sz w:val="28"/>
                <w:szCs w:val="28"/>
              </w:rPr>
              <w:t>2025年</w:t>
            </w:r>
          </w:p>
        </w:tc>
        <w:tc>
          <w:tcPr>
            <w:tcW w:w="10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7D9CCB">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属  性</w:t>
            </w:r>
          </w:p>
        </w:tc>
      </w:tr>
      <w:tr w14:paraId="2AE5C32E">
        <w:tblPrEx>
          <w:tblCellMar>
            <w:top w:w="15" w:type="dxa"/>
            <w:left w:w="15" w:type="dxa"/>
            <w:bottom w:w="15" w:type="dxa"/>
            <w:right w:w="15" w:type="dxa"/>
          </w:tblCellMar>
        </w:tblPrEx>
        <w:trPr>
          <w:trHeight w:val="548"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B1BA44">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市场</w:t>
            </w:r>
          </w:p>
          <w:p w14:paraId="7711A702">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活力</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9A171B">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1.企业开办时间（工作日）</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55C40B">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A26D64">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FA572F">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7D5AA99E">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F1520C">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1E4838">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2.全市市场主体总量（万户）</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3E8AB33">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34.8</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88456BB">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&gt;44</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81D7D63">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55E37602">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6CFCEE1">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7F6DD1">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3.获中国或省政府质量奖数量（个）</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CED99B9">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092830F">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13FF143">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6A181F46">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B509D33">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E55685">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4.每万人口拥有高价值发明专利数（件）</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2C2BCB6">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4D2C827">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D71FE0F">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707E543B">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5462B55">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30B009">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5.知识产权质押融资登记金额（亿元）</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6D4A2BB">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D510453">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00E7E7D">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63622B9C">
        <w:tblPrEx>
          <w:tblCellMar>
            <w:top w:w="15" w:type="dxa"/>
            <w:left w:w="15" w:type="dxa"/>
            <w:bottom w:w="15" w:type="dxa"/>
            <w:right w:w="15" w:type="dxa"/>
          </w:tblCellMar>
        </w:tblPrEx>
        <w:trPr>
          <w:trHeight w:val="494"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BA9A53">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市场</w:t>
            </w:r>
          </w:p>
          <w:p w14:paraId="19AF9219">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秩序</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19B31D">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pacing w:val="-22"/>
                <w:sz w:val="28"/>
                <w:szCs w:val="28"/>
              </w:rPr>
            </w:pPr>
            <w:r>
              <w:rPr>
                <w:rFonts w:hint="eastAsia" w:ascii="Times New Roman" w:hAnsi="仿宋_GB2312" w:eastAsia="仿宋_GB2312" w:cs="Times New Roman"/>
                <w:spacing w:val="-22"/>
                <w:sz w:val="28"/>
                <w:szCs w:val="28"/>
              </w:rPr>
              <w:t>6.部门联合“双随机、一公开”抽查占比（%）</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913E44">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D07FD2">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25F0FF">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约束性</w:t>
            </w:r>
          </w:p>
        </w:tc>
      </w:tr>
      <w:tr w14:paraId="7B83DA6A">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702B332">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509CB6">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7.信用风险分类抽查占比（%）</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93D9CE0">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FFC4ADF">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93EBD9E">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约束性</w:t>
            </w:r>
          </w:p>
        </w:tc>
      </w:tr>
      <w:tr w14:paraId="021B44B7">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DC10846">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F42AFE">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8.公共服务质量满意度（%）</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50B1429">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3990991">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7E663C9">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6937713B">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04B043">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70C971">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9.新增主导或参与制修订国家标准（项）</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138D24D">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C819AAF">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BF4E48C">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4B82005D">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D05BDC1">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877F58">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10.新增主导或参与制修订行业标准（项）</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349C11F">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6B9999D">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3B95CA9">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5E26DC4B">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0F7C4BA">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8BE546">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11.社会公用计量标准累计（项）</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B78B1DA">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A07355F">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220</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555A153">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30B733BA">
        <w:tblPrEx>
          <w:tblCellMar>
            <w:top w:w="15" w:type="dxa"/>
            <w:left w:w="15" w:type="dxa"/>
            <w:bottom w:w="15" w:type="dxa"/>
            <w:right w:w="15" w:type="dxa"/>
          </w:tblCellMar>
        </w:tblPrEx>
        <w:trPr>
          <w:trHeight w:val="494"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56FE5A">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市场</w:t>
            </w:r>
          </w:p>
          <w:p w14:paraId="1123DE45">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安全</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B47648">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12.制造业产品质量合格率（%）</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BE81FD">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94.8</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96E665">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≥95.5</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C9B58B">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7CEF5D98">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91D7451">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B3C91F">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13.消费品合格率（%）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CC21EC2">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65B07D0">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1A49A01">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0644E9BA">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4239E98">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6254C0">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14.农产品和食品检验量（批次/千人）</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5E6CF07">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947504B">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9446F05">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约束性</w:t>
            </w:r>
          </w:p>
        </w:tc>
      </w:tr>
      <w:tr w14:paraId="62066617">
        <w:tblPrEx>
          <w:tblCellMar>
            <w:top w:w="15" w:type="dxa"/>
            <w:left w:w="15" w:type="dxa"/>
            <w:bottom w:w="15" w:type="dxa"/>
            <w:right w:w="15" w:type="dxa"/>
          </w:tblCellMar>
        </w:tblPrEx>
        <w:trPr>
          <w:trHeight w:val="413"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0BFB42E">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C8D232">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15.万台特种设备死亡率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A6E737C">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EC347C7">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≤0.06</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584D051">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52E80A1D">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3BEA859">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3FBEB2">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pacing w:val="-22"/>
                <w:sz w:val="28"/>
                <w:szCs w:val="28"/>
              </w:rPr>
            </w:pPr>
            <w:r>
              <w:rPr>
                <w:rFonts w:hint="eastAsia" w:ascii="Times New Roman" w:hAnsi="仿宋_GB2312" w:eastAsia="仿宋_GB2312" w:cs="Times New Roman"/>
                <w:spacing w:val="-22"/>
                <w:sz w:val="28"/>
                <w:szCs w:val="28"/>
              </w:rPr>
              <w:t>16重点监控目录产品监督抽查覆盖率（%）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B49A686">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AE8DF3D">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7BC2E27">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427BA636">
        <w:tblPrEx>
          <w:tblCellMar>
            <w:top w:w="15" w:type="dxa"/>
            <w:left w:w="15" w:type="dxa"/>
            <w:bottom w:w="15" w:type="dxa"/>
            <w:right w:w="15" w:type="dxa"/>
          </w:tblCellMar>
        </w:tblPrEx>
        <w:trPr>
          <w:trHeight w:val="494"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02C607">
            <w:pPr>
              <w:keepNext w:val="0"/>
              <w:keepLines w:val="0"/>
              <w:pageBreakBefore w:val="0"/>
              <w:widowControl/>
              <w:kinsoku/>
              <w:wordWrap/>
              <w:overflowPunct/>
              <w:topLinePunct w:val="0"/>
              <w:autoSpaceDE/>
              <w:autoSpaceDN/>
              <w:bidi w:val="0"/>
              <w:adjustRightInd/>
              <w:snapToGrid/>
              <w:spacing w:after="32" w:afterLines="10" w:line="5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消费</w:t>
            </w:r>
          </w:p>
          <w:p w14:paraId="4BD6EFD7">
            <w:pPr>
              <w:keepNext w:val="0"/>
              <w:keepLines w:val="0"/>
              <w:pageBreakBefore w:val="0"/>
              <w:widowControl/>
              <w:kinsoku/>
              <w:wordWrap/>
              <w:overflowPunct/>
              <w:topLinePunct w:val="0"/>
              <w:autoSpaceDE/>
              <w:autoSpaceDN/>
              <w:bidi w:val="0"/>
              <w:adjustRightInd/>
              <w:snapToGrid/>
              <w:spacing w:after="32" w:afterLines="10" w:line="5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环境</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CC1050">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17.消费投诉按期办结率（%）</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7C9173">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99.82</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99662E">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auto"/>
                <w:sz w:val="28"/>
                <w:szCs w:val="28"/>
                <w:lang w:val="en-US" w:eastAsia="zh-CN"/>
              </w:rPr>
              <w:t>100</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418428">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6D87B576">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8A902E2">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F53FAD">
            <w:pPr>
              <w:keepNext w:val="0"/>
              <w:keepLines w:val="0"/>
              <w:pageBreakBefore w:val="0"/>
              <w:widowControl/>
              <w:kinsoku/>
              <w:wordWrap/>
              <w:overflowPunct/>
              <w:topLinePunct w:val="0"/>
              <w:autoSpaceDE/>
              <w:autoSpaceDN/>
              <w:bidi w:val="0"/>
              <w:adjustRightInd/>
              <w:snapToGrid/>
              <w:spacing w:after="32" w:afterLines="10" w:line="600" w:lineRule="exact"/>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18.放心满意消费创建进乡村覆盖率（%）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3E3BA1A">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75</w:t>
            </w:r>
          </w:p>
        </w:tc>
        <w:tc>
          <w:tcPr>
            <w:tcW w:w="106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61ED264">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95</w:t>
            </w:r>
          </w:p>
        </w:tc>
        <w:tc>
          <w:tcPr>
            <w:tcW w:w="106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A530C36">
            <w:pPr>
              <w:keepNext w:val="0"/>
              <w:keepLines w:val="0"/>
              <w:pageBreakBefore w:val="0"/>
              <w:widowControl/>
              <w:kinsoku/>
              <w:wordWrap/>
              <w:overflowPunct/>
              <w:topLinePunct w:val="0"/>
              <w:autoSpaceDE/>
              <w:autoSpaceDN/>
              <w:bidi w:val="0"/>
              <w:adjustRightInd/>
              <w:snapToGrid/>
              <w:spacing w:after="32" w:afterLines="10" w:line="600" w:lineRule="exact"/>
              <w:jc w:val="center"/>
              <w:textAlignment w:val="auto"/>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bl>
    <w:p w14:paraId="5CE5FB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三、主要任务</w:t>
      </w:r>
    </w:p>
    <w:p w14:paraId="79988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eastAsia" w:ascii="楷体_GB2312" w:hAnsi="黑体" w:eastAsia="楷体_GB2312"/>
          <w:b w:val="0"/>
          <w:bCs/>
          <w:sz w:val="32"/>
          <w:szCs w:val="32"/>
          <w:shd w:val="clear" w:color="auto" w:fill="FFFFFF"/>
        </w:rPr>
      </w:pPr>
      <w:r>
        <w:rPr>
          <w:rFonts w:hint="eastAsia" w:ascii="黑体" w:hAnsi="黑体" w:eastAsia="黑体" w:cs="黑体"/>
          <w:sz w:val="32"/>
          <w:szCs w:val="32"/>
        </w:rPr>
        <w:t>（</w:t>
      </w:r>
      <w:r>
        <w:rPr>
          <w:rStyle w:val="16"/>
          <w:rFonts w:hint="eastAsia" w:ascii="楷体_GB2312" w:hAnsi="黑体" w:eastAsia="楷体_GB2312"/>
          <w:b w:val="0"/>
          <w:bCs/>
          <w:sz w:val="32"/>
          <w:szCs w:val="32"/>
          <w:shd w:val="clear" w:color="auto" w:fill="FFFFFF"/>
        </w:rPr>
        <w:t>一）持续深化商事制度改革</w:t>
      </w:r>
    </w:p>
    <w:p w14:paraId="44395F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alibri" w:hAnsi="Calibri" w:eastAsia="宋体" w:cs="宋体"/>
          <w:color w:val="000000"/>
          <w:kern w:val="0"/>
          <w:sz w:val="32"/>
          <w:szCs w:val="32"/>
        </w:rPr>
      </w:pPr>
      <w:r>
        <w:rPr>
          <w:rFonts w:hint="eastAsia" w:ascii="仿宋_GB2312" w:hAnsi="Calibri" w:eastAsia="仿宋_GB2312" w:cs="宋体"/>
          <w:color w:val="000000"/>
          <w:kern w:val="0"/>
          <w:sz w:val="32"/>
          <w:szCs w:val="32"/>
        </w:rPr>
        <w:t>坚持系统</w:t>
      </w:r>
      <w:r>
        <w:rPr>
          <w:rFonts w:hint="eastAsia" w:ascii="Times New Roman" w:hAnsi="仿宋_GB2312" w:eastAsia="仿宋_GB2312" w:cs="Times New Roman"/>
          <w:sz w:val="32"/>
          <w:szCs w:val="32"/>
        </w:rPr>
        <w:t>集成</w:t>
      </w:r>
      <w:r>
        <w:rPr>
          <w:rFonts w:hint="eastAsia" w:ascii="仿宋_GB2312" w:hAnsi="Calibri" w:eastAsia="仿宋_GB2312" w:cs="宋体"/>
          <w:color w:val="000000"/>
          <w:kern w:val="0"/>
          <w:sz w:val="32"/>
          <w:szCs w:val="32"/>
        </w:rPr>
        <w:t>、协同高效，推进全面深化改革，积极探索健全支持市场主体全生命周期发展的制度措施，优化营商</w:t>
      </w:r>
      <w:r>
        <w:rPr>
          <w:rFonts w:hint="eastAsia" w:ascii="仿宋_GB2312" w:hAnsi="Times New Roman" w:eastAsia="仿宋_GB2312" w:cs="Times New Roman"/>
          <w:sz w:val="32"/>
          <w:szCs w:val="32"/>
        </w:rPr>
        <w:t>环境，不断激发市场主体内在活力，持续释放全社会创业创造</w:t>
      </w:r>
      <w:r>
        <w:rPr>
          <w:rFonts w:hint="eastAsia" w:ascii="仿宋_GB2312" w:hAnsi="Calibri" w:eastAsia="仿宋_GB2312" w:cs="宋体"/>
          <w:color w:val="000000"/>
          <w:kern w:val="0"/>
          <w:sz w:val="32"/>
          <w:szCs w:val="32"/>
        </w:rPr>
        <w:t>创新潜力。</w:t>
      </w:r>
    </w:p>
    <w:p w14:paraId="589D07E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cs="Times New Roman"/>
          <w:color w:val="auto"/>
          <w:sz w:val="32"/>
          <w:szCs w:val="32"/>
        </w:rPr>
      </w:pPr>
      <w:r>
        <w:rPr>
          <w:rFonts w:hint="eastAsia" w:ascii="仿宋_GB2312" w:hAnsi="Times New Roman" w:eastAsia="仿宋_GB2312" w:cs="Times New Roman"/>
          <w:b/>
          <w:sz w:val="32"/>
          <w:szCs w:val="32"/>
        </w:rPr>
        <w:t>深化商事主体登记改革。</w:t>
      </w:r>
      <w:r>
        <w:rPr>
          <w:rFonts w:ascii="Times New Roman" w:hAnsi="仿宋_GB2312" w:eastAsia="仿宋_GB2312" w:cs="Times New Roman"/>
          <w:sz w:val="32"/>
          <w:szCs w:val="32"/>
        </w:rPr>
        <w:t>探索实施名称申报</w:t>
      </w:r>
      <w:r>
        <w:rPr>
          <w:rFonts w:ascii="Times New Roman" w:hAnsi="Times New Roman" w:eastAsia="仿宋_GB2312" w:cs="Times New Roman"/>
          <w:sz w:val="32"/>
          <w:szCs w:val="32"/>
        </w:rPr>
        <w:t>“</w:t>
      </w:r>
      <w:r>
        <w:rPr>
          <w:rFonts w:ascii="Times New Roman" w:hAnsi="仿宋_GB2312" w:eastAsia="仿宋_GB2312" w:cs="Times New Roman"/>
          <w:sz w:val="32"/>
          <w:szCs w:val="32"/>
        </w:rPr>
        <w:t>企业承诺</w:t>
      </w:r>
      <w:r>
        <w:rPr>
          <w:rFonts w:ascii="Times New Roman" w:hAnsi="Times New Roman" w:eastAsia="仿宋_GB2312" w:cs="Times New Roman"/>
          <w:sz w:val="32"/>
          <w:szCs w:val="32"/>
        </w:rPr>
        <w:t>+</w:t>
      </w:r>
      <w:r>
        <w:rPr>
          <w:rFonts w:ascii="Times New Roman" w:hAnsi="仿宋_GB2312" w:eastAsia="仿宋_GB2312" w:cs="Times New Roman"/>
          <w:sz w:val="32"/>
          <w:szCs w:val="32"/>
        </w:rPr>
        <w:t>事中事后监管</w:t>
      </w:r>
      <w:r>
        <w:rPr>
          <w:rFonts w:ascii="Times New Roman" w:hAnsi="Times New Roman" w:eastAsia="仿宋_GB2312" w:cs="Times New Roman"/>
          <w:sz w:val="32"/>
          <w:szCs w:val="32"/>
        </w:rPr>
        <w:t>”</w:t>
      </w:r>
      <w:r>
        <w:rPr>
          <w:rFonts w:ascii="Times New Roman" w:hAnsi="仿宋_GB2312" w:eastAsia="仿宋_GB2312" w:cs="Times New Roman"/>
          <w:sz w:val="32"/>
          <w:szCs w:val="32"/>
        </w:rPr>
        <w:t>，允许新兴行业企业使用反映新业态特征的企业名称</w:t>
      </w:r>
      <w:r>
        <w:rPr>
          <w:rFonts w:ascii="Times New Roman" w:hAnsi="仿宋_GB2312" w:eastAsia="仿宋_GB2312" w:cs="Times New Roman"/>
          <w:color w:val="auto"/>
          <w:sz w:val="32"/>
          <w:szCs w:val="32"/>
        </w:rPr>
        <w:t>。按照省市场监管局统一部</w:t>
      </w:r>
      <w:r>
        <w:rPr>
          <w:rFonts w:ascii="Times New Roman" w:hAnsi="仿宋_GB2312" w:eastAsia="仿宋_GB2312" w:cs="Times New Roman"/>
          <w:color w:val="auto"/>
          <w:sz w:val="32"/>
          <w:szCs w:val="32"/>
          <w:u w:val="none"/>
        </w:rPr>
        <w:t>署，开展住所与经营场所分离登记试点，简化企业设立分支机构的登记手续。</w:t>
      </w:r>
      <w:r>
        <w:rPr>
          <w:rFonts w:hint="eastAsia" w:ascii="仿宋_GB2312" w:eastAsia="仿宋_GB2312"/>
          <w:color w:val="auto"/>
          <w:sz w:val="32"/>
          <w:szCs w:val="32"/>
          <w:u w:val="none"/>
          <w:lang w:eastAsia="zh-CN"/>
        </w:rPr>
        <w:t>做好</w:t>
      </w:r>
      <w:r>
        <w:rPr>
          <w:rFonts w:hint="eastAsia" w:ascii="仿宋_GB2312" w:eastAsia="仿宋_GB2312"/>
          <w:color w:val="auto"/>
          <w:sz w:val="32"/>
          <w:szCs w:val="32"/>
          <w:u w:val="none"/>
        </w:rPr>
        <w:t>有限责任公司登记权限</w:t>
      </w:r>
      <w:r>
        <w:rPr>
          <w:rFonts w:hint="eastAsia" w:ascii="仿宋_GB2312" w:eastAsia="仿宋_GB2312"/>
          <w:color w:val="auto"/>
          <w:sz w:val="32"/>
          <w:szCs w:val="32"/>
          <w:u w:val="none"/>
          <w:lang w:eastAsia="zh-CN"/>
        </w:rPr>
        <w:t>下放工作。</w:t>
      </w:r>
      <w:r>
        <w:rPr>
          <w:rFonts w:ascii="Times New Roman" w:hAnsi="仿宋_GB2312" w:eastAsia="仿宋_GB2312" w:cs="Times New Roman"/>
          <w:color w:val="auto"/>
          <w:sz w:val="32"/>
          <w:szCs w:val="32"/>
          <w:u w:val="none"/>
        </w:rPr>
        <w:t>落实外商投资准入前国民待遇加负面清单管理制</w:t>
      </w:r>
      <w:r>
        <w:rPr>
          <w:rFonts w:ascii="Times New Roman" w:hAnsi="仿宋_GB2312" w:eastAsia="仿宋_GB2312" w:cs="Times New Roman"/>
          <w:color w:val="auto"/>
          <w:sz w:val="32"/>
          <w:szCs w:val="32"/>
        </w:rPr>
        <w:t>度。</w:t>
      </w:r>
      <w:r>
        <w:rPr>
          <w:rFonts w:hint="eastAsia" w:ascii="仿宋_GB2312" w:hAnsi="仿宋_GB2312" w:eastAsia="仿宋_GB2312" w:cs="Times New Roman"/>
          <w:color w:val="auto"/>
          <w:sz w:val="32"/>
          <w:szCs w:val="32"/>
        </w:rPr>
        <w:t>探索建立部门间协同机制，提高长期停业未经营企业强制退出市场效率。</w:t>
      </w:r>
    </w:p>
    <w:p w14:paraId="2DF2AB5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cs="Times New Roman"/>
          <w:sz w:val="32"/>
          <w:szCs w:val="32"/>
        </w:rPr>
      </w:pPr>
      <w:r>
        <w:rPr>
          <w:rFonts w:ascii="仿宋_GB2312" w:hAnsi="Times New Roman" w:eastAsia="仿宋_GB2312" w:cs="Times New Roman"/>
          <w:b/>
          <w:sz w:val="32"/>
          <w:szCs w:val="32"/>
        </w:rPr>
        <w:t>深化涉企经营许可制度改革</w:t>
      </w:r>
      <w:r>
        <w:rPr>
          <w:rFonts w:hint="eastAsia" w:ascii="仿宋_GB2312" w:hAnsi="Times New Roman" w:eastAsia="仿宋_GB2312" w:cs="Times New Roman"/>
          <w:b/>
          <w:sz w:val="32"/>
          <w:szCs w:val="32"/>
        </w:rPr>
        <w:t>。</w:t>
      </w:r>
      <w:r>
        <w:rPr>
          <w:rFonts w:ascii="Times New Roman" w:hAnsi="仿宋_GB2312" w:eastAsia="仿宋_GB2312" w:cs="Times New Roman"/>
          <w:sz w:val="32"/>
          <w:szCs w:val="32"/>
        </w:rPr>
        <w:t>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证照分离</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改革全覆盖，建立健全涉企经营许可事项清单管理制度，清单以外事项一律不得作为限制企业经营的依据。推进工业产品生产许可改革，</w:t>
      </w:r>
      <w:r>
        <w:rPr>
          <w:rFonts w:hint="eastAsia" w:ascii="仿宋_GB2312" w:hAnsi="仿宋_GB2312" w:eastAsia="仿宋_GB2312" w:cs="仿宋_GB2312"/>
          <w:sz w:val="32"/>
          <w:szCs w:val="32"/>
        </w:rPr>
        <w:t>做好省市场监管局工业产品生产许可下</w:t>
      </w:r>
      <w:r>
        <w:rPr>
          <w:rFonts w:hint="eastAsia" w:ascii="仿宋_GB2312" w:hAnsi="仿宋_GB2312" w:eastAsia="仿宋_GB2312" w:cs="仿宋_GB2312"/>
          <w:sz w:val="32"/>
          <w:szCs w:val="32"/>
          <w:lang w:eastAsia="zh-CN"/>
        </w:rPr>
        <w:t>放</w:t>
      </w:r>
      <w:r>
        <w:rPr>
          <w:rFonts w:hint="eastAsia" w:ascii="仿宋_GB2312" w:hAnsi="仿宋_GB2312" w:eastAsia="仿宋_GB2312" w:cs="仿宋_GB2312"/>
          <w:sz w:val="32"/>
          <w:szCs w:val="32"/>
        </w:rPr>
        <w:t>承接工作，提高办理效率。</w:t>
      </w:r>
      <w:r>
        <w:rPr>
          <w:rFonts w:ascii="Times New Roman" w:hAnsi="仿宋_GB2312" w:eastAsia="仿宋_GB2312" w:cs="Times New Roman"/>
          <w:sz w:val="32"/>
          <w:szCs w:val="32"/>
        </w:rPr>
        <w:t>完善强制性产品认证制度，简化出口转内销产品认证程序，推行外贸企业自我声明承诺等制度。合理放宽食品经营许可审批要求，扩大推行告知承诺制的范围。推进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证照合一</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改革。推进</w:t>
      </w:r>
      <w:r>
        <w:rPr>
          <w:rFonts w:ascii="Times New Roman" w:hAnsi="仿宋_GB2312" w:eastAsia="仿宋_GB2312" w:cs="Times New Roman"/>
          <w:bCs/>
          <w:sz w:val="32"/>
          <w:szCs w:val="32"/>
        </w:rPr>
        <w:t>药品、医疗器械、化妆品审批改革，</w:t>
      </w:r>
      <w:r>
        <w:rPr>
          <w:rFonts w:hint="eastAsia" w:ascii="Times New Roman" w:hAnsi="仿宋_GB2312" w:eastAsia="仿宋_GB2312" w:cs="Times New Roman"/>
          <w:sz w:val="32"/>
          <w:szCs w:val="32"/>
        </w:rPr>
        <w:t>全面实施第三类医疗器械经营许可告知承诺制。规范第一类医疗器械生产备案和产品备案。</w:t>
      </w:r>
      <w:r>
        <w:rPr>
          <w:rFonts w:ascii="Times New Roman" w:hAnsi="仿宋_GB2312" w:eastAsia="仿宋_GB2312" w:cs="Times New Roman"/>
          <w:sz w:val="32"/>
          <w:szCs w:val="32"/>
        </w:rPr>
        <w:t>全面推行检验检测机构资质认定告知承诺制和网上审批。</w:t>
      </w:r>
    </w:p>
    <w:p w14:paraId="169DF69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Calibri" w:hAnsi="Calibri"/>
          <w:color w:val="auto"/>
          <w:sz w:val="32"/>
          <w:szCs w:val="32"/>
        </w:rPr>
      </w:pPr>
      <w:r>
        <w:rPr>
          <w:rFonts w:ascii="仿宋_GB2312" w:hAnsi="Times New Roman" w:eastAsia="仿宋_GB2312" w:cs="Times New Roman"/>
          <w:b/>
          <w:kern w:val="2"/>
          <w:sz w:val="32"/>
          <w:szCs w:val="32"/>
        </w:rPr>
        <w:t>优化提高行政服务效能。</w:t>
      </w:r>
      <w:r>
        <w:rPr>
          <w:rFonts w:hint="eastAsia" w:ascii="仿宋_GB2312" w:hAnsi="仿宋_GB2312" w:eastAsia="仿宋_GB2312" w:cs="仿宋_GB2312"/>
          <w:bCs/>
          <w:sz w:val="32"/>
          <w:szCs w:val="32"/>
        </w:rPr>
        <w:t>加强政务服务标准化建设，完善</w:t>
      </w:r>
      <w:r>
        <w:rPr>
          <w:rFonts w:hint="eastAsia" w:ascii="仿宋_GB2312" w:hAnsi="仿宋_GB2312" w:eastAsia="仿宋_GB2312" w:cs="仿宋_GB2312"/>
          <w:sz w:val="32"/>
          <w:szCs w:val="32"/>
        </w:rPr>
        <w:t>企业开办“六个一”体系，巩固、提升“全程网办、一网通办、一日办结</w:t>
      </w:r>
      <w:r>
        <w:rPr>
          <w:rFonts w:hint="eastAsia" w:ascii="仿宋_GB2312" w:hAnsi="仿宋_GB2312" w:eastAsia="仿宋_GB2312" w:cs="仿宋_GB2312"/>
          <w:color w:val="auto"/>
          <w:sz w:val="32"/>
          <w:szCs w:val="32"/>
        </w:rPr>
        <w:t>”成果。制定实施市场监管“一网通办”办事指南，编制并公开政务服务事项标准化工作流程，推动登记许可事项全程标准化</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依托我市电子营业执照与电子印章平台，在全省领先试点电子营业执照与电子印章同步发放，推动政务服务全程“无纸化”办理。</w:t>
      </w:r>
      <w:r>
        <w:rPr>
          <w:rFonts w:hint="eastAsia" w:ascii="仿宋_GB2312" w:hAnsi="仿宋_GB2312" w:eastAsia="仿宋_GB2312" w:cs="仿宋_GB2312"/>
          <w:color w:val="auto"/>
          <w:sz w:val="32"/>
          <w:szCs w:val="32"/>
          <w:u w:val="none"/>
        </w:rPr>
        <w:t>推进电子营业执照跨省互认和登记许可事项异地办理、异地取证，实现涉企高频事项“跨省通办”。</w:t>
      </w:r>
      <w:r>
        <w:rPr>
          <w:rFonts w:hint="eastAsia" w:ascii="仿宋_GB2312" w:hAnsi="仿宋_GB2312" w:eastAsia="仿宋_GB2312" w:cs="仿宋_GB2312"/>
          <w:b w:val="0"/>
          <w:bCs w:val="0"/>
          <w:color w:val="auto"/>
          <w:spacing w:val="-6"/>
          <w:kern w:val="2"/>
          <w:sz w:val="32"/>
          <w:szCs w:val="32"/>
          <w:u w:val="none"/>
          <w:lang w:val="en-US" w:eastAsia="zh-CN" w:bidi="ar-SA"/>
        </w:rPr>
        <w:t>按照省统一部署，抓好“一业一证一码”改革在我市部分县区的试点工作。</w:t>
      </w:r>
      <w:r>
        <w:rPr>
          <w:rFonts w:hint="eastAsia" w:ascii="仿宋_GB2312" w:hAnsi="仿宋_GB2312" w:eastAsia="仿宋_GB2312" w:cs="仿宋_GB2312"/>
          <w:color w:val="auto"/>
          <w:sz w:val="32"/>
          <w:szCs w:val="32"/>
          <w:u w:val="none"/>
        </w:rPr>
        <w:t>围绕企业全生命周期</w:t>
      </w:r>
      <w:r>
        <w:rPr>
          <w:rFonts w:hint="eastAsia" w:ascii="仿宋_GB2312" w:hAnsi="仿宋_GB2312" w:eastAsia="仿宋_GB2312" w:cs="仿宋_GB2312"/>
          <w:color w:val="auto"/>
          <w:sz w:val="32"/>
          <w:szCs w:val="32"/>
        </w:rPr>
        <w:t>推行“一件事”改革和“一站式”服务。逐步取消各类强制登报公告事项，实行网上免费公告。完善促进小微企业、个体工商户发展制度体系，不断加强和改进 “小个专”党建工作。</w:t>
      </w:r>
      <w:r>
        <w:rPr>
          <w:rFonts w:hint="eastAsia" w:ascii="仿宋_GB2312" w:hAnsi="仿宋_GB2312" w:eastAsia="仿宋_GB2312" w:cs="仿宋_GB2312"/>
          <w:color w:val="auto"/>
          <w:kern w:val="2"/>
          <w:sz w:val="32"/>
          <w:szCs w:val="32"/>
        </w:rPr>
        <w:t>依托基层市场监管所建立“小个专”党建工作指导站，不断提升党组织和党的工作在“小微企业、个体工商户、专业市场”的“两个覆盖”。</w:t>
      </w:r>
      <w:r>
        <w:rPr>
          <w:rFonts w:hint="eastAsia" w:ascii="仿宋_GB2312" w:hAnsi="仿宋_GB2312" w:eastAsia="仿宋_GB2312" w:cs="仿宋_GB2312"/>
          <w:color w:val="auto"/>
          <w:sz w:val="32"/>
          <w:szCs w:val="32"/>
        </w:rPr>
        <w:t xml:space="preserve"> </w:t>
      </w:r>
    </w:p>
    <w:p w14:paraId="6E2583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6"/>
          <w:rFonts w:hint="eastAsia" w:ascii="楷体_GB2312" w:hAnsi="黑体" w:eastAsia="楷体_GB2312" w:cs="Times New Roman"/>
          <w:b w:val="0"/>
          <w:color w:val="auto"/>
          <w:sz w:val="32"/>
          <w:szCs w:val="32"/>
          <w:shd w:val="clear" w:color="auto" w:fill="FFFFFF"/>
        </w:rPr>
      </w:pPr>
      <w:r>
        <w:rPr>
          <w:rStyle w:val="16"/>
          <w:rFonts w:hint="eastAsia" w:ascii="楷体_GB2312" w:hAnsi="黑体" w:eastAsia="楷体_GB2312" w:cs="Times New Roman"/>
          <w:b w:val="0"/>
          <w:color w:val="auto"/>
          <w:sz w:val="32"/>
          <w:szCs w:val="32"/>
          <w:shd w:val="clear" w:color="auto" w:fill="FFFFFF"/>
        </w:rPr>
        <w:t>（二）全面加强监管执法</w:t>
      </w:r>
    </w:p>
    <w:p w14:paraId="72EA4A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仿宋_GB2312" w:eastAsia="仿宋_GB2312" w:cs="Times New Roman"/>
          <w:color w:val="auto"/>
          <w:sz w:val="32"/>
          <w:szCs w:val="32"/>
        </w:rPr>
      </w:pPr>
      <w:r>
        <w:rPr>
          <w:rFonts w:hint="eastAsia" w:ascii="Times New Roman" w:hAnsi="仿宋_GB2312" w:eastAsia="仿宋_GB2312" w:cs="Times New Roman"/>
          <w:color w:val="auto"/>
          <w:sz w:val="32"/>
          <w:szCs w:val="32"/>
        </w:rPr>
        <w:t>围绕建设统一开放、竞争有序的市场体系，强化竞争政策实施。加强公平竞争审查，强化重点领域监管，切实维护公平竞争，建设高标准市场体系。</w:t>
      </w:r>
    </w:p>
    <w:p w14:paraId="322AF6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Times New Roman" w:eastAsia="仿宋_GB2312" w:cs="Times New Roman"/>
          <w:b/>
          <w:color w:val="auto"/>
          <w:sz w:val="32"/>
          <w:szCs w:val="32"/>
        </w:rPr>
      </w:pPr>
      <w:r>
        <w:rPr>
          <w:rStyle w:val="16"/>
          <w:rFonts w:hint="eastAsia" w:ascii="仿宋_GB2312" w:hAnsi="Times New Roman" w:eastAsia="仿宋_GB2312"/>
          <w:bCs/>
          <w:color w:val="auto"/>
          <w:sz w:val="32"/>
          <w:szCs w:val="32"/>
          <w:shd w:val="clear" w:color="auto" w:fill="FFFFFF"/>
        </w:rPr>
        <w:t>加大竞争执法力度。</w:t>
      </w:r>
      <w:r>
        <w:rPr>
          <w:rStyle w:val="16"/>
          <w:rFonts w:ascii="Times New Roman" w:hAnsi="仿宋_GB2312" w:eastAsia="仿宋_GB2312" w:cs="Times New Roman"/>
          <w:b w:val="0"/>
          <w:color w:val="auto"/>
          <w:sz w:val="32"/>
          <w:szCs w:val="32"/>
          <w:shd w:val="clear" w:color="auto" w:fill="FFFFFF"/>
        </w:rPr>
        <w:t>完善公平竞争审查制度</w:t>
      </w:r>
      <w:r>
        <w:rPr>
          <w:rStyle w:val="16"/>
          <w:rFonts w:ascii="Times New Roman" w:hAnsi="仿宋_GB2312" w:eastAsia="仿宋_GB2312"/>
          <w:b w:val="0"/>
          <w:color w:val="auto"/>
          <w:sz w:val="32"/>
          <w:szCs w:val="32"/>
          <w:shd w:val="clear" w:color="auto" w:fill="FFFFFF"/>
        </w:rPr>
        <w:t>，将</w:t>
      </w:r>
      <w:r>
        <w:rPr>
          <w:rFonts w:ascii="Times New Roman" w:hAnsi="仿宋_GB2312" w:eastAsia="仿宋_GB2312" w:cs="Times New Roman"/>
          <w:color w:val="auto"/>
          <w:sz w:val="32"/>
          <w:szCs w:val="32"/>
        </w:rPr>
        <w:t>涉及市场准入、产业发展、招商引资、招标投标、政府采购、经营行为规范、资质标准等有关市场主体经</w:t>
      </w:r>
      <w:r>
        <w:rPr>
          <w:rFonts w:hint="eastAsia" w:ascii="Times New Roman" w:hAnsi="仿宋_GB2312" w:eastAsia="仿宋_GB2312" w:cs="Times New Roman"/>
          <w:color w:val="auto"/>
          <w:sz w:val="32"/>
          <w:szCs w:val="32"/>
          <w:lang w:eastAsia="zh-CN"/>
        </w:rPr>
        <w:t>济</w:t>
      </w:r>
      <w:r>
        <w:rPr>
          <w:rFonts w:ascii="Times New Roman" w:hAnsi="仿宋_GB2312" w:eastAsia="仿宋_GB2312" w:cs="Times New Roman"/>
          <w:color w:val="auto"/>
          <w:sz w:val="32"/>
          <w:szCs w:val="32"/>
        </w:rPr>
        <w:t>活动的规章、规范性文件、其他政策性文件以及</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一事一议</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形式的具体政策措施，均纳入公平竞争审查范围。健全公平竞争审查长效机制。鼓励第三方机构</w:t>
      </w:r>
      <w:r>
        <w:rPr>
          <w:rFonts w:ascii="Times New Roman" w:hAnsi="仿宋_GB2312" w:eastAsia="仿宋_GB2312"/>
          <w:color w:val="auto"/>
          <w:sz w:val="32"/>
          <w:szCs w:val="32"/>
        </w:rPr>
        <w:t>审查和</w:t>
      </w:r>
      <w:r>
        <w:rPr>
          <w:rFonts w:ascii="Times New Roman" w:hAnsi="仿宋_GB2312" w:eastAsia="仿宋_GB2312" w:cs="Times New Roman"/>
          <w:color w:val="auto"/>
          <w:sz w:val="32"/>
          <w:szCs w:val="32"/>
          <w:shd w:val="clear" w:color="auto" w:fill="FFFFFF"/>
        </w:rPr>
        <w:t>评估</w:t>
      </w:r>
      <w:r>
        <w:rPr>
          <w:rFonts w:ascii="Times New Roman" w:hAnsi="仿宋_GB2312" w:eastAsia="仿宋_GB2312"/>
          <w:color w:val="auto"/>
          <w:sz w:val="32"/>
          <w:szCs w:val="32"/>
          <w:shd w:val="clear" w:color="auto" w:fill="FFFFFF"/>
        </w:rPr>
        <w:t>机制</w:t>
      </w:r>
      <w:r>
        <w:rPr>
          <w:rFonts w:ascii="Times New Roman" w:hAnsi="仿宋_GB2312" w:eastAsia="仿宋_GB2312" w:cs="Times New Roman"/>
          <w:color w:val="auto"/>
          <w:sz w:val="32"/>
          <w:szCs w:val="32"/>
        </w:rPr>
        <w:t>。持续开展防疫物资、生活消费、互联网平台、医药购销等重点领域反不正当竞争执法，及时曝光一批典型案例。加大对商业贿赂等取证、定性、查处存在较大难度的行为类型案件的研究力度，力争取得突破性进展。</w:t>
      </w:r>
      <w:r>
        <w:rPr>
          <w:rFonts w:hint="eastAsia" w:ascii="仿宋_GB2312" w:hAnsi="Times New Roman" w:eastAsia="仿宋_GB2312" w:cs="Times New Roman"/>
          <w:color w:val="auto"/>
          <w:sz w:val="32"/>
          <w:szCs w:val="32"/>
        </w:rPr>
        <w:t>配合省市场监管局开展</w:t>
      </w:r>
      <w:r>
        <w:rPr>
          <w:rStyle w:val="16"/>
          <w:rFonts w:hint="eastAsia" w:ascii="仿宋_GB2312" w:hAnsi="仿宋_GB2312" w:eastAsia="仿宋_GB2312" w:cs="Times New Roman"/>
          <w:b w:val="0"/>
          <w:color w:val="auto"/>
          <w:sz w:val="32"/>
          <w:szCs w:val="32"/>
          <w:shd w:val="clear" w:color="auto" w:fill="FFFFFF"/>
        </w:rPr>
        <w:t>反垄断调查，积极提供案件线索。</w:t>
      </w:r>
    </w:p>
    <w:p w14:paraId="7AAA64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cs="Times New Roman"/>
          <w:sz w:val="32"/>
          <w:szCs w:val="32"/>
        </w:rPr>
      </w:pPr>
      <w:r>
        <w:rPr>
          <w:rFonts w:hint="eastAsia" w:ascii="仿宋_GB2312" w:hAnsi="Times New Roman" w:eastAsia="仿宋_GB2312" w:cs="Times New Roman"/>
          <w:b/>
          <w:sz w:val="32"/>
          <w:szCs w:val="32"/>
        </w:rPr>
        <w:t>加强价格监管执法。</w:t>
      </w:r>
      <w:r>
        <w:rPr>
          <w:rFonts w:ascii="Times New Roman" w:hAnsi="仿宋_GB2312" w:eastAsia="仿宋_GB2312" w:cs="Times New Roman"/>
          <w:sz w:val="32"/>
          <w:szCs w:val="32"/>
        </w:rPr>
        <w:t>完善价格监管机制，加强与行业主管部门、协会等单位沟通协作，强化行业自律，提升监管效率和效能。</w:t>
      </w:r>
      <w:r>
        <w:rPr>
          <w:rFonts w:ascii="Times New Roman" w:hAnsi="仿宋_GB2312" w:eastAsia="仿宋_GB2312" w:cs="Times New Roman"/>
          <w:bCs/>
          <w:sz w:val="32"/>
          <w:szCs w:val="32"/>
        </w:rPr>
        <w:t>突出民生价格监管，</w:t>
      </w:r>
      <w:r>
        <w:rPr>
          <w:rFonts w:ascii="Times New Roman" w:hAnsi="仿宋_GB2312" w:eastAsia="仿宋_GB2312" w:cs="Times New Roman"/>
          <w:sz w:val="32"/>
          <w:szCs w:val="32"/>
        </w:rPr>
        <w:t>重点对教育、医疗、旅游等商品和服务，加大对价格欺诈、哄抬价格、价格串通、牟取暴利等不正当价格行为的查处力度，维护消费者和经营者的合法权益。加强对行政审批中介服务、行业协会商会、水电气公用事业领域、商业银行等收费行为监管，降低企业制度性交易成本</w:t>
      </w:r>
      <w:r>
        <w:rPr>
          <w:rFonts w:ascii="Times New Roman" w:hAnsi="Times New Roman" w:eastAsia="仿宋_GB2312" w:cs="Times New Roman"/>
          <w:sz w:val="32"/>
          <w:szCs w:val="32"/>
        </w:rPr>
        <w:t>，</w:t>
      </w:r>
      <w:r>
        <w:rPr>
          <w:rFonts w:ascii="Times New Roman" w:hAnsi="仿宋_GB2312" w:eastAsia="仿宋_GB2312" w:cs="Times New Roman"/>
          <w:sz w:val="32"/>
          <w:szCs w:val="32"/>
        </w:rPr>
        <w:t>营造良好的营商环境。</w:t>
      </w:r>
    </w:p>
    <w:p w14:paraId="237D59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加强广告监管。</w:t>
      </w:r>
      <w:r>
        <w:rPr>
          <w:rFonts w:hint="eastAsia" w:ascii="仿宋_GB2312" w:hAnsi="仿宋_GB2312" w:eastAsia="仿宋_GB2312" w:cs="仿宋_GB2312"/>
          <w:sz w:val="32"/>
          <w:szCs w:val="32"/>
          <w:shd w:val="clear" w:color="auto" w:fill="FFFFFF"/>
        </w:rPr>
        <w:t>强化广告导向监管，推进广告智慧监管。突出</w:t>
      </w:r>
      <w:r>
        <w:rPr>
          <w:rFonts w:hint="eastAsia" w:ascii="仿宋_GB2312" w:hAnsi="仿宋_GB2312" w:eastAsia="仿宋_GB2312" w:cs="仿宋_GB2312"/>
          <w:sz w:val="32"/>
          <w:szCs w:val="32"/>
        </w:rPr>
        <w:t>医疗、药品、保健食品、房地产、金融投资理财等重点领域广告监管，每年开展1-2个重点领域专项治理。加大案件查处力度，严厉打击虚假违法广告行为。持续加大互联网广告监管力度，规范手机等移动端广告行为，严肃查办一批互联网违法广告案件。充分发挥广告行业组织的作用，强化广告经营者、发布者主体责任，引导行业自律。推进广告产业园区建设，力争到2025年，培育超2千万元经营额广告企业6个，其中超3千万元经营额广告企业2个，超5千万元经营额广告企业1个。</w:t>
      </w:r>
    </w:p>
    <w:p w14:paraId="288113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ascii="Times New Roman" w:hAnsi="仿宋_GB2312" w:eastAsia="仿宋_GB2312" w:cs="Times New Roman"/>
          <w:b/>
          <w:sz w:val="32"/>
          <w:szCs w:val="32"/>
        </w:rPr>
        <w:t>加强网络交易市场监管。</w:t>
      </w:r>
      <w:r>
        <w:rPr>
          <w:rFonts w:ascii="Times New Roman" w:hAnsi="仿宋_GB2312" w:eastAsia="仿宋_GB2312" w:cs="Times New Roman"/>
          <w:sz w:val="32"/>
          <w:szCs w:val="32"/>
        </w:rPr>
        <w:t>推动平台经济协同化、数字化、常态化监管，建立平台经济治理体系。坚持依法依规监管，推进依</w:t>
      </w:r>
      <w:r>
        <w:rPr>
          <w:rFonts w:hint="eastAsia" w:ascii="仿宋_GB2312" w:hAnsi="仿宋_GB2312" w:eastAsia="仿宋_GB2312" w:cs="仿宋_GB2312"/>
          <w:sz w:val="32"/>
          <w:szCs w:val="32"/>
        </w:rPr>
        <w:t>法管网，引导、督促网络交易平台落实相关责任，规范网络商品和服务经营者行为，防范网络交易风险，提高网络市场监管的制度化、规范化、法治化水平。严厉查处各类网络交易违法行为，加强对网络售假、虚假宣传、虚假促销、刷单炒信、恶意诋毁等违法行为的治理，净化网络市场环境。</w:t>
      </w:r>
      <w:r>
        <w:rPr>
          <w:rFonts w:hint="eastAsia" w:ascii="仿宋_GB2312" w:hAnsi="仿宋_GB2312" w:eastAsia="仿宋_GB2312" w:cs="仿宋_GB2312"/>
          <w:color w:val="000000"/>
          <w:kern w:val="0"/>
          <w:sz w:val="32"/>
          <w:szCs w:val="32"/>
        </w:rPr>
        <w:t>完善网络市场经营主体数据库，全面落实电商企业“亮照亮证”。</w:t>
      </w:r>
    </w:p>
    <w:p w14:paraId="1D80E3B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cs="Times New Roman"/>
          <w:sz w:val="32"/>
          <w:szCs w:val="32"/>
          <w:shd w:val="clear" w:color="auto" w:fill="FFFFFF"/>
        </w:rPr>
      </w:pPr>
      <w:r>
        <w:rPr>
          <w:rStyle w:val="16"/>
          <w:rFonts w:ascii="Times New Roman" w:hAnsi="仿宋_GB2312" w:eastAsia="仿宋_GB2312" w:cs="Times New Roman"/>
          <w:sz w:val="32"/>
          <w:szCs w:val="32"/>
          <w:shd w:val="clear" w:color="auto" w:fill="FFFFFF"/>
        </w:rPr>
        <w:t>加强合同监管。</w:t>
      </w:r>
      <w:r>
        <w:rPr>
          <w:rStyle w:val="16"/>
          <w:rFonts w:ascii="Times New Roman" w:hAnsi="仿宋_GB2312" w:eastAsia="仿宋_GB2312" w:cs="Times New Roman"/>
          <w:b w:val="0"/>
          <w:sz w:val="32"/>
          <w:szCs w:val="32"/>
          <w:shd w:val="clear" w:color="auto" w:fill="FFFFFF"/>
        </w:rPr>
        <w:t>适应</w:t>
      </w:r>
      <w:r>
        <w:rPr>
          <w:rFonts w:ascii="Times New Roman" w:hAnsi="仿宋_GB2312" w:eastAsia="仿宋_GB2312" w:cs="Times New Roman"/>
          <w:sz w:val="32"/>
          <w:szCs w:val="32"/>
          <w:shd w:val="clear" w:color="auto" w:fill="FFFFFF"/>
        </w:rPr>
        <w:t>商务活动发展特点，将合同监管重点从线下转为线上。针对重点领域经常发生的利用合同格式条款侵害消费者权益情况，定期开展专项整治活动，切实维护消费者权益。积极推广和引导电商平台使用《长三角区域电商平台服务合同（示范文本）》。鼓励基层因地制宜，研究制定符合本地实际的合同范本，加强对规范订立合同的指导，督促合同的履行，促进社会诚信建设。</w:t>
      </w:r>
    </w:p>
    <w:p w14:paraId="636AF82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cs="Times New Roman"/>
          <w:kern w:val="0"/>
          <w:sz w:val="32"/>
          <w:szCs w:val="32"/>
          <w:shd w:val="clear" w:color="auto" w:fill="FFFFFF"/>
        </w:rPr>
      </w:pPr>
      <w:r>
        <w:rPr>
          <w:rFonts w:ascii="Times New Roman" w:hAnsi="仿宋_GB2312" w:eastAsia="仿宋_GB2312" w:cs="Times New Roman"/>
          <w:b/>
          <w:kern w:val="0"/>
          <w:sz w:val="32"/>
          <w:szCs w:val="32"/>
          <w:shd w:val="clear" w:color="auto" w:fill="FFFFFF"/>
        </w:rPr>
        <w:t>规范直销打击传销。</w:t>
      </w:r>
      <w:r>
        <w:rPr>
          <w:rFonts w:ascii="Times New Roman" w:hAnsi="仿宋_GB2312" w:eastAsia="仿宋_GB2312" w:cs="Times New Roman"/>
          <w:kern w:val="0"/>
          <w:sz w:val="32"/>
          <w:szCs w:val="32"/>
          <w:shd w:val="clear" w:color="auto" w:fill="FFFFFF"/>
        </w:rPr>
        <w:t>加强对直销市场的舆情监测、分类评定和动态监管，及时掌握报告敏感信息，强化对直销企业的行政指导和风险管控，突出信用监管，提升监管效能。保持打击传销高压态势常抓不懈，围绕</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打、防、控、管</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四个环节，持续开展</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皖剑</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专项行动，保持对异地聚集式传销的打击力度。突出对网络传销的防范和打击，狠抓涉传案件的查办。</w:t>
      </w:r>
    </w:p>
    <w:p w14:paraId="7A081F7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rPr>
      </w:pPr>
      <w:r>
        <w:rPr>
          <w:rFonts w:ascii="Times New Roman" w:hAnsi="仿宋_GB2312" w:eastAsia="仿宋_GB2312"/>
          <w:b/>
          <w:kern w:val="2"/>
          <w:sz w:val="32"/>
          <w:szCs w:val="32"/>
        </w:rPr>
        <w:t>实施包容审慎监管。</w:t>
      </w:r>
      <w:r>
        <w:rPr>
          <w:rFonts w:hint="eastAsia" w:ascii="仿宋_GB2312" w:hAnsi="仿宋_GB2312" w:eastAsia="仿宋_GB2312" w:cs="仿宋_GB2312"/>
          <w:kern w:val="2"/>
          <w:sz w:val="32"/>
          <w:szCs w:val="32"/>
        </w:rPr>
        <w:t>大力支持大众创业、万众创新，对新产业、新业态、新商业模式的经济活动行为，区分不同产业、不同情况，采取不同的监管模式和标准规范。积极学习国内外已有的成熟做法，实施包容审慎监管，做到既促进新型经济发展繁荣，又不突破现有法律规定的责任追究红线，不会引发或造成群体性事件、重大人身财产损失、重大环境污染、重大社会影响等严重不良后果。让包容审慎监管成为促进新兴产业健康发展的善治新制。</w:t>
      </w:r>
    </w:p>
    <w:p w14:paraId="192C3BA3">
      <w:pPr>
        <w:keepNext w:val="0"/>
        <w:keepLines w:val="0"/>
        <w:pageBreakBefore w:val="0"/>
        <w:widowControl w:val="0"/>
        <w:kinsoku/>
        <w:wordWrap/>
        <w:overflowPunct/>
        <w:topLinePunct w:val="0"/>
        <w:autoSpaceDE/>
        <w:autoSpaceDN/>
        <w:bidi w:val="0"/>
        <w:adjustRightInd/>
        <w:snapToGrid/>
        <w:spacing w:after="157" w:afterLines="50" w:line="560" w:lineRule="exact"/>
        <w:ind w:firstLine="643" w:firstLineChars="200"/>
        <w:textAlignment w:val="auto"/>
        <w:rPr>
          <w:rFonts w:hint="eastAsia" w:ascii="楷体_GB2312" w:hAnsi="黑体" w:eastAsia="楷体_GB2312" w:cs="Times New Roman"/>
          <w:color w:val="auto"/>
          <w:sz w:val="32"/>
          <w:szCs w:val="32"/>
        </w:rPr>
      </w:pPr>
      <w:r>
        <w:rPr>
          <w:rFonts w:hint="eastAsia" w:ascii="仿宋_GB2312" w:hAnsi="黑体" w:eastAsia="仿宋_GB2312" w:cs="Times New Roman"/>
          <w:b/>
          <w:bCs/>
          <w:sz w:val="32"/>
          <w:szCs w:val="32"/>
        </w:rPr>
        <w:t>建设放心的消费环境</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bCs/>
          <w:sz w:val="32"/>
          <w:szCs w:val="32"/>
        </w:rPr>
        <w:t>建设消费维权行政执法体系，</w:t>
      </w:r>
      <w:r>
        <w:rPr>
          <w:rFonts w:ascii="Times New Roman" w:hAnsi="仿宋_GB2312" w:eastAsia="仿宋_GB2312" w:cs="Times New Roman"/>
          <w:bCs/>
          <w:sz w:val="32"/>
          <w:szCs w:val="32"/>
        </w:rPr>
        <w:t>推进完</w:t>
      </w:r>
      <w:r>
        <w:rPr>
          <w:rFonts w:hint="eastAsia" w:ascii="仿宋_GB2312" w:hAnsi="仿宋_GB2312" w:eastAsia="仿宋_GB2312" w:cs="仿宋_GB2312"/>
          <w:bCs/>
          <w:sz w:val="32"/>
          <w:szCs w:val="32"/>
          <w:lang w:eastAsia="zh-CN"/>
        </w:rPr>
        <w:t>善</w:t>
      </w:r>
      <w:r>
        <w:rPr>
          <w:rFonts w:hint="eastAsia" w:ascii="仿宋_GB2312" w:hAnsi="仿宋_GB2312" w:eastAsia="仿宋_GB2312" w:cs="仿宋_GB2312"/>
          <w:bCs/>
          <w:sz w:val="32"/>
          <w:szCs w:val="32"/>
        </w:rPr>
        <w:t>12315与12345热</w:t>
      </w:r>
      <w:r>
        <w:rPr>
          <w:rFonts w:ascii="Times New Roman" w:hAnsi="Times New Roman" w:eastAsia="仿宋_GB2312" w:cs="Times New Roman"/>
          <w:bCs/>
          <w:sz w:val="32"/>
          <w:szCs w:val="32"/>
        </w:rPr>
        <w:t>线“归并优化”</w:t>
      </w:r>
      <w:r>
        <w:rPr>
          <w:rFonts w:ascii="Times New Roman" w:hAnsi="仿宋_GB2312" w:eastAsia="仿宋_GB2312" w:cs="Times New Roman"/>
          <w:bCs/>
          <w:sz w:val="32"/>
          <w:szCs w:val="32"/>
        </w:rPr>
        <w:t>工作</w:t>
      </w:r>
      <w:r>
        <w:rPr>
          <w:rFonts w:hint="eastAsia" w:ascii="仿宋_GB2312" w:hAnsi="仿宋_GB2312" w:eastAsia="仿宋_GB2312" w:cs="仿宋_GB2312"/>
          <w:bCs/>
          <w:sz w:val="32"/>
          <w:szCs w:val="32"/>
        </w:rPr>
        <w:t>，实现12345热线话务平台与全国12315平台互联互通，话务登记</w:t>
      </w:r>
      <w:r>
        <w:rPr>
          <w:rFonts w:hint="eastAsia" w:ascii="Times New Roman" w:hAnsi="仿宋_GB2312" w:eastAsia="仿宋_GB2312" w:cs="Times New Roman"/>
          <w:bCs/>
          <w:sz w:val="32"/>
          <w:szCs w:val="32"/>
        </w:rPr>
        <w:t>与业务受理高效衔接机制</w:t>
      </w:r>
      <w:r>
        <w:rPr>
          <w:rFonts w:ascii="Times New Roman" w:hAnsi="仿宋_GB2312" w:eastAsia="仿宋_GB2312" w:cs="Times New Roman"/>
          <w:bCs/>
          <w:sz w:val="32"/>
          <w:szCs w:val="32"/>
        </w:rPr>
        <w:t>。大力开展消费纠纷在线解决（</w:t>
      </w:r>
      <w:r>
        <w:rPr>
          <w:rFonts w:ascii="Times New Roman" w:hAnsi="Times New Roman" w:eastAsia="仿宋_GB2312" w:cs="Times New Roman"/>
          <w:bCs/>
          <w:sz w:val="32"/>
          <w:szCs w:val="32"/>
        </w:rPr>
        <w:t>ODR</w:t>
      </w:r>
      <w:r>
        <w:rPr>
          <w:rFonts w:ascii="Times New Roman" w:hAnsi="仿宋_GB2312" w:eastAsia="仿宋_GB2312" w:cs="Times New Roman"/>
          <w:bCs/>
          <w:sz w:val="32"/>
          <w:szCs w:val="32"/>
        </w:rPr>
        <w:t>）、消费维权服务站建设工作，健全消费纠纷多元化解机制。充分发挥消保委职能作用，加大投诉调处力度，落实经营者首问负责、先行赔付等制度。加强与法院的诉调对接，与检察院消费民事公益诉讼协作，与公安部</w:t>
      </w:r>
      <w:r>
        <w:rPr>
          <w:rFonts w:hint="eastAsia" w:ascii="仿宋_GB2312" w:hAnsi="仿宋_GB2312" w:eastAsia="仿宋_GB2312" w:cs="仿宋_GB2312"/>
          <w:bCs/>
          <w:sz w:val="32"/>
          <w:szCs w:val="32"/>
        </w:rPr>
        <w:t>门“110”联动</w:t>
      </w:r>
      <w:r>
        <w:rPr>
          <w:rFonts w:ascii="Times New Roman" w:hAnsi="仿宋_GB2312" w:eastAsia="仿宋_GB2312" w:cs="Times New Roman"/>
          <w:bCs/>
          <w:sz w:val="32"/>
          <w:szCs w:val="32"/>
        </w:rPr>
        <w:t>，完善</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诉转案</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工作机制，</w:t>
      </w:r>
      <w:r>
        <w:rPr>
          <w:rFonts w:ascii="Times New Roman" w:eastAsia="仿宋_GB2312" w:cs="Times New Roman"/>
          <w:sz w:val="32"/>
          <w:szCs w:val="32"/>
        </w:rPr>
        <w:t>严厉打击侵害消费者权益的违法行为</w:t>
      </w:r>
      <w:r>
        <w:rPr>
          <w:rFonts w:ascii="Times New Roman" w:hAnsi="仿宋_GB2312" w:eastAsia="仿宋_GB2312" w:cs="Times New Roman"/>
          <w:sz w:val="32"/>
          <w:szCs w:val="32"/>
        </w:rPr>
        <w:t>。</w:t>
      </w:r>
      <w:r>
        <w:rPr>
          <w:rFonts w:ascii="Times New Roman" w:hAnsi="仿宋_GB2312" w:eastAsia="仿宋_GB2312" w:cs="Times New Roman"/>
          <w:bCs/>
          <w:sz w:val="32"/>
          <w:szCs w:val="32"/>
        </w:rPr>
        <w:t>完善质量价格追溯制度，引导企业主动发布产品和服务质量价格专项承诺。</w:t>
      </w:r>
      <w:r>
        <w:rPr>
          <w:rFonts w:hint="eastAsia" w:ascii="仿宋_GB2312" w:hAnsi="仿宋_GB2312" w:eastAsia="仿宋_GB2312" w:cs="Times New Roman"/>
          <w:bCs/>
          <w:sz w:val="32"/>
          <w:szCs w:val="32"/>
        </w:rPr>
        <w:t>发挥律师、记者、专家、调查员等维权志愿者和行业组织的社会监督作用，围绕手机</w:t>
      </w:r>
      <w:r>
        <w:rPr>
          <w:rFonts w:hint="eastAsia" w:ascii="仿宋_GB2312" w:hAnsi="Times New Roman" w:eastAsia="仿宋_GB2312" w:cs="Times New Roman"/>
          <w:bCs/>
          <w:sz w:val="32"/>
          <w:szCs w:val="32"/>
        </w:rPr>
        <w:t>APP</w:t>
      </w:r>
      <w:r>
        <w:rPr>
          <w:rFonts w:hint="eastAsia" w:ascii="仿宋_GB2312" w:hAnsi="仿宋_GB2312" w:eastAsia="仿宋_GB2312" w:cs="Times New Roman"/>
          <w:bCs/>
          <w:sz w:val="32"/>
          <w:szCs w:val="32"/>
        </w:rPr>
        <w:t>、快递、游学、家政、银行、保险等重点服务领域，开展消费体察、调查评议等活动，督促经营者守法经营。</w:t>
      </w:r>
      <w:r>
        <w:rPr>
          <w:rFonts w:ascii="Times New Roman" w:hAnsi="仿宋_GB2312" w:eastAsia="仿宋_GB2312" w:cs="Times New Roman"/>
          <w:bCs/>
          <w:sz w:val="32"/>
          <w:szCs w:val="32"/>
        </w:rPr>
        <w:t>加强区域交流合作，积极融入长三角消费维权一体化建设。</w:t>
      </w:r>
      <w:r>
        <w:rPr>
          <w:rFonts w:hint="eastAsia" w:ascii="仿宋_GB2312" w:hAnsi="Times New Roman" w:eastAsia="仿宋_GB2312" w:cs="Times New Roman"/>
          <w:bCs/>
          <w:sz w:val="32"/>
          <w:szCs w:val="32"/>
        </w:rPr>
        <w:t>在</w:t>
      </w:r>
      <w:r>
        <w:rPr>
          <w:rFonts w:ascii="Times New Roman" w:hAnsi="仿宋_GB2312" w:eastAsia="仿宋_GB2312" w:cs="Times New Roman"/>
          <w:bCs/>
          <w:sz w:val="32"/>
          <w:szCs w:val="32"/>
        </w:rPr>
        <w:t>重大节假日、</w:t>
      </w:r>
      <w:r>
        <w:rPr>
          <w:rFonts w:hint="eastAsia" w:ascii="仿宋_GB2312" w:hAnsi="仿宋_GB2312" w:eastAsia="仿宋_GB2312" w:cs="仿宋_GB2312"/>
          <w:bCs/>
          <w:sz w:val="32"/>
          <w:szCs w:val="32"/>
        </w:rPr>
        <w:t>“3·15”</w:t>
      </w:r>
      <w:r>
        <w:rPr>
          <w:rFonts w:ascii="Times New Roman" w:hAnsi="仿宋_GB2312" w:eastAsia="仿宋_GB2312" w:cs="Times New Roman"/>
          <w:bCs/>
          <w:sz w:val="32"/>
          <w:szCs w:val="32"/>
        </w:rPr>
        <w:t>国际消费者权益日等时机，针对网络、老年、农村和金融等重点人群，聚焦预付费跑路、保健品虚假宣传、非法收集个人信息等问题，</w:t>
      </w:r>
      <w:r>
        <w:rPr>
          <w:rFonts w:hint="eastAsia" w:ascii="仿宋_GB2312" w:hAnsi="Times New Roman" w:eastAsia="仿宋_GB2312" w:cs="Times New Roman"/>
          <w:bCs/>
          <w:sz w:val="32"/>
          <w:szCs w:val="32"/>
        </w:rPr>
        <w:t>开展形式多样的消费宣传，</w:t>
      </w:r>
      <w:r>
        <w:rPr>
          <w:rFonts w:ascii="Times New Roman" w:hAnsi="仿宋_GB2312" w:eastAsia="仿宋_GB2312" w:cs="Times New Roman"/>
          <w:bCs/>
          <w:sz w:val="32"/>
          <w:szCs w:val="32"/>
        </w:rPr>
        <w:t>培育群众正确的消费观念，提高消费维权意识，引导消费者理性消费。深入开展放心满意消费创建活动，有效解决消费领域重点突出问题，创建一批放心满意消费示范单位、示范街区</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auto"/>
          <w:sz w:val="32"/>
          <w:szCs w:val="32"/>
        </w:rPr>
        <w:t>示范行业。力争到2025年，群众对消费环境的总体满意度达到85%</w:t>
      </w:r>
      <w:r>
        <w:rPr>
          <w:rFonts w:hint="eastAsia" w:ascii="仿宋_GB2312" w:hAnsi="仿宋_GB2312" w:eastAsia="仿宋_GB2312" w:cs="仿宋_GB2312"/>
          <w:bCs/>
          <w:color w:val="auto"/>
          <w:sz w:val="32"/>
          <w:szCs w:val="32"/>
          <w:lang w:eastAsia="zh-CN"/>
        </w:rPr>
        <w:t>以上</w:t>
      </w:r>
      <w:r>
        <w:rPr>
          <w:rFonts w:hint="eastAsia" w:ascii="仿宋_GB2312" w:hAnsi="仿宋_GB2312" w:eastAsia="仿宋_GB2312" w:cs="仿宋_GB2312"/>
          <w:bCs/>
          <w:color w:val="auto"/>
          <w:sz w:val="32"/>
          <w:szCs w:val="32"/>
        </w:rPr>
        <w:t>，对创建工作认同度达到90%以</w:t>
      </w:r>
      <w:r>
        <w:rPr>
          <w:rFonts w:ascii="Times New Roman" w:hAnsi="仿宋_GB2312" w:eastAsia="仿宋_GB2312" w:cs="Times New Roman"/>
          <w:bCs/>
          <w:color w:val="auto"/>
          <w:sz w:val="32"/>
          <w:szCs w:val="32"/>
        </w:rPr>
        <w:t>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5850"/>
        <w:gridCol w:w="1732"/>
      </w:tblGrid>
      <w:tr w14:paraId="47D0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3"/>
          </w:tcPr>
          <w:p w14:paraId="09CF772A">
            <w:pPr>
              <w:pStyle w:val="2"/>
              <w:keepNext/>
              <w:keepLines/>
              <w:pageBreakBefore w:val="0"/>
              <w:widowControl w:val="0"/>
              <w:kinsoku/>
              <w:wordWrap/>
              <w:overflowPunct/>
              <w:topLinePunct w:val="0"/>
              <w:autoSpaceDE/>
              <w:autoSpaceDN/>
              <w:bidi w:val="0"/>
              <w:adjustRightInd/>
              <w:snapToGrid/>
              <w:spacing w:after="32" w:afterLines="10" w:line="500" w:lineRule="exact"/>
              <w:jc w:val="center"/>
              <w:textAlignment w:val="baseline"/>
              <w:rPr>
                <w:rFonts w:ascii="楷体_GB2312" w:hAnsi="黑体" w:eastAsia="楷体_GB2312" w:cs="Times New Roman"/>
                <w:color w:val="auto"/>
                <w:sz w:val="32"/>
                <w:szCs w:val="32"/>
              </w:rPr>
            </w:pPr>
            <w:r>
              <w:rPr>
                <w:rFonts w:ascii="Times New Roman" w:hAnsi="黑体" w:eastAsia="黑体" w:cs="Times New Roman"/>
                <w:b w:val="0"/>
                <w:bCs w:val="0"/>
                <w:color w:val="auto"/>
                <w:sz w:val="28"/>
                <w:szCs w:val="28"/>
              </w:rPr>
              <w:t>专栏</w:t>
            </w:r>
            <w:r>
              <w:rPr>
                <w:rFonts w:hint="eastAsia" w:ascii="Times New Roman" w:hAnsi="Times New Roman" w:eastAsia="黑体" w:cs="Times New Roman"/>
                <w:b w:val="0"/>
                <w:bCs w:val="0"/>
                <w:color w:val="auto"/>
                <w:sz w:val="28"/>
                <w:szCs w:val="28"/>
              </w:rPr>
              <w:t>3</w:t>
            </w:r>
            <w:r>
              <w:rPr>
                <w:rFonts w:ascii="Times New Roman" w:hAnsi="Times New Roman" w:eastAsia="黑体" w:cs="Times New Roman"/>
                <w:b w:val="0"/>
                <w:bCs w:val="0"/>
                <w:color w:val="auto"/>
                <w:sz w:val="28"/>
                <w:szCs w:val="28"/>
              </w:rPr>
              <w:t xml:space="preserve"> </w:t>
            </w:r>
            <w:r>
              <w:rPr>
                <w:rFonts w:hint="eastAsia" w:ascii="Times New Roman" w:hAnsi="Times New Roman" w:eastAsia="黑体" w:cs="Times New Roman"/>
                <w:b w:val="0"/>
                <w:bCs w:val="0"/>
                <w:color w:val="auto"/>
                <w:sz w:val="28"/>
                <w:szCs w:val="28"/>
              </w:rPr>
              <w:t xml:space="preserve"> </w:t>
            </w:r>
            <w:r>
              <w:rPr>
                <w:rFonts w:ascii="Times New Roman" w:hAnsi="黑体" w:eastAsia="黑体" w:cs="Times New Roman"/>
                <w:b w:val="0"/>
                <w:bCs w:val="0"/>
                <w:color w:val="auto"/>
                <w:sz w:val="28"/>
                <w:szCs w:val="28"/>
              </w:rPr>
              <w:t>放心满意消费创建工程</w:t>
            </w:r>
          </w:p>
        </w:tc>
      </w:tr>
      <w:tr w14:paraId="4D9D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7D3F037D">
            <w:pPr>
              <w:pStyle w:val="2"/>
              <w:keepNext/>
              <w:keepLines/>
              <w:pageBreakBefore w:val="0"/>
              <w:widowControl w:val="0"/>
              <w:kinsoku/>
              <w:wordWrap/>
              <w:overflowPunct/>
              <w:topLinePunct w:val="0"/>
              <w:autoSpaceDE/>
              <w:autoSpaceDN/>
              <w:bidi w:val="0"/>
              <w:adjustRightInd/>
              <w:snapToGrid/>
              <w:spacing w:after="32" w:afterLines="10" w:line="500" w:lineRule="exact"/>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创建主题</w:t>
            </w:r>
          </w:p>
        </w:tc>
        <w:tc>
          <w:tcPr>
            <w:tcW w:w="7582" w:type="dxa"/>
            <w:gridSpan w:val="2"/>
          </w:tcPr>
          <w:p w14:paraId="04401BFA">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lang w:eastAsia="zh-CN"/>
              </w:rPr>
            </w:pPr>
            <w:r>
              <w:rPr>
                <w:rFonts w:hint="eastAsia" w:ascii="Times New Roman" w:hAnsi="仿宋_GB2312" w:eastAsia="仿宋_GB2312" w:cs="Times New Roman"/>
                <w:b w:val="0"/>
                <w:bCs w:val="0"/>
                <w:color w:val="auto"/>
                <w:sz w:val="28"/>
                <w:szCs w:val="28"/>
              </w:rPr>
              <w:t>“满意消费长三角，放心消费在六安”</w:t>
            </w:r>
            <w:r>
              <w:rPr>
                <w:rFonts w:hint="eastAsia" w:ascii="Times New Roman" w:hAnsi="仿宋_GB2312" w:eastAsia="仿宋_GB2312" w:cs="Times New Roman"/>
                <w:b w:val="0"/>
                <w:bCs w:val="0"/>
                <w:color w:val="auto"/>
                <w:sz w:val="28"/>
                <w:szCs w:val="28"/>
                <w:lang w:eastAsia="zh-CN"/>
              </w:rPr>
              <w:t>。</w:t>
            </w:r>
          </w:p>
        </w:tc>
      </w:tr>
      <w:tr w14:paraId="2E06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71F62885">
            <w:pPr>
              <w:pStyle w:val="2"/>
              <w:keepNext/>
              <w:keepLines/>
              <w:pageBreakBefore w:val="0"/>
              <w:widowControl w:val="0"/>
              <w:kinsoku/>
              <w:wordWrap/>
              <w:overflowPunct/>
              <w:topLinePunct w:val="0"/>
              <w:autoSpaceDE/>
              <w:autoSpaceDN/>
              <w:bidi w:val="0"/>
              <w:adjustRightInd/>
              <w:snapToGrid/>
              <w:spacing w:after="32" w:afterLines="10" w:line="500" w:lineRule="exact"/>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创建内容</w:t>
            </w:r>
          </w:p>
        </w:tc>
        <w:tc>
          <w:tcPr>
            <w:tcW w:w="7582" w:type="dxa"/>
            <w:gridSpan w:val="2"/>
          </w:tcPr>
          <w:p w14:paraId="6790F8B6">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lang w:eastAsia="zh-CN"/>
              </w:rPr>
            </w:pPr>
            <w:r>
              <w:rPr>
                <w:rFonts w:hint="eastAsia" w:ascii="Times New Roman" w:hAnsi="仿宋_GB2312" w:eastAsia="仿宋_GB2312" w:cs="Times New Roman"/>
                <w:b w:val="0"/>
                <w:bCs w:val="0"/>
                <w:color w:val="auto"/>
                <w:sz w:val="28"/>
                <w:szCs w:val="28"/>
              </w:rPr>
              <w:t>消费安全放心、质量放心、价格放心、服务放心、维权放心</w:t>
            </w:r>
            <w:r>
              <w:rPr>
                <w:rFonts w:hint="eastAsia" w:ascii="Times New Roman" w:hAnsi="仿宋_GB2312" w:eastAsia="仿宋_GB2312" w:cs="Times New Roman"/>
                <w:b w:val="0"/>
                <w:bCs w:val="0"/>
                <w:color w:val="auto"/>
                <w:sz w:val="28"/>
                <w:szCs w:val="28"/>
                <w:lang w:eastAsia="zh-CN"/>
              </w:rPr>
              <w:t>。</w:t>
            </w:r>
          </w:p>
        </w:tc>
      </w:tr>
      <w:tr w14:paraId="1844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14:paraId="36B85801">
            <w:pPr>
              <w:pStyle w:val="2"/>
              <w:keepNext/>
              <w:keepLines/>
              <w:pageBreakBefore w:val="0"/>
              <w:widowControl w:val="0"/>
              <w:kinsoku/>
              <w:wordWrap/>
              <w:overflowPunct/>
              <w:topLinePunct w:val="0"/>
              <w:autoSpaceDE/>
              <w:autoSpaceDN/>
              <w:bidi w:val="0"/>
              <w:adjustRightInd/>
              <w:snapToGrid/>
              <w:spacing w:after="32" w:afterLines="10" w:line="500" w:lineRule="exact"/>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创建领域</w:t>
            </w:r>
          </w:p>
        </w:tc>
        <w:tc>
          <w:tcPr>
            <w:tcW w:w="7582" w:type="dxa"/>
            <w:gridSpan w:val="2"/>
          </w:tcPr>
          <w:p w14:paraId="45C24CCB">
            <w:pPr>
              <w:pStyle w:val="2"/>
              <w:keepNext/>
              <w:keepLines/>
              <w:pageBreakBefore w:val="0"/>
              <w:widowControl w:val="0"/>
              <w:kinsoku/>
              <w:wordWrap/>
              <w:overflowPunct/>
              <w:topLinePunct w:val="0"/>
              <w:autoSpaceDE/>
              <w:autoSpaceDN/>
              <w:bidi w:val="0"/>
              <w:adjustRightInd/>
              <w:snapToGrid/>
              <w:spacing w:after="32" w:afterLines="10" w:line="400" w:lineRule="exact"/>
              <w:textAlignment w:val="baseline"/>
              <w:rPr>
                <w:rFonts w:hint="eastAsia" w:ascii="Times New Roman" w:hAnsi="仿宋_GB2312" w:eastAsia="仿宋_GB2312" w:cs="Times New Roman"/>
                <w:b w:val="0"/>
                <w:bCs w:val="0"/>
                <w:color w:val="auto"/>
                <w:spacing w:val="-6"/>
                <w:sz w:val="28"/>
                <w:szCs w:val="28"/>
                <w:lang w:eastAsia="zh-CN"/>
              </w:rPr>
            </w:pPr>
            <w:r>
              <w:rPr>
                <w:rFonts w:hint="eastAsia" w:ascii="Times New Roman" w:hAnsi="仿宋_GB2312" w:eastAsia="仿宋_GB2312" w:cs="Times New Roman"/>
                <w:b w:val="0"/>
                <w:bCs w:val="0"/>
                <w:color w:val="auto"/>
                <w:spacing w:val="-6"/>
                <w:sz w:val="28"/>
                <w:szCs w:val="28"/>
              </w:rPr>
              <w:t>实施实物消费、服务消费、食品消费、电商消费、乡村消费、工厂消费、行业消费、区域消费等八个放心满意消费提升工程</w:t>
            </w:r>
            <w:r>
              <w:rPr>
                <w:rFonts w:hint="eastAsia" w:ascii="Times New Roman" w:hAnsi="仿宋_GB2312" w:eastAsia="仿宋_GB2312" w:cs="Times New Roman"/>
                <w:b w:val="0"/>
                <w:bCs w:val="0"/>
                <w:color w:val="auto"/>
                <w:spacing w:val="-6"/>
                <w:sz w:val="28"/>
                <w:szCs w:val="28"/>
                <w:lang w:eastAsia="zh-CN"/>
              </w:rPr>
              <w:t>。</w:t>
            </w:r>
          </w:p>
        </w:tc>
      </w:tr>
      <w:tr w14:paraId="7657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Merge w:val="restart"/>
            <w:vAlign w:val="center"/>
          </w:tcPr>
          <w:p w14:paraId="37C1EBF2">
            <w:pPr>
              <w:pStyle w:val="2"/>
              <w:keepNext/>
              <w:keepLines/>
              <w:pageBreakBefore w:val="0"/>
              <w:widowControl w:val="0"/>
              <w:kinsoku/>
              <w:wordWrap/>
              <w:overflowPunct/>
              <w:topLinePunct w:val="0"/>
              <w:autoSpaceDE/>
              <w:autoSpaceDN/>
              <w:bidi w:val="0"/>
              <w:adjustRightInd/>
              <w:snapToGrid/>
              <w:spacing w:after="32" w:afterLines="10" w:line="500" w:lineRule="exact"/>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创建任务</w:t>
            </w:r>
          </w:p>
        </w:tc>
        <w:tc>
          <w:tcPr>
            <w:tcW w:w="5850" w:type="dxa"/>
          </w:tcPr>
          <w:p w14:paraId="6ED5AD35">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r>
              <w:rPr>
                <w:rFonts w:hint="eastAsia" w:ascii="Times New Roman" w:hAnsi="仿宋_GB2312" w:eastAsia="仿宋_GB2312" w:cs="Times New Roman"/>
                <w:b w:val="0"/>
                <w:bCs w:val="0"/>
                <w:color w:val="auto"/>
                <w:sz w:val="28"/>
                <w:szCs w:val="28"/>
              </w:rPr>
              <w:t>创建放心满意消费示范县（区）</w:t>
            </w:r>
          </w:p>
        </w:tc>
        <w:tc>
          <w:tcPr>
            <w:tcW w:w="1732" w:type="dxa"/>
            <w:vAlign w:val="center"/>
          </w:tcPr>
          <w:p w14:paraId="5633E557">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1个以上</w:t>
            </w:r>
          </w:p>
        </w:tc>
      </w:tr>
      <w:tr w14:paraId="7370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Merge w:val="continue"/>
          </w:tcPr>
          <w:p w14:paraId="666A5310">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p>
        </w:tc>
        <w:tc>
          <w:tcPr>
            <w:tcW w:w="5850" w:type="dxa"/>
          </w:tcPr>
          <w:p w14:paraId="767B9E37">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r>
              <w:rPr>
                <w:rFonts w:hint="eastAsia" w:ascii="Times New Roman" w:hAnsi="仿宋_GB2312" w:eastAsia="仿宋_GB2312" w:cs="Times New Roman"/>
                <w:b w:val="0"/>
                <w:bCs w:val="0"/>
                <w:color w:val="auto"/>
                <w:sz w:val="28"/>
                <w:szCs w:val="28"/>
              </w:rPr>
              <w:t>创建放心满意消费示范行业</w:t>
            </w:r>
          </w:p>
        </w:tc>
        <w:tc>
          <w:tcPr>
            <w:tcW w:w="1732" w:type="dxa"/>
            <w:vAlign w:val="center"/>
          </w:tcPr>
          <w:p w14:paraId="3494E6F0">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1个以上</w:t>
            </w:r>
          </w:p>
        </w:tc>
      </w:tr>
      <w:tr w14:paraId="149B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Merge w:val="continue"/>
          </w:tcPr>
          <w:p w14:paraId="68A517E4">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p>
        </w:tc>
        <w:tc>
          <w:tcPr>
            <w:tcW w:w="5850" w:type="dxa"/>
          </w:tcPr>
          <w:p w14:paraId="5EEE963F">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r>
              <w:rPr>
                <w:rFonts w:hint="eastAsia" w:ascii="Times New Roman" w:hAnsi="仿宋_GB2312" w:eastAsia="仿宋_GB2312" w:cs="Times New Roman"/>
                <w:b w:val="0"/>
                <w:bCs w:val="0"/>
                <w:color w:val="auto"/>
                <w:sz w:val="28"/>
                <w:szCs w:val="28"/>
              </w:rPr>
              <w:t>培育创建放心满意消费示范街区(市场、景区、服务区)</w:t>
            </w:r>
          </w:p>
        </w:tc>
        <w:tc>
          <w:tcPr>
            <w:tcW w:w="1732" w:type="dxa"/>
            <w:vAlign w:val="center"/>
          </w:tcPr>
          <w:p w14:paraId="472B316D">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30个以上</w:t>
            </w:r>
          </w:p>
        </w:tc>
      </w:tr>
      <w:tr w14:paraId="4B95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Merge w:val="continue"/>
          </w:tcPr>
          <w:p w14:paraId="73EA789E">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p>
        </w:tc>
        <w:tc>
          <w:tcPr>
            <w:tcW w:w="5850" w:type="dxa"/>
          </w:tcPr>
          <w:p w14:paraId="359080C0">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r>
              <w:rPr>
                <w:rFonts w:hint="eastAsia" w:ascii="Times New Roman" w:hAnsi="仿宋_GB2312" w:eastAsia="仿宋_GB2312" w:cs="Times New Roman"/>
                <w:b w:val="0"/>
                <w:bCs w:val="0"/>
                <w:color w:val="auto"/>
                <w:sz w:val="28"/>
                <w:szCs w:val="28"/>
              </w:rPr>
              <w:t>全市新增放心满意消费示范单位</w:t>
            </w:r>
          </w:p>
        </w:tc>
        <w:tc>
          <w:tcPr>
            <w:tcW w:w="1732" w:type="dxa"/>
            <w:vAlign w:val="center"/>
          </w:tcPr>
          <w:p w14:paraId="280DD6A6">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1000家以上</w:t>
            </w:r>
          </w:p>
        </w:tc>
      </w:tr>
      <w:tr w14:paraId="5802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Merge w:val="continue"/>
          </w:tcPr>
          <w:p w14:paraId="09B8BF0B">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p>
        </w:tc>
        <w:tc>
          <w:tcPr>
            <w:tcW w:w="5850" w:type="dxa"/>
          </w:tcPr>
          <w:p w14:paraId="222E8078">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Times New Roman" w:hAnsi="仿宋_GB2312" w:eastAsia="仿宋_GB2312" w:cs="Times New Roman"/>
                <w:b w:val="0"/>
                <w:bCs w:val="0"/>
                <w:color w:val="auto"/>
                <w:sz w:val="28"/>
                <w:szCs w:val="28"/>
              </w:rPr>
            </w:pPr>
            <w:r>
              <w:rPr>
                <w:rFonts w:hint="eastAsia" w:ascii="Times New Roman" w:hAnsi="仿宋_GB2312" w:eastAsia="仿宋_GB2312" w:cs="Times New Roman"/>
                <w:b w:val="0"/>
                <w:bCs w:val="0"/>
                <w:color w:val="auto"/>
                <w:sz w:val="28"/>
                <w:szCs w:val="28"/>
              </w:rPr>
              <w:t>发展线下无理由退货承诺单位</w:t>
            </w:r>
          </w:p>
        </w:tc>
        <w:tc>
          <w:tcPr>
            <w:tcW w:w="1732" w:type="dxa"/>
            <w:vAlign w:val="center"/>
          </w:tcPr>
          <w:p w14:paraId="04D4BE67">
            <w:pPr>
              <w:pStyle w:val="2"/>
              <w:keepNext/>
              <w:keepLines/>
              <w:pageBreakBefore w:val="0"/>
              <w:widowControl w:val="0"/>
              <w:kinsoku/>
              <w:wordWrap/>
              <w:overflowPunct/>
              <w:topLinePunct w:val="0"/>
              <w:autoSpaceDE/>
              <w:autoSpaceDN/>
              <w:bidi w:val="0"/>
              <w:adjustRightInd/>
              <w:snapToGrid/>
              <w:spacing w:after="32" w:afterLines="10" w:line="500" w:lineRule="exac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1000户以上</w:t>
            </w:r>
          </w:p>
        </w:tc>
      </w:tr>
    </w:tbl>
    <w:p w14:paraId="440FA63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cs="Times New Roman"/>
          <w:color w:val="auto"/>
          <w:sz w:val="32"/>
          <w:szCs w:val="32"/>
        </w:rPr>
      </w:pPr>
      <w:r>
        <w:rPr>
          <w:rFonts w:hint="eastAsia" w:ascii="楷体_GB2312" w:hAnsi="黑体" w:eastAsia="楷体_GB2312" w:cs="Times New Roman"/>
          <w:color w:val="auto"/>
          <w:sz w:val="32"/>
          <w:szCs w:val="32"/>
        </w:rPr>
        <w:t>（三）</w:t>
      </w:r>
      <w:r>
        <w:rPr>
          <w:rFonts w:hint="eastAsia" w:ascii="楷体_GB2312" w:hAnsi="黑体" w:eastAsia="楷体_GB2312" w:cs="Times New Roman"/>
          <w:color w:val="auto"/>
          <w:sz w:val="32"/>
          <w:szCs w:val="32"/>
          <w:lang w:eastAsia="zh-CN"/>
        </w:rPr>
        <w:t>持续</w:t>
      </w:r>
      <w:r>
        <w:rPr>
          <w:rFonts w:hint="eastAsia" w:ascii="楷体_GB2312" w:hAnsi="黑体" w:eastAsia="楷体_GB2312" w:cs="Times New Roman"/>
          <w:color w:val="auto"/>
          <w:sz w:val="32"/>
          <w:szCs w:val="32"/>
        </w:rPr>
        <w:t>深化质量强市建设</w:t>
      </w:r>
    </w:p>
    <w:p w14:paraId="1A95503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深入开展质量提升行动，激发企业追求高质量的内生动力，提升产品、工程和服务的质量水平、质量层次和品牌影响力。</w:t>
      </w:r>
    </w:p>
    <w:p w14:paraId="71DDDB52">
      <w:pPr>
        <w:keepNext w:val="0"/>
        <w:keepLines w:val="0"/>
        <w:pageBreakBefore w:val="0"/>
        <w:widowControl w:val="0"/>
        <w:kinsoku/>
        <w:wordWrap/>
        <w:overflowPunct/>
        <w:topLinePunct w:val="0"/>
        <w:autoSpaceDE/>
        <w:autoSpaceDN/>
        <w:bidi w:val="0"/>
        <w:spacing w:line="560" w:lineRule="exact"/>
        <w:ind w:firstLine="630" w:firstLineChars="196"/>
        <w:textAlignment w:val="auto"/>
        <w:rPr>
          <w:rFonts w:ascii="Times New Roman" w:hAnsi="Times New Roman" w:eastAsia="楷体_GB2312" w:cs="Times New Roman"/>
          <w:bCs/>
          <w:color w:val="auto"/>
          <w:sz w:val="32"/>
          <w:szCs w:val="32"/>
        </w:rPr>
      </w:pPr>
      <w:r>
        <w:rPr>
          <w:rFonts w:hint="eastAsia" w:ascii="仿宋_GB2312" w:hAnsi="Times New Roman" w:eastAsia="仿宋_GB2312" w:cs="Times New Roman"/>
          <w:b/>
          <w:bCs/>
          <w:color w:val="auto"/>
          <w:sz w:val="32"/>
          <w:szCs w:val="32"/>
        </w:rPr>
        <w:t>优化质量发展推进机制。</w:t>
      </w:r>
      <w:r>
        <w:rPr>
          <w:rFonts w:ascii="Times New Roman" w:hAnsi="仿宋_GB2312" w:eastAsia="仿宋_GB2312" w:cs="Times New Roman"/>
          <w:color w:val="auto"/>
          <w:sz w:val="32"/>
          <w:szCs w:val="32"/>
        </w:rPr>
        <w:t>完善</w:t>
      </w:r>
      <w:r>
        <w:rPr>
          <w:rFonts w:ascii="Times New Roman" w:hAnsi="Times New Roman" w:eastAsia="仿宋_GB2312" w:cs="Times New Roman"/>
          <w:color w:val="auto"/>
          <w:sz w:val="32"/>
          <w:szCs w:val="32"/>
          <w:lang w:val="zh-CN" w:bidi="zh-CN"/>
        </w:rPr>
        <w:t>“</w:t>
      </w:r>
      <w:r>
        <w:rPr>
          <w:rFonts w:ascii="Times New Roman" w:hAnsi="仿宋_GB2312" w:eastAsia="仿宋_GB2312" w:cs="Times New Roman"/>
          <w:color w:val="auto"/>
          <w:sz w:val="32"/>
          <w:szCs w:val="32"/>
          <w:lang w:val="zh-CN" w:bidi="zh-CN"/>
        </w:rPr>
        <w:t>党委</w:t>
      </w:r>
      <w:r>
        <w:rPr>
          <w:rFonts w:ascii="Times New Roman" w:hAnsi="仿宋_GB2312" w:eastAsia="仿宋_GB2312" w:cs="Times New Roman"/>
          <w:color w:val="auto"/>
          <w:sz w:val="32"/>
          <w:szCs w:val="32"/>
        </w:rPr>
        <w:t>领导、政府主导、部门联合、企业主责、社会参与</w:t>
      </w:r>
      <w:r>
        <w:rPr>
          <w:rFonts w:ascii="Times New Roman" w:hAnsi="Times New Roman" w:eastAsia="仿宋_GB2312" w:cs="Times New Roman"/>
          <w:color w:val="auto"/>
          <w:sz w:val="32"/>
          <w:szCs w:val="32"/>
          <w:lang w:val="zh-CN" w:bidi="zh-CN"/>
        </w:rPr>
        <w:t>”</w:t>
      </w:r>
      <w:r>
        <w:rPr>
          <w:rFonts w:ascii="Times New Roman" w:hAnsi="仿宋_GB2312" w:eastAsia="仿宋_GB2312" w:cs="Times New Roman"/>
          <w:color w:val="auto"/>
          <w:sz w:val="32"/>
          <w:szCs w:val="32"/>
          <w:lang w:val="zh-CN" w:bidi="zh-CN"/>
        </w:rPr>
        <w:t>的大</w:t>
      </w:r>
      <w:r>
        <w:rPr>
          <w:rFonts w:ascii="Times New Roman" w:hAnsi="仿宋_GB2312" w:eastAsia="仿宋_GB2312" w:cs="Times New Roman"/>
          <w:color w:val="auto"/>
          <w:sz w:val="32"/>
          <w:szCs w:val="32"/>
        </w:rPr>
        <w:t>质量工作领导体制和</w:t>
      </w:r>
      <w:r>
        <w:rPr>
          <w:rFonts w:ascii="Times New Roman" w:hAnsi="Times New Roman" w:eastAsia="仿宋_GB2312" w:cs="Times New Roman"/>
          <w:color w:val="auto"/>
          <w:sz w:val="32"/>
          <w:szCs w:val="32"/>
          <w:lang w:val="zh-CN" w:bidi="zh-CN"/>
        </w:rPr>
        <w:t>“</w:t>
      </w:r>
      <w:r>
        <w:rPr>
          <w:rFonts w:ascii="Times New Roman" w:hAnsi="仿宋_GB2312" w:eastAsia="仿宋_GB2312" w:cs="Times New Roman"/>
          <w:color w:val="auto"/>
          <w:sz w:val="32"/>
          <w:szCs w:val="32"/>
          <w:lang w:val="zh-CN" w:bidi="zh-CN"/>
        </w:rPr>
        <w:t>市</w:t>
      </w:r>
      <w:r>
        <w:rPr>
          <w:rFonts w:ascii="Times New Roman" w:hAnsi="仿宋_GB2312" w:eastAsia="仿宋_GB2312" w:cs="Times New Roman"/>
          <w:color w:val="auto"/>
          <w:sz w:val="32"/>
          <w:szCs w:val="32"/>
        </w:rPr>
        <w:t>场主体自治、行业自律、社会监督、政府监管</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的质量共治机制。将质量安全和质量发展纳</w:t>
      </w:r>
      <w:r>
        <w:rPr>
          <w:rFonts w:hint="eastAsia" w:ascii="仿宋_GB2312" w:hAnsi="仿宋_GB2312" w:eastAsia="仿宋_GB2312" w:cs="仿宋_GB2312"/>
          <w:color w:val="auto"/>
          <w:sz w:val="32"/>
          <w:szCs w:val="32"/>
        </w:rPr>
        <w:t>入地方各级人民政府绩效考核评价体系。积极推进“全国质量强市示范城市”和“安徽省质量强县（市、区）”创建，力争“十四五”末，全市80%</w:t>
      </w:r>
      <w:r>
        <w:rPr>
          <w:rFonts w:ascii="Times New Roman" w:hAnsi="仿宋_GB2312" w:eastAsia="仿宋_GB2312" w:cs="Times New Roman"/>
          <w:color w:val="auto"/>
          <w:sz w:val="32"/>
          <w:szCs w:val="32"/>
        </w:rPr>
        <w:t>以上的县区</w:t>
      </w:r>
      <w:r>
        <w:rPr>
          <w:rFonts w:hint="eastAsia" w:ascii="Times New Roman" w:hAnsi="仿宋_GB2312" w:eastAsia="仿宋_GB2312" w:cs="Times New Roman"/>
          <w:color w:val="auto"/>
          <w:sz w:val="32"/>
          <w:szCs w:val="32"/>
          <w:lang w:eastAsia="zh-CN"/>
        </w:rPr>
        <w:t>成功创建</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安徽省质量强县（市、区）</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优化市政府质量奖评选制度，探索加大对政府质量奖获奖企业的扶持力度，发挥质量标杆示范效应。完善产品侵权责任制度，推进产品质量安全责任保险制度，保障质量安全事故受害者得到及时赔偿。完善质量安全风险预警评估机制</w:t>
      </w:r>
      <w:r>
        <w:rPr>
          <w:rFonts w:hint="eastAsia" w:ascii="Times New Roman" w:hAnsi="仿宋_GB2312" w:eastAsia="仿宋_GB2312" w:cs="Times New Roman"/>
          <w:color w:val="auto"/>
          <w:sz w:val="32"/>
          <w:szCs w:val="32"/>
        </w:rPr>
        <w:t>和</w:t>
      </w:r>
      <w:r>
        <w:rPr>
          <w:rFonts w:ascii="Times New Roman" w:hAnsi="仿宋_GB2312" w:eastAsia="仿宋_GB2312" w:cs="Times New Roman"/>
          <w:color w:val="auto"/>
          <w:sz w:val="32"/>
          <w:szCs w:val="32"/>
        </w:rPr>
        <w:t>缺陷</w:t>
      </w:r>
      <w:r>
        <w:rPr>
          <w:rFonts w:hint="eastAsia" w:ascii="Times New Roman" w:hAnsi="仿宋_GB2312" w:eastAsia="仿宋_GB2312" w:cs="Times New Roman"/>
          <w:color w:val="auto"/>
          <w:sz w:val="32"/>
          <w:szCs w:val="32"/>
          <w:lang w:eastAsia="zh-CN"/>
        </w:rPr>
        <w:t>产</w:t>
      </w:r>
      <w:r>
        <w:rPr>
          <w:rFonts w:ascii="Times New Roman" w:hAnsi="仿宋_GB2312" w:eastAsia="仿宋_GB2312" w:cs="Times New Roman"/>
          <w:color w:val="auto"/>
          <w:sz w:val="32"/>
          <w:szCs w:val="32"/>
        </w:rPr>
        <w:t>品召回管理机制，及时消除隐患，降低或消除安全风险。</w:t>
      </w:r>
    </w:p>
    <w:p w14:paraId="08999A81">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Times New Roman" w:eastAsia="仿宋_GB2312" w:cs="Times New Roman"/>
          <w:snapToGrid w:val="0"/>
          <w:color w:val="auto"/>
          <w:sz w:val="32"/>
          <w:szCs w:val="32"/>
        </w:rPr>
      </w:pPr>
      <w:r>
        <w:rPr>
          <w:rFonts w:hint="eastAsia" w:ascii="仿宋_GB2312" w:hAnsi="Times New Roman" w:eastAsia="仿宋_GB2312" w:cs="Times New Roman"/>
          <w:b/>
          <w:bCs/>
          <w:color w:val="auto"/>
          <w:sz w:val="32"/>
          <w:szCs w:val="32"/>
        </w:rPr>
        <w:t>深</w:t>
      </w:r>
      <w:r>
        <w:rPr>
          <w:rFonts w:ascii="仿宋_GB2312" w:hAnsi="Times New Roman" w:eastAsia="仿宋_GB2312" w:cs="Times New Roman"/>
          <w:b/>
          <w:bCs/>
          <w:color w:val="auto"/>
          <w:sz w:val="32"/>
          <w:szCs w:val="32"/>
        </w:rPr>
        <w:t>入开展质量提升行动</w:t>
      </w:r>
      <w:r>
        <w:rPr>
          <w:rFonts w:hint="eastAsia" w:ascii="仿宋_GB2312" w:hAnsi="Times New Roman" w:eastAsia="仿宋_GB2312" w:cs="Times New Roman"/>
          <w:b/>
          <w:bCs/>
          <w:color w:val="auto"/>
          <w:sz w:val="32"/>
          <w:szCs w:val="32"/>
        </w:rPr>
        <w:t>。</w:t>
      </w:r>
      <w:r>
        <w:rPr>
          <w:rFonts w:hint="eastAsia" w:ascii="仿宋_GB2312" w:hAnsi="仿宋_GB2312" w:eastAsia="仿宋_GB2312" w:cs="仿宋_GB2312"/>
          <w:b w:val="0"/>
          <w:bCs w:val="0"/>
          <w:color w:val="auto"/>
          <w:sz w:val="32"/>
          <w:szCs w:val="32"/>
          <w:u w:val="none"/>
          <w:lang w:val="en-US" w:eastAsia="zh-CN"/>
        </w:rPr>
        <w:t>围绕</w:t>
      </w:r>
      <w:r>
        <w:rPr>
          <w:rFonts w:hint="eastAsia" w:ascii="仿宋_GB2312" w:hAnsi="仿宋_GB2312" w:eastAsia="仿宋_GB2312" w:cs="仿宋_GB2312"/>
          <w:b w:val="0"/>
          <w:bCs w:val="0"/>
          <w:color w:val="auto"/>
          <w:sz w:val="32"/>
          <w:szCs w:val="32"/>
          <w:u w:val="none"/>
          <w:lang w:eastAsia="zh-CN"/>
        </w:rPr>
        <w:t>新兴产业、重点优势产业推动实施</w:t>
      </w:r>
      <w:r>
        <w:rPr>
          <w:rFonts w:hint="eastAsia" w:ascii="仿宋_GB2312" w:hAnsi="仿宋_GB2312" w:eastAsia="仿宋_GB2312" w:cs="仿宋_GB2312"/>
          <w:b w:val="0"/>
          <w:bCs w:val="0"/>
          <w:color w:val="auto"/>
          <w:sz w:val="32"/>
          <w:szCs w:val="32"/>
          <w:u w:val="none"/>
          <w:lang w:val="en-US" w:eastAsia="zh-CN"/>
        </w:rPr>
        <w:t>质量提升行动，推进重点龙头企业加强全面质量管理，培育一批省级、长三角地区和国家级质量提升创建示范区，推动安徽省童车童床质量提升示范区创建验收。</w:t>
      </w:r>
      <w:r>
        <w:rPr>
          <w:rFonts w:hint="eastAsia" w:ascii="仿宋_GB2312" w:hAnsi="仿宋_GB2312" w:eastAsia="仿宋_GB2312" w:cs="Times New Roman"/>
          <w:strike w:val="0"/>
          <w:dstrike w:val="0"/>
          <w:snapToGrid w:val="0"/>
          <w:color w:val="auto"/>
          <w:sz w:val="32"/>
          <w:szCs w:val="32"/>
          <w:u w:val="none"/>
          <w:lang w:eastAsia="zh-CN"/>
        </w:rPr>
        <w:t>全面</w:t>
      </w:r>
      <w:r>
        <w:rPr>
          <w:rFonts w:hint="eastAsia" w:ascii="仿宋_GB2312" w:hAnsi="仿宋_GB2312" w:eastAsia="仿宋_GB2312" w:cs="Times New Roman"/>
          <w:color w:val="auto"/>
          <w:sz w:val="32"/>
          <w:szCs w:val="32"/>
          <w:u w:val="none"/>
        </w:rPr>
        <w:t>深化</w:t>
      </w:r>
      <w:r>
        <w:rPr>
          <w:rFonts w:hint="eastAsia" w:ascii="仿宋_GB2312" w:hAnsi="仿宋_GB2312" w:eastAsia="仿宋_GB2312" w:cs="Times New Roman"/>
          <w:color w:val="auto"/>
          <w:sz w:val="32"/>
          <w:szCs w:val="32"/>
        </w:rPr>
        <w:t>企业首席质量官制度建设，</w:t>
      </w:r>
      <w:r>
        <w:rPr>
          <w:rFonts w:hint="eastAsia" w:ascii="仿宋_GB2312" w:hAnsi="仿宋_GB2312" w:eastAsia="仿宋_GB2312" w:cs="Times New Roman"/>
          <w:color w:val="auto"/>
          <w:sz w:val="32"/>
          <w:szCs w:val="32"/>
          <w:shd w:val="clear" w:color="auto" w:fill="FFFFFF"/>
        </w:rPr>
        <w:t>加大企业首席质量官培训力度，</w:t>
      </w:r>
      <w:r>
        <w:rPr>
          <w:rFonts w:hint="eastAsia" w:ascii="仿宋_GB2312" w:hAnsi="仿宋_GB2312" w:eastAsia="仿宋_GB2312" w:cs="Times New Roman"/>
          <w:snapToGrid w:val="0"/>
          <w:color w:val="auto"/>
          <w:sz w:val="32"/>
          <w:szCs w:val="32"/>
        </w:rPr>
        <w:t>力争到</w:t>
      </w:r>
      <w:r>
        <w:rPr>
          <w:rFonts w:hint="eastAsia" w:ascii="仿宋_GB2312" w:hAnsi="Times New Roman" w:eastAsia="仿宋_GB2312" w:cs="Times New Roman"/>
          <w:snapToGrid w:val="0"/>
          <w:color w:val="auto"/>
          <w:sz w:val="32"/>
          <w:szCs w:val="32"/>
        </w:rPr>
        <w:t>2025</w:t>
      </w:r>
      <w:r>
        <w:rPr>
          <w:rFonts w:hint="eastAsia" w:ascii="仿宋_GB2312" w:hAnsi="仿宋_GB2312" w:eastAsia="仿宋_GB2312" w:cs="Times New Roman"/>
          <w:snapToGrid w:val="0"/>
          <w:color w:val="auto"/>
          <w:sz w:val="32"/>
          <w:szCs w:val="32"/>
        </w:rPr>
        <w:t>年，“四上”企业100%实行首席质量官制度。</w:t>
      </w:r>
      <w:r>
        <w:rPr>
          <w:rFonts w:hint="eastAsia" w:ascii="仿宋_GB2312" w:hAnsi="仿宋_GB2312" w:eastAsia="仿宋_GB2312" w:cs="Times New Roman"/>
          <w:color w:val="auto"/>
          <w:sz w:val="32"/>
          <w:szCs w:val="32"/>
          <w:shd w:val="clear" w:color="auto" w:fill="FFFFFF"/>
        </w:rPr>
        <w:t>推行规上企业卓越绩效管理模式，每年按照不少于</w:t>
      </w:r>
      <w:r>
        <w:rPr>
          <w:rFonts w:hint="eastAsia" w:ascii="仿宋_GB2312" w:hAnsi="Times New Roman" w:eastAsia="仿宋_GB2312" w:cs="Times New Roman"/>
          <w:color w:val="auto"/>
          <w:sz w:val="32"/>
          <w:szCs w:val="32"/>
          <w:shd w:val="clear" w:color="auto" w:fill="FFFFFF"/>
        </w:rPr>
        <w:t>10%</w:t>
      </w:r>
      <w:r>
        <w:rPr>
          <w:rFonts w:hint="eastAsia" w:ascii="仿宋_GB2312" w:hAnsi="仿宋_GB2312" w:eastAsia="仿宋_GB2312" w:cs="Times New Roman"/>
          <w:color w:val="auto"/>
          <w:sz w:val="32"/>
          <w:szCs w:val="32"/>
          <w:shd w:val="clear" w:color="auto" w:fill="FFFFFF"/>
        </w:rPr>
        <w:t>的幅度递增。加强六安质量品牌馆、质量科普基地、中小学生质量教育社会实践基地等载体建设，持续开展</w:t>
      </w:r>
      <w:r>
        <w:rPr>
          <w:rFonts w:hint="eastAsia" w:ascii="仿宋_GB2312" w:hAnsi="Times New Roman" w:eastAsia="仿宋_GB2312" w:cs="Times New Roman"/>
          <w:color w:val="auto"/>
          <w:sz w:val="32"/>
          <w:szCs w:val="32"/>
          <w:shd w:val="clear" w:color="auto" w:fill="FFFFFF"/>
          <w:lang w:val="zh-CN"/>
        </w:rPr>
        <w:t>“</w:t>
      </w:r>
      <w:r>
        <w:rPr>
          <w:rFonts w:hint="eastAsia" w:ascii="仿宋_GB2312" w:hAnsi="仿宋_GB2312" w:eastAsia="仿宋_GB2312" w:cs="Times New Roman"/>
          <w:color w:val="auto"/>
          <w:sz w:val="32"/>
          <w:szCs w:val="32"/>
          <w:shd w:val="clear" w:color="auto" w:fill="FFFFFF"/>
          <w:lang w:val="zh-CN"/>
        </w:rPr>
        <w:t>质</w:t>
      </w:r>
      <w:r>
        <w:rPr>
          <w:rFonts w:hint="eastAsia" w:ascii="仿宋_GB2312" w:hAnsi="仿宋_GB2312" w:eastAsia="仿宋_GB2312" w:cs="Times New Roman"/>
          <w:color w:val="auto"/>
          <w:sz w:val="32"/>
          <w:szCs w:val="32"/>
          <w:shd w:val="clear" w:color="auto" w:fill="FFFFFF"/>
        </w:rPr>
        <w:t>量月</w:t>
      </w:r>
      <w:r>
        <w:rPr>
          <w:rFonts w:hint="eastAsia" w:ascii="仿宋_GB2312" w:hAnsi="Times New Roman" w:eastAsia="仿宋_GB2312" w:cs="Times New Roman"/>
          <w:color w:val="auto"/>
          <w:sz w:val="32"/>
          <w:szCs w:val="32"/>
          <w:shd w:val="clear" w:color="auto" w:fill="FFFFFF"/>
        </w:rPr>
        <w:t>”</w:t>
      </w:r>
      <w:r>
        <w:rPr>
          <w:rFonts w:hint="eastAsia" w:ascii="仿宋_GB2312" w:hAnsi="仿宋_GB2312" w:eastAsia="仿宋_GB2312" w:cs="Times New Roman"/>
          <w:color w:val="auto"/>
          <w:sz w:val="32"/>
          <w:szCs w:val="32"/>
          <w:shd w:val="clear" w:color="auto" w:fill="FFFFFF"/>
        </w:rPr>
        <w:t>宣传活动，营造人人关心质量、人人创造质量、人人享受质量的</w:t>
      </w:r>
      <w:r>
        <w:rPr>
          <w:rFonts w:hint="eastAsia" w:ascii="仿宋_GB2312" w:hAnsi="仿宋_GB2312" w:eastAsia="仿宋_GB2312" w:cs="Times New Roman"/>
          <w:color w:val="auto"/>
          <w:sz w:val="32"/>
          <w:szCs w:val="32"/>
          <w:shd w:val="clear" w:color="auto" w:fill="FFFFFF"/>
          <w:lang w:eastAsia="zh-CN"/>
        </w:rPr>
        <w:t>社会</w:t>
      </w:r>
      <w:r>
        <w:rPr>
          <w:rFonts w:hint="eastAsia" w:ascii="仿宋_GB2312" w:hAnsi="仿宋_GB2312" w:eastAsia="仿宋_GB2312" w:cs="Times New Roman"/>
          <w:color w:val="auto"/>
          <w:sz w:val="32"/>
          <w:szCs w:val="32"/>
          <w:shd w:val="clear" w:color="auto" w:fill="FFFFFF"/>
        </w:rPr>
        <w:t>氛围。</w:t>
      </w:r>
    </w:p>
    <w:p w14:paraId="648DE9FB">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ascii="Times New Roman" w:hAnsi="Times New Roman" w:eastAsia="楷体_GB2312" w:cs="Times New Roman"/>
          <w:bCs/>
          <w:color w:val="auto"/>
          <w:sz w:val="32"/>
          <w:szCs w:val="32"/>
          <w:lang w:val="en-US" w:eastAsia="zh-CN"/>
        </w:rPr>
      </w:pPr>
      <w:r>
        <w:rPr>
          <w:rFonts w:ascii="仿宋_GB2312" w:hAnsi="Times New Roman" w:eastAsia="仿宋_GB2312" w:cs="Times New Roman"/>
          <w:b/>
          <w:bCs/>
          <w:color w:val="auto"/>
          <w:sz w:val="32"/>
          <w:szCs w:val="32"/>
          <w:lang w:val="en-US" w:eastAsia="zh-CN" w:bidi="ar-SA"/>
        </w:rPr>
        <w:t>培育质量品牌优势</w:t>
      </w:r>
      <w:r>
        <w:rPr>
          <w:rFonts w:hint="eastAsia" w:ascii="仿宋_GB2312" w:hAnsi="Times New Roman" w:eastAsia="仿宋_GB2312" w:cs="Times New Roman"/>
          <w:b/>
          <w:bCs/>
          <w:color w:val="auto"/>
          <w:sz w:val="32"/>
          <w:szCs w:val="32"/>
          <w:lang w:val="en-US" w:eastAsia="zh-CN" w:bidi="ar-SA"/>
        </w:rPr>
        <w:t>。</w:t>
      </w:r>
      <w:r>
        <w:rPr>
          <w:rFonts w:ascii="Times New Roman" w:hAnsi="仿宋_GB2312" w:eastAsia="仿宋_GB2312" w:cs="Times New Roman"/>
          <w:color w:val="auto"/>
          <w:sz w:val="32"/>
          <w:szCs w:val="32"/>
          <w:shd w:val="clear" w:color="auto" w:fill="FFFFFF"/>
          <w:lang w:val="en-US" w:eastAsia="zh-CN"/>
        </w:rPr>
        <w:t>引导和鼓励新兴产业、战略性未来产业、传统优势产业、现代农业和服务业等重点行业的龙头企业、成长性强的中小企业</w:t>
      </w:r>
      <w:r>
        <w:rPr>
          <w:rFonts w:ascii="Times New Roman" w:hAnsi="仿宋_GB2312" w:eastAsia="仿宋_GB2312" w:cs="Times New Roman"/>
          <w:bCs/>
          <w:color w:val="auto"/>
          <w:sz w:val="32"/>
          <w:szCs w:val="32"/>
          <w:lang w:val="en-US" w:eastAsia="zh-CN" w:bidi="ar-SA"/>
        </w:rPr>
        <w:t>打造质量管理标杆企业，</w:t>
      </w:r>
      <w:r>
        <w:rPr>
          <w:rFonts w:ascii="Times New Roman" w:hAnsi="仿宋_GB2312" w:eastAsia="仿宋_GB2312" w:cs="Times New Roman"/>
          <w:color w:val="auto"/>
          <w:sz w:val="32"/>
          <w:szCs w:val="32"/>
          <w:shd w:val="clear" w:color="auto" w:fill="FFFFFF"/>
          <w:lang w:val="en-US" w:eastAsia="zh-CN"/>
        </w:rPr>
        <w:t>积极争创中国质量奖及省、市、</w:t>
      </w:r>
      <w:r>
        <w:rPr>
          <w:rFonts w:hint="eastAsia" w:ascii="仿宋_GB2312" w:hAnsi="仿宋_GB2312" w:eastAsia="仿宋_GB2312" w:cs="仿宋_GB2312"/>
          <w:color w:val="auto"/>
          <w:sz w:val="32"/>
          <w:szCs w:val="32"/>
          <w:shd w:val="clear" w:color="auto" w:fill="FFFFFF"/>
          <w:lang w:val="en-US" w:eastAsia="zh-CN"/>
        </w:rPr>
        <w:t>县政府质量奖。“十四五”期间力争培育中国质量奖或省政府质量奖1个以上、市政府质量奖40个</w:t>
      </w:r>
      <w:r>
        <w:rPr>
          <w:rFonts w:hint="eastAsia" w:ascii="仿宋_GB2312" w:hAnsi="仿宋_GB2312" w:eastAsia="仿宋_GB2312" w:cs="仿宋_GB2312"/>
          <w:color w:val="auto"/>
          <w:sz w:val="32"/>
          <w:szCs w:val="32"/>
          <w:u w:val="none"/>
          <w:shd w:val="clear" w:color="auto" w:fill="FFFFFF"/>
          <w:lang w:val="en-US" w:eastAsia="zh-CN"/>
        </w:rPr>
        <w:t>。</w:t>
      </w:r>
      <w:r>
        <w:rPr>
          <w:rFonts w:hint="eastAsia" w:ascii="仿宋_GB2312" w:hAnsi="仿宋_GB2312" w:eastAsia="仿宋_GB2312" w:cs="仿宋_GB2312"/>
          <w:b w:val="0"/>
          <w:bCs w:val="0"/>
          <w:color w:val="auto"/>
          <w:sz w:val="32"/>
          <w:szCs w:val="32"/>
          <w:u w:val="none"/>
          <w:lang w:val="en-US" w:eastAsia="zh-CN"/>
        </w:rPr>
        <w:t>加大“皖美品牌”示范企业的培育和申报力度，每年推荐10个以上企业申报。</w:t>
      </w:r>
      <w:r>
        <w:rPr>
          <w:rFonts w:hint="eastAsia" w:ascii="仿宋_GB2312" w:hAnsi="仿宋_GB2312" w:eastAsia="仿宋_GB2312" w:cs="仿宋_GB2312"/>
          <w:color w:val="auto"/>
          <w:sz w:val="32"/>
          <w:szCs w:val="32"/>
          <w:u w:val="none"/>
          <w:lang w:val="en-US" w:eastAsia="zh-CN" w:bidi="ar-SA"/>
        </w:rPr>
        <w:t>对标高端品牌标准体系、评价机制，培育安徽制造</w:t>
      </w:r>
      <w:r>
        <w:rPr>
          <w:rFonts w:hint="eastAsia" w:ascii="仿宋_GB2312" w:hAnsi="仿宋_GB2312" w:eastAsia="仿宋_GB2312" w:cs="仿宋_GB2312"/>
          <w:color w:val="auto"/>
          <w:sz w:val="32"/>
          <w:szCs w:val="32"/>
          <w:lang w:val="en-US" w:eastAsia="zh-CN" w:bidi="ar-SA"/>
        </w:rPr>
        <w:t>业和服务业高端品牌，打造六安质量品牌形象。到2025</w:t>
      </w:r>
      <w:r>
        <w:rPr>
          <w:rFonts w:hint="eastAsia" w:ascii="仿宋_GB2312" w:hAnsi="仿宋_GB2312" w:eastAsia="仿宋_GB2312" w:cs="仿宋_GB2312"/>
          <w:sz w:val="32"/>
          <w:szCs w:val="32"/>
          <w:lang w:val="en-US" w:eastAsia="zh-CN" w:bidi="ar-SA"/>
        </w:rPr>
        <w:t>年，全</w:t>
      </w:r>
      <w:r>
        <w:rPr>
          <w:rFonts w:hint="eastAsia" w:ascii="仿宋_GB2312" w:hAnsi="仿宋_GB2312" w:eastAsia="仿宋_GB2312" w:cs="仿宋_GB2312"/>
          <w:color w:val="auto"/>
          <w:sz w:val="32"/>
          <w:szCs w:val="32"/>
          <w:lang w:val="en-US" w:eastAsia="zh-CN" w:bidi="ar-SA"/>
        </w:rPr>
        <w:t>市新增制造业高端品牌培育企业40家以上、服务业高端品牌培育企业10家</w:t>
      </w:r>
      <w:r>
        <w:rPr>
          <w:rFonts w:ascii="Times New Roman" w:hAnsi="仿宋_GB2312" w:eastAsia="仿宋_GB2312" w:cs="Times New Roman"/>
          <w:color w:val="auto"/>
          <w:sz w:val="32"/>
          <w:szCs w:val="32"/>
          <w:lang w:val="en-US" w:eastAsia="zh-CN" w:bidi="ar-SA"/>
        </w:rPr>
        <w:t>以上。</w:t>
      </w:r>
    </w:p>
    <w:p w14:paraId="537450C5">
      <w:pPr>
        <w:pStyle w:val="25"/>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楷体_GB2312" w:cs="Times New Roman"/>
          <w:bCs/>
          <w:color w:val="auto"/>
          <w:sz w:val="32"/>
          <w:szCs w:val="32"/>
          <w:u w:val="none"/>
          <w:lang w:eastAsia="zh-CN"/>
        </w:rPr>
      </w:pPr>
      <w:r>
        <w:rPr>
          <w:rFonts w:ascii="仿宋_GB2312" w:hAnsi="Times New Roman" w:eastAsia="仿宋_GB2312" w:cs="Times New Roman"/>
          <w:b/>
          <w:bCs/>
          <w:color w:val="auto"/>
          <w:sz w:val="32"/>
          <w:szCs w:val="32"/>
          <w:lang w:val="en-US" w:eastAsia="zh-CN" w:bidi="ar-SA"/>
        </w:rPr>
        <w:t>加强质量基础设施建设</w:t>
      </w:r>
      <w:r>
        <w:rPr>
          <w:rFonts w:hint="eastAsia" w:ascii="仿宋_GB2312" w:hAnsi="Times New Roman" w:eastAsia="仿宋_GB2312" w:cs="Times New Roman"/>
          <w:b/>
          <w:bCs/>
          <w:color w:val="auto"/>
          <w:sz w:val="32"/>
          <w:szCs w:val="32"/>
          <w:lang w:val="en-US" w:eastAsia="zh-CN" w:bidi="ar-SA"/>
        </w:rPr>
        <w:t>。</w:t>
      </w:r>
      <w:r>
        <w:rPr>
          <w:rFonts w:hint="eastAsia" w:ascii="仿宋_GB2312" w:hAnsi="仿宋_GB2312" w:eastAsia="仿宋_GB2312" w:cs="Times New Roman"/>
          <w:color w:val="auto"/>
          <w:sz w:val="32"/>
          <w:szCs w:val="32"/>
        </w:rPr>
        <w:t>围绕我市产业发展需求，布局建设一批产业急需的</w:t>
      </w:r>
      <w:r>
        <w:rPr>
          <w:rFonts w:hint="eastAsia" w:ascii="仿宋_GB2312" w:hAnsi="仿宋_GB2312" w:eastAsia="仿宋_GB2312" w:cs="Times New Roman"/>
          <w:color w:val="auto"/>
          <w:sz w:val="32"/>
          <w:szCs w:val="32"/>
          <w:u w:val="none"/>
        </w:rPr>
        <w:t>质量基础设施，建成</w:t>
      </w:r>
      <w:r>
        <w:rPr>
          <w:rFonts w:hint="eastAsia" w:ascii="仿宋_GB2312" w:hAnsi="仿宋" w:eastAsia="仿宋_GB2312" w:cs="仿宋"/>
          <w:color w:val="auto"/>
          <w:sz w:val="32"/>
          <w:szCs w:val="32"/>
          <w:u w:val="none"/>
        </w:rPr>
        <w:t>面向企业和产业的全链条、全方位、全过程的“一站式”质量基础设施服务平台，通过</w:t>
      </w:r>
      <w:r>
        <w:rPr>
          <w:rFonts w:hint="eastAsia" w:ascii="仿宋_GB2312" w:hAnsi="仿宋_GB2312" w:eastAsia="仿宋_GB2312" w:cs="Times New Roman"/>
          <w:color w:val="auto"/>
          <w:sz w:val="32"/>
          <w:szCs w:val="32"/>
          <w:u w:val="none"/>
        </w:rPr>
        <w:t>开展“一站式”服务提供技术支撑和提升创新引领能力。</w:t>
      </w:r>
    </w:p>
    <w:p w14:paraId="23D785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auto"/>
          <w:sz w:val="32"/>
          <w:szCs w:val="32"/>
          <w:u w:val="none"/>
        </w:rPr>
      </w:pPr>
      <w:r>
        <w:rPr>
          <w:rFonts w:hint="eastAsia" w:ascii="仿宋_GB2312" w:hAnsi="仿宋_GB2312" w:eastAsia="仿宋_GB2312" w:cs="Times New Roman"/>
          <w:color w:val="auto"/>
          <w:sz w:val="32"/>
          <w:szCs w:val="32"/>
          <w:u w:val="none"/>
        </w:rPr>
        <w:t>加强计量基础建设。在食品安全、环境保护、医疗卫生、安全防护等领域，加快建立适应我市经济社会发展急需的社会公用计量标准。</w:t>
      </w:r>
      <w:r>
        <w:rPr>
          <w:rFonts w:hint="eastAsia" w:ascii="仿宋_GB2312" w:hAnsi="仿宋_GB2312" w:eastAsia="仿宋_GB2312" w:cs="仿宋_GB2312"/>
          <w:color w:val="auto"/>
          <w:sz w:val="32"/>
          <w:szCs w:val="32"/>
          <w:u w:val="none"/>
          <w:lang w:eastAsia="zh-CN"/>
        </w:rPr>
        <w:t>开展县级法</w:t>
      </w:r>
      <w:r>
        <w:rPr>
          <w:rFonts w:hint="eastAsia" w:ascii="仿宋_GB2312" w:hAnsi="仿宋_GB2312" w:eastAsia="仿宋_GB2312" w:cs="仿宋_GB2312"/>
          <w:color w:val="auto"/>
          <w:sz w:val="32"/>
          <w:szCs w:val="32"/>
          <w:u w:val="none"/>
        </w:rPr>
        <w:t>定计量检定机构</w:t>
      </w:r>
      <w:r>
        <w:rPr>
          <w:rFonts w:hint="eastAsia" w:ascii="仿宋_GB2312" w:hAnsi="仿宋_GB2312" w:eastAsia="仿宋_GB2312" w:cs="仿宋_GB2312"/>
          <w:color w:val="auto"/>
          <w:sz w:val="32"/>
          <w:szCs w:val="32"/>
          <w:u w:val="none"/>
          <w:lang w:eastAsia="zh-CN"/>
        </w:rPr>
        <w:t>能力提升行动，</w:t>
      </w:r>
      <w:r>
        <w:rPr>
          <w:rFonts w:hint="eastAsia" w:ascii="仿宋_GB2312" w:hAnsi="仿宋_GB2312" w:eastAsia="仿宋_GB2312" w:cs="仿宋_GB2312"/>
          <w:color w:val="auto"/>
          <w:sz w:val="32"/>
          <w:szCs w:val="32"/>
          <w:u w:val="none"/>
        </w:rPr>
        <w:t>建立多参数监护仪、验光仪、心脑电测量仪等医疗卫生计量器具检定装置，实现民生领域强制检定项目县级全覆盖。</w:t>
      </w:r>
      <w:r>
        <w:rPr>
          <w:rFonts w:hint="eastAsia" w:ascii="仿宋_GB2312" w:hAnsi="Times New Roman" w:eastAsia="仿宋_GB2312" w:cs="Times New Roman"/>
          <w:color w:val="auto"/>
          <w:sz w:val="32"/>
          <w:szCs w:val="32"/>
          <w:u w:val="none"/>
        </w:rPr>
        <w:t>“</w:t>
      </w:r>
      <w:r>
        <w:rPr>
          <w:rFonts w:hint="eastAsia" w:ascii="仿宋_GB2312" w:hAnsi="仿宋_GB2312" w:eastAsia="仿宋_GB2312" w:cs="Times New Roman"/>
          <w:color w:val="auto"/>
          <w:sz w:val="32"/>
          <w:szCs w:val="32"/>
          <w:u w:val="none"/>
        </w:rPr>
        <w:t>十四五</w:t>
      </w:r>
      <w:r>
        <w:rPr>
          <w:rFonts w:hint="eastAsia" w:ascii="仿宋_GB2312" w:hAnsi="Times New Roman" w:eastAsia="仿宋_GB2312" w:cs="Times New Roman"/>
          <w:color w:val="auto"/>
          <w:sz w:val="32"/>
          <w:szCs w:val="32"/>
          <w:u w:val="none"/>
        </w:rPr>
        <w:t>”</w:t>
      </w:r>
      <w:r>
        <w:rPr>
          <w:rFonts w:hint="eastAsia" w:ascii="仿宋_GB2312" w:hAnsi="仿宋_GB2312" w:eastAsia="仿宋_GB2312" w:cs="Times New Roman"/>
          <w:color w:val="auto"/>
          <w:sz w:val="32"/>
          <w:szCs w:val="32"/>
          <w:u w:val="none"/>
        </w:rPr>
        <w:t>期间全市每年新增社会公用计量标准</w:t>
      </w:r>
      <w:r>
        <w:rPr>
          <w:rFonts w:hint="eastAsia" w:ascii="仿宋_GB2312" w:hAnsi="Times New Roman" w:eastAsia="仿宋_GB2312" w:cs="Times New Roman"/>
          <w:color w:val="auto"/>
          <w:sz w:val="32"/>
          <w:szCs w:val="32"/>
          <w:u w:val="none"/>
        </w:rPr>
        <w:t>10</w:t>
      </w:r>
      <w:r>
        <w:rPr>
          <w:rFonts w:hint="eastAsia" w:ascii="仿宋_GB2312" w:hAnsi="仿宋_GB2312" w:eastAsia="仿宋_GB2312" w:cs="Times New Roman"/>
          <w:color w:val="auto"/>
          <w:sz w:val="32"/>
          <w:szCs w:val="32"/>
          <w:u w:val="none"/>
        </w:rPr>
        <w:t>项以上，到</w:t>
      </w:r>
      <w:r>
        <w:rPr>
          <w:rFonts w:hint="eastAsia" w:ascii="仿宋_GB2312" w:hAnsi="Times New Roman" w:eastAsia="仿宋_GB2312" w:cs="Times New Roman"/>
          <w:color w:val="auto"/>
          <w:sz w:val="32"/>
          <w:szCs w:val="32"/>
          <w:u w:val="none"/>
        </w:rPr>
        <w:t>2025</w:t>
      </w:r>
      <w:r>
        <w:rPr>
          <w:rFonts w:hint="eastAsia" w:ascii="仿宋_GB2312" w:hAnsi="仿宋_GB2312" w:eastAsia="仿宋_GB2312" w:cs="Times New Roman"/>
          <w:color w:val="auto"/>
          <w:sz w:val="32"/>
          <w:szCs w:val="32"/>
          <w:u w:val="none"/>
        </w:rPr>
        <w:t>年社会公用计量标准总数达到</w:t>
      </w:r>
      <w:r>
        <w:rPr>
          <w:rFonts w:hint="eastAsia" w:ascii="仿宋_GB2312" w:hAnsi="Times New Roman" w:eastAsia="仿宋_GB2312" w:cs="Times New Roman"/>
          <w:color w:val="auto"/>
          <w:sz w:val="32"/>
          <w:szCs w:val="32"/>
          <w:u w:val="none"/>
        </w:rPr>
        <w:t>220</w:t>
      </w:r>
      <w:r>
        <w:rPr>
          <w:rFonts w:hint="eastAsia" w:ascii="仿宋_GB2312" w:hAnsi="仿宋_GB2312" w:eastAsia="仿宋_GB2312" w:cs="Times New Roman"/>
          <w:color w:val="auto"/>
          <w:sz w:val="32"/>
          <w:szCs w:val="32"/>
          <w:u w:val="none"/>
        </w:rPr>
        <w:t>项。强化计量监管</w:t>
      </w:r>
      <w:r>
        <w:rPr>
          <w:rFonts w:hint="eastAsia" w:ascii="仿宋_GB2312" w:hAnsi="仿宋_GB2312" w:eastAsia="仿宋_GB2312" w:cs="Times New Roman"/>
          <w:color w:val="auto"/>
          <w:sz w:val="32"/>
          <w:szCs w:val="32"/>
          <w:u w:val="none"/>
          <w:lang w:eastAsia="zh-CN"/>
        </w:rPr>
        <w:t>，</w:t>
      </w:r>
      <w:r>
        <w:rPr>
          <w:rFonts w:hint="eastAsia" w:ascii="仿宋_GB2312" w:hAnsi="仿宋_GB2312" w:eastAsia="仿宋_GB2312" w:cs="Times New Roman"/>
          <w:color w:val="auto"/>
          <w:sz w:val="32"/>
          <w:szCs w:val="32"/>
          <w:u w:val="none"/>
        </w:rPr>
        <w:t>重点对加油站、农贸市场、眼镜制配、医疗机构等领域计量专项监督检查。完善诚信计量体系，助推服务品牌建设。新培育诚信计量自我承诺示范单位</w:t>
      </w:r>
      <w:r>
        <w:rPr>
          <w:rFonts w:hint="eastAsia" w:ascii="仿宋_GB2312" w:hAnsi="Times New Roman" w:eastAsia="仿宋_GB2312" w:cs="Times New Roman"/>
          <w:color w:val="auto"/>
          <w:sz w:val="32"/>
          <w:szCs w:val="32"/>
          <w:u w:val="none"/>
        </w:rPr>
        <w:t>100</w:t>
      </w:r>
      <w:r>
        <w:rPr>
          <w:rFonts w:hint="eastAsia" w:ascii="仿宋_GB2312" w:hAnsi="仿宋_GB2312" w:eastAsia="仿宋_GB2312" w:cs="Times New Roman"/>
          <w:color w:val="auto"/>
          <w:sz w:val="32"/>
          <w:szCs w:val="32"/>
          <w:u w:val="none"/>
        </w:rPr>
        <w:t>家，全市诚信计量自我承诺示范单位达到</w:t>
      </w:r>
      <w:r>
        <w:rPr>
          <w:rFonts w:hint="eastAsia" w:ascii="仿宋_GB2312" w:hAnsi="Times New Roman" w:eastAsia="仿宋_GB2312" w:cs="Times New Roman"/>
          <w:color w:val="auto"/>
          <w:sz w:val="32"/>
          <w:szCs w:val="32"/>
          <w:u w:val="none"/>
        </w:rPr>
        <w:t>300</w:t>
      </w:r>
      <w:r>
        <w:rPr>
          <w:rFonts w:hint="eastAsia" w:ascii="仿宋_GB2312" w:hAnsi="仿宋_GB2312" w:eastAsia="仿宋_GB2312" w:cs="Times New Roman"/>
          <w:color w:val="auto"/>
          <w:sz w:val="32"/>
          <w:szCs w:val="32"/>
          <w:u w:val="none"/>
        </w:rPr>
        <w:t>家。</w:t>
      </w:r>
    </w:p>
    <w:p w14:paraId="60FFA2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仿宋_GB2312" w:eastAsia="仿宋_GB2312" w:cs="Times New Roman"/>
          <w:color w:val="auto"/>
          <w:sz w:val="32"/>
          <w:szCs w:val="32"/>
          <w:u w:val="none"/>
        </w:rPr>
      </w:pPr>
      <w:r>
        <w:rPr>
          <w:rFonts w:ascii="Times New Roman" w:hAnsi="仿宋_GB2312" w:eastAsia="仿宋_GB2312" w:cs="Times New Roman"/>
          <w:color w:val="auto"/>
          <w:sz w:val="32"/>
          <w:szCs w:val="32"/>
          <w:u w:val="none"/>
        </w:rPr>
        <w:t>加强质量认证体系建设。建立健全</w:t>
      </w:r>
      <w:r>
        <w:rPr>
          <w:rFonts w:ascii="Times New Roman" w:hAnsi="Times New Roman" w:eastAsia="仿宋_GB2312" w:cs="Times New Roman"/>
          <w:color w:val="auto"/>
          <w:sz w:val="32"/>
          <w:szCs w:val="32"/>
          <w:u w:val="none"/>
        </w:rPr>
        <w:t>“</w:t>
      </w:r>
      <w:r>
        <w:rPr>
          <w:rFonts w:ascii="Times New Roman" w:hAnsi="仿宋_GB2312" w:eastAsia="仿宋_GB2312" w:cs="Times New Roman"/>
          <w:color w:val="auto"/>
          <w:sz w:val="32"/>
          <w:szCs w:val="32"/>
          <w:u w:val="none"/>
        </w:rPr>
        <w:t>法律规范、行政监管、认可约束、行业自律、社会监督</w:t>
      </w:r>
      <w:r>
        <w:rPr>
          <w:rFonts w:ascii="Times New Roman" w:hAnsi="Times New Roman" w:eastAsia="仿宋_GB2312" w:cs="Times New Roman"/>
          <w:color w:val="auto"/>
          <w:sz w:val="32"/>
          <w:szCs w:val="32"/>
          <w:u w:val="none"/>
        </w:rPr>
        <w:t>”</w:t>
      </w:r>
      <w:r>
        <w:rPr>
          <w:rFonts w:ascii="Times New Roman" w:hAnsi="仿宋_GB2312" w:eastAsia="仿宋_GB2312" w:cs="Times New Roman"/>
          <w:color w:val="auto"/>
          <w:sz w:val="32"/>
          <w:szCs w:val="32"/>
          <w:u w:val="none"/>
        </w:rPr>
        <w:t>五位一体的质量认证监管体系，</w:t>
      </w:r>
      <w:r>
        <w:rPr>
          <w:rFonts w:hint="eastAsia" w:ascii="仿宋_GB2312" w:hAnsi="仿宋_GB2312" w:eastAsia="仿宋_GB2312" w:cs="仿宋_GB2312"/>
          <w:color w:val="auto"/>
          <w:kern w:val="2"/>
          <w:sz w:val="32"/>
          <w:szCs w:val="32"/>
          <w:u w:val="none"/>
          <w:lang w:val="en-US" w:eastAsia="zh-CN" w:bidi="ar-SA"/>
        </w:rPr>
        <w:t>推进长三角认证“一体化”建设，鼓励开发区、叶集区等启动第三批“质量认证示范区”创建。支持金寨县、霍山县等打造绿色产品认证先行区。</w:t>
      </w:r>
      <w:r>
        <w:rPr>
          <w:rFonts w:ascii="Times New Roman" w:hAnsi="仿宋_GB2312" w:eastAsia="仿宋_GB2312" w:cs="Times New Roman"/>
          <w:color w:val="auto"/>
          <w:sz w:val="32"/>
          <w:szCs w:val="32"/>
          <w:u w:val="none"/>
        </w:rPr>
        <w:t>加大对认证机构、认证活动、获证组织的监管力度，强化强制性产品认证，</w:t>
      </w:r>
      <w:r>
        <w:rPr>
          <w:rFonts w:hint="eastAsia" w:ascii="仿宋_GB2312" w:hAnsi="Calibri" w:eastAsia="仿宋_GB2312" w:cs="宋体"/>
          <w:color w:val="auto"/>
          <w:kern w:val="0"/>
          <w:sz w:val="32"/>
          <w:szCs w:val="32"/>
          <w:u w:val="none"/>
        </w:rPr>
        <w:t>严厉打击认证认可领域违法违规行为，严肃查处虚假认证、仿冒证书</w:t>
      </w:r>
      <w:r>
        <w:rPr>
          <w:rFonts w:hint="eastAsia" w:ascii="仿宋_GB2312" w:hAnsi="Calibri" w:eastAsia="仿宋_GB2312" w:cs="宋体"/>
          <w:color w:val="auto"/>
          <w:kern w:val="0"/>
          <w:sz w:val="32"/>
          <w:szCs w:val="32"/>
          <w:u w:val="none"/>
          <w:lang w:eastAsia="zh-CN"/>
        </w:rPr>
        <w:t>行为。</w:t>
      </w:r>
      <w:r>
        <w:rPr>
          <w:rFonts w:ascii="Times New Roman" w:hAnsi="仿宋_GB2312" w:eastAsia="仿宋_GB2312" w:cs="Times New Roman"/>
          <w:color w:val="auto"/>
          <w:sz w:val="32"/>
          <w:szCs w:val="32"/>
          <w:u w:val="none"/>
        </w:rPr>
        <w:t>推进信用分类分级监管，到</w:t>
      </w:r>
      <w:r>
        <w:rPr>
          <w:rFonts w:hint="eastAsia" w:ascii="仿宋_GB2312" w:hAnsi="仿宋_GB2312" w:eastAsia="仿宋_GB2312" w:cs="仿宋_GB2312"/>
          <w:color w:val="auto"/>
          <w:sz w:val="32"/>
          <w:szCs w:val="32"/>
          <w:u w:val="none"/>
        </w:rPr>
        <w:t>2025年，实现我市从业认证机构监管100%全覆</w:t>
      </w:r>
      <w:r>
        <w:rPr>
          <w:rFonts w:ascii="Times New Roman" w:hAnsi="仿宋_GB2312" w:eastAsia="仿宋_GB2312" w:cs="Times New Roman"/>
          <w:color w:val="auto"/>
          <w:sz w:val="32"/>
          <w:szCs w:val="32"/>
          <w:u w:val="none"/>
        </w:rPr>
        <w:t>盖。</w:t>
      </w:r>
      <w:r>
        <w:rPr>
          <w:rFonts w:hint="eastAsia" w:ascii="仿宋_GB2312" w:hAnsi="仿宋_GB2312" w:eastAsia="仿宋_GB2312" w:cs="仿宋_GB2312"/>
          <w:color w:val="auto"/>
          <w:kern w:val="2"/>
          <w:sz w:val="32"/>
          <w:szCs w:val="32"/>
          <w:u w:val="none"/>
          <w:lang w:val="en-US" w:eastAsia="zh-CN" w:bidi="ar-SA"/>
        </w:rPr>
        <w:t>鼓励节能、低碳、机器人、养老等绿色认证和高端品质认证，深入开展小微企业质量管理体系认证提升行动，</w:t>
      </w:r>
      <w:r>
        <w:rPr>
          <w:rFonts w:hint="eastAsia" w:ascii="仿宋_GB2312" w:hAnsi="仿宋_GB2312" w:eastAsia="仿宋_GB2312" w:cs="仿宋_GB2312"/>
          <w:color w:val="auto"/>
          <w:sz w:val="32"/>
          <w:szCs w:val="32"/>
          <w:u w:val="none"/>
        </w:rPr>
        <w:t>到2025年，全市有机产品认证证书突破400张，绿色产品认证证书突破200张，各类质量认证证书超过5000张，持续保持全省领先优</w:t>
      </w:r>
      <w:r>
        <w:rPr>
          <w:rFonts w:ascii="Times New Roman" w:hAnsi="仿宋_GB2312" w:eastAsia="仿宋_GB2312" w:cs="Times New Roman"/>
          <w:color w:val="auto"/>
          <w:sz w:val="32"/>
          <w:szCs w:val="32"/>
          <w:u w:val="none"/>
        </w:rPr>
        <w:t>势。</w:t>
      </w:r>
    </w:p>
    <w:p w14:paraId="7F2221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ascii="Times New Roman" w:hAnsi="仿宋_GB2312" w:eastAsia="仿宋_GB2312" w:cs="Times New Roman"/>
          <w:color w:val="auto"/>
          <w:sz w:val="32"/>
          <w:szCs w:val="32"/>
          <w:u w:val="none"/>
        </w:rPr>
        <w:t>实施标准化战略。</w:t>
      </w:r>
      <w:r>
        <w:rPr>
          <w:rFonts w:hint="eastAsia" w:ascii="Times New Roman" w:hAnsi="仿宋_GB2312" w:eastAsia="仿宋_GB2312" w:cs="Times New Roman"/>
          <w:color w:val="auto"/>
          <w:sz w:val="32"/>
          <w:szCs w:val="32"/>
          <w:u w:val="none"/>
          <w:lang w:eastAsia="zh-CN"/>
        </w:rPr>
        <w:t>进一步完善六安市高质量发展的标准体系，</w:t>
      </w:r>
      <w:r>
        <w:rPr>
          <w:rFonts w:hint="eastAsia" w:ascii="仿宋_GB2312" w:hAnsi="仿宋_GB2312" w:eastAsia="仿宋_GB2312" w:cs="仿宋_GB2312"/>
          <w:color w:val="auto"/>
          <w:kern w:val="2"/>
          <w:sz w:val="32"/>
          <w:szCs w:val="32"/>
          <w:u w:val="none"/>
          <w:lang w:val="en-US" w:eastAsia="zh-CN" w:bidi="ar-SA"/>
        </w:rPr>
        <w:t>全面推行企业标准总监制度，引导企业设立标准总监岗位。</w:t>
      </w:r>
      <w:r>
        <w:rPr>
          <w:rFonts w:ascii="Times New Roman" w:hAnsi="仿宋_GB2312" w:eastAsia="仿宋_GB2312" w:cs="Times New Roman"/>
          <w:color w:val="auto"/>
          <w:sz w:val="32"/>
          <w:szCs w:val="32"/>
          <w:u w:val="none"/>
        </w:rPr>
        <w:t>推动优势企业积极开展国家标准和行业标准制修订工作，加快制定一批具</w:t>
      </w:r>
      <w:r>
        <w:rPr>
          <w:rFonts w:hint="eastAsia" w:ascii="仿宋_GB2312" w:hAnsi="仿宋_GB2312" w:eastAsia="仿宋_GB2312" w:cs="仿宋_GB2312"/>
          <w:color w:val="auto"/>
          <w:sz w:val="32"/>
          <w:szCs w:val="32"/>
          <w:u w:val="none"/>
        </w:rPr>
        <w:t>有六安特色、适合六安发展需求的省市级地方标准。</w:t>
      </w:r>
      <w:r>
        <w:rPr>
          <w:rFonts w:hint="eastAsia" w:ascii="仿宋_GB2312" w:hAnsi="仿宋_GB2312" w:eastAsia="仿宋_GB2312" w:cs="仿宋_GB2312"/>
          <w:color w:val="auto"/>
          <w:kern w:val="0"/>
          <w:sz w:val="32"/>
          <w:szCs w:val="32"/>
          <w:u w:val="none"/>
        </w:rPr>
        <w:t>强化现代服务业、社会管理和公共服务标准化建设，加强生态文明、营商环境、政务服务、公共安</w:t>
      </w:r>
      <w:r>
        <w:rPr>
          <w:rFonts w:hint="eastAsia" w:ascii="仿宋_GB2312" w:hAnsi="仿宋_GB2312" w:eastAsia="仿宋_GB2312" w:cs="仿宋_GB2312"/>
          <w:color w:val="auto"/>
          <w:kern w:val="0"/>
          <w:sz w:val="32"/>
          <w:szCs w:val="32"/>
        </w:rPr>
        <w:t>全、市场监管、家政服务等领域标准制定。</w:t>
      </w:r>
      <w:r>
        <w:rPr>
          <w:rFonts w:hint="eastAsia" w:ascii="仿宋_GB2312" w:hAnsi="仿宋_GB2312" w:eastAsia="仿宋_GB2312" w:cs="仿宋_GB2312"/>
          <w:color w:val="auto"/>
          <w:sz w:val="32"/>
          <w:szCs w:val="32"/>
        </w:rPr>
        <w:t>“十四五”期间，争取主导或参与制修订国家标准8项以上、行业标准10项以上，制定发布六安市地方标准60项以上、团体标准6项以上，鼓励新增自我声明公开企业标准600项以上，新增标准化专业技术资格人员50人，力争创建2个以上国家或省级农业标准化示范项目和3个以上国家或省级服务业标准化试点项目，争取1家以上省级技术标准创新基地落户六安。</w:t>
      </w:r>
    </w:p>
    <w:p w14:paraId="489CA4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ascii="Times New Roman" w:hAnsi="仿宋_GB2312" w:eastAsia="仿宋_GB2312" w:cs="Times New Roman"/>
          <w:bCs/>
          <w:color w:val="auto"/>
          <w:sz w:val="32"/>
          <w:szCs w:val="32"/>
        </w:rPr>
        <w:t>加快检验检测体系建设</w:t>
      </w:r>
      <w:r>
        <w:rPr>
          <w:rFonts w:ascii="Times New Roman" w:hAnsi="仿宋_GB2312" w:eastAsia="仿宋_GB2312" w:cs="Times New Roman"/>
          <w:b w:val="0"/>
          <w:bCs w:val="0"/>
          <w:color w:val="auto"/>
          <w:sz w:val="32"/>
          <w:szCs w:val="32"/>
        </w:rPr>
        <w:t>。</w:t>
      </w:r>
      <w:r>
        <w:rPr>
          <w:rFonts w:ascii="Times New Roman" w:hAnsi="仿宋_GB2312" w:eastAsia="仿宋_GB2312" w:cs="Times New Roman"/>
          <w:bCs/>
          <w:color w:val="auto"/>
          <w:sz w:val="32"/>
          <w:szCs w:val="32"/>
        </w:rPr>
        <w:t>加强检验检测机构监管平台建设，全面提升</w:t>
      </w:r>
      <w:r>
        <w:rPr>
          <w:rFonts w:ascii="Times New Roman" w:hAnsi="仿宋_GB2312" w:eastAsia="仿宋_GB2312" w:cs="Times New Roman"/>
          <w:color w:val="auto"/>
          <w:sz w:val="32"/>
          <w:szCs w:val="32"/>
        </w:rPr>
        <w:t>检验检测能力水平</w:t>
      </w:r>
      <w:r>
        <w:rPr>
          <w:rFonts w:hint="eastAsia" w:ascii="Times New Roman" w:hAnsi="仿宋_GB2312" w:eastAsia="仿宋_GB2312" w:cs="Times New Roman"/>
          <w:color w:val="auto"/>
          <w:sz w:val="32"/>
          <w:szCs w:val="32"/>
        </w:rPr>
        <w:t>，</w:t>
      </w:r>
      <w:r>
        <w:rPr>
          <w:rFonts w:ascii="Times New Roman" w:hAnsi="仿宋_GB2312" w:eastAsia="仿宋_GB2312" w:cs="Times New Roman"/>
          <w:color w:val="auto"/>
          <w:sz w:val="32"/>
          <w:szCs w:val="32"/>
        </w:rPr>
        <w:t>每年对机构</w:t>
      </w:r>
      <w:r>
        <w:rPr>
          <w:rFonts w:hint="eastAsia" w:ascii="仿宋_GB2312" w:hAnsi="仿宋_GB2312" w:eastAsia="仿宋_GB2312" w:cs="仿宋_GB2312"/>
          <w:color w:val="auto"/>
          <w:sz w:val="32"/>
          <w:szCs w:val="32"/>
        </w:rPr>
        <w:t>总数的20%开展现场检查，5年完成检验检测机构现场检查全覆盖。推进检验检测机构信用风险分类监管，实施动态评价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进一步完善检验检测机构及从业人员信用档案。</w:t>
      </w:r>
      <w:r>
        <w:rPr>
          <w:rFonts w:hint="eastAsia" w:ascii="仿宋_GB2312" w:hAnsi="仿宋_GB2312" w:eastAsia="仿宋_GB2312" w:cs="仿宋_GB2312"/>
          <w:bCs/>
          <w:color w:val="auto"/>
          <w:sz w:val="32"/>
          <w:szCs w:val="32"/>
        </w:rPr>
        <w:t>“十四五”期间，</w:t>
      </w:r>
      <w:r>
        <w:rPr>
          <w:rFonts w:hint="eastAsia" w:ascii="仿宋_GB2312" w:hAnsi="仿宋_GB2312" w:eastAsia="仿宋_GB2312" w:cs="仿宋_GB2312"/>
          <w:color w:val="auto"/>
          <w:sz w:val="32"/>
          <w:szCs w:val="32"/>
        </w:rPr>
        <w:t>规划建设1个国家级质检中心（国家茶及茶制品产品质量检验检测中心），建成2个省级质检中心（安徽省霍山石斛中药材产品质量检验检测中心、安徽省家具及板材产品质量检验检测中心）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推动立项科研项目5项，并加快研发和实现科技成果转化。</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98"/>
        <w:gridCol w:w="1804"/>
        <w:gridCol w:w="688"/>
        <w:gridCol w:w="4590"/>
      </w:tblGrid>
      <w:tr w14:paraId="277E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6" w:type="dxa"/>
            <w:gridSpan w:val="5"/>
          </w:tcPr>
          <w:p w14:paraId="1431A2C7">
            <w:pPr>
              <w:pStyle w:val="6"/>
              <w:keepNext w:val="0"/>
              <w:keepLines w:val="0"/>
              <w:pageBreakBefore w:val="0"/>
              <w:widowControl w:val="0"/>
              <w:kinsoku/>
              <w:wordWrap/>
              <w:overflowPunct/>
              <w:topLinePunct w:val="0"/>
              <w:autoSpaceDE/>
              <w:autoSpaceDN/>
              <w:bidi w:val="0"/>
              <w:adjustRightInd/>
              <w:snapToGrid/>
              <w:spacing w:after="32" w:afterLines="10" w:line="560" w:lineRule="exact"/>
              <w:ind w:left="0" w:leftChars="0" w:firstLine="0" w:firstLineChars="0"/>
              <w:jc w:val="center"/>
              <w:textAlignment w:val="auto"/>
              <w:rPr>
                <w:rFonts w:ascii="楷体_GB2312" w:hAnsi="黑体" w:eastAsia="楷体_GB2312" w:cs="Times New Roman"/>
                <w:color w:val="auto"/>
                <w:sz w:val="32"/>
                <w:szCs w:val="32"/>
              </w:rPr>
            </w:pPr>
            <w:r>
              <w:rPr>
                <w:rFonts w:hint="eastAsia" w:ascii="黑体" w:hAnsi="黑体" w:eastAsia="黑体" w:cs="宋体"/>
                <w:b w:val="0"/>
                <w:bCs w:val="0"/>
                <w:color w:val="auto"/>
                <w:kern w:val="0"/>
                <w:sz w:val="28"/>
                <w:szCs w:val="28"/>
              </w:rPr>
              <w:t>专栏</w:t>
            </w:r>
            <w:r>
              <w:rPr>
                <w:rFonts w:hint="eastAsia" w:ascii="黑体" w:hAnsi="黑体" w:eastAsia="黑体" w:cs="宋体"/>
                <w:b w:val="0"/>
                <w:bCs w:val="0"/>
                <w:color w:val="auto"/>
                <w:kern w:val="0"/>
                <w:sz w:val="28"/>
                <w:szCs w:val="28"/>
                <w:lang w:val="en-US" w:eastAsia="zh-CN"/>
              </w:rPr>
              <w:t>4</w:t>
            </w:r>
            <w:r>
              <w:rPr>
                <w:rFonts w:hint="eastAsia" w:ascii="黑体" w:hAnsi="黑体" w:eastAsia="黑体" w:cs="宋体"/>
                <w:b w:val="0"/>
                <w:bCs w:val="0"/>
                <w:color w:val="auto"/>
                <w:kern w:val="0"/>
                <w:sz w:val="28"/>
                <w:szCs w:val="28"/>
              </w:rPr>
              <w:t xml:space="preserve"> </w:t>
            </w:r>
            <w:r>
              <w:rPr>
                <w:rFonts w:hint="eastAsia" w:ascii="黑体" w:hAnsi="黑体" w:eastAsia="黑体" w:cs="宋体"/>
                <w:b w:val="0"/>
                <w:bCs w:val="0"/>
                <w:color w:val="auto"/>
                <w:kern w:val="0"/>
                <w:sz w:val="28"/>
                <w:szCs w:val="28"/>
                <w:lang w:eastAsia="zh-CN"/>
              </w:rPr>
              <w:t>直属机构</w:t>
            </w:r>
            <w:r>
              <w:rPr>
                <w:rFonts w:hint="eastAsia" w:ascii="黑体" w:hAnsi="黑体" w:eastAsia="黑体" w:cs="宋体"/>
                <w:b w:val="0"/>
                <w:bCs w:val="0"/>
                <w:color w:val="auto"/>
                <w:kern w:val="0"/>
                <w:sz w:val="28"/>
                <w:szCs w:val="28"/>
              </w:rPr>
              <w:t>检验检测</w:t>
            </w:r>
            <w:r>
              <w:rPr>
                <w:rFonts w:hint="eastAsia" w:ascii="黑体" w:hAnsi="黑体" w:eastAsia="黑体" w:cs="宋体"/>
                <w:b w:val="0"/>
                <w:bCs w:val="0"/>
                <w:color w:val="auto"/>
                <w:kern w:val="0"/>
                <w:sz w:val="28"/>
                <w:szCs w:val="28"/>
                <w:lang w:eastAsia="zh-CN"/>
              </w:rPr>
              <w:t>和研究</w:t>
            </w:r>
            <w:r>
              <w:rPr>
                <w:rFonts w:hint="eastAsia" w:ascii="黑体" w:hAnsi="黑体" w:eastAsia="黑体" w:cs="宋体"/>
                <w:b w:val="0"/>
                <w:bCs w:val="0"/>
                <w:color w:val="auto"/>
                <w:kern w:val="0"/>
                <w:sz w:val="28"/>
                <w:szCs w:val="28"/>
              </w:rPr>
              <w:t>能力建设项目</w:t>
            </w:r>
          </w:p>
        </w:tc>
      </w:tr>
      <w:tr w14:paraId="7BBD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6" w:type="dxa"/>
            <w:vAlign w:val="center"/>
          </w:tcPr>
          <w:p w14:paraId="1F0AE9E1">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机构名称</w:t>
            </w:r>
          </w:p>
        </w:tc>
        <w:tc>
          <w:tcPr>
            <w:tcW w:w="2590" w:type="dxa"/>
            <w:gridSpan w:val="3"/>
          </w:tcPr>
          <w:p w14:paraId="3907F218">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项目名称</w:t>
            </w:r>
          </w:p>
        </w:tc>
        <w:tc>
          <w:tcPr>
            <w:tcW w:w="4590" w:type="dxa"/>
          </w:tcPr>
          <w:p w14:paraId="31AE425D">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建设任务</w:t>
            </w:r>
          </w:p>
        </w:tc>
      </w:tr>
      <w:tr w14:paraId="65B7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6" w:type="dxa"/>
            <w:vMerge w:val="restart"/>
            <w:vAlign w:val="center"/>
          </w:tcPr>
          <w:p w14:paraId="060E24A8">
            <w:pPr>
              <w:pStyle w:val="2"/>
              <w:spacing w:line="400" w:lineRule="exact"/>
              <w:jc w:val="center"/>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市食品药品检验</w:t>
            </w:r>
          </w:p>
          <w:p w14:paraId="3ADECE03">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中心</w:t>
            </w:r>
          </w:p>
        </w:tc>
        <w:tc>
          <w:tcPr>
            <w:tcW w:w="2590" w:type="dxa"/>
            <w:gridSpan w:val="3"/>
            <w:vAlign w:val="center"/>
          </w:tcPr>
          <w:p w14:paraId="56B685A3">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检验检测能力</w:t>
            </w:r>
          </w:p>
        </w:tc>
        <w:tc>
          <w:tcPr>
            <w:tcW w:w="4590" w:type="dxa"/>
            <w:vAlign w:val="center"/>
          </w:tcPr>
          <w:p w14:paraId="51DAAC95">
            <w:pPr>
              <w:pStyle w:val="2"/>
              <w:spacing w:line="400" w:lineRule="exact"/>
              <w:jc w:val="both"/>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达到国家</w:t>
            </w:r>
            <w:r>
              <w:rPr>
                <w:rFonts w:hint="eastAsia" w:ascii="仿宋_GB2312" w:hAnsi="仿宋_GB2312" w:eastAsia="仿宋_GB2312" w:cs="仿宋_GB2312"/>
                <w:b w:val="0"/>
                <w:bCs w:val="0"/>
                <w:color w:val="auto"/>
                <w:sz w:val="28"/>
                <w:szCs w:val="28"/>
                <w:lang w:val="en-US" w:eastAsia="zh-CN"/>
              </w:rPr>
              <w:t>C级实验室标准。</w:t>
            </w:r>
          </w:p>
        </w:tc>
      </w:tr>
      <w:tr w14:paraId="7689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1596" w:type="dxa"/>
            <w:vMerge w:val="continue"/>
            <w:vAlign w:val="center"/>
          </w:tcPr>
          <w:p w14:paraId="10B7A7B4">
            <w:pPr>
              <w:pStyle w:val="2"/>
              <w:spacing w:line="400" w:lineRule="exact"/>
              <w:jc w:val="center"/>
              <w:rPr>
                <w:rFonts w:hint="eastAsia" w:ascii="仿宋_GB2312" w:hAnsi="仿宋_GB2312" w:eastAsia="仿宋_GB2312" w:cs="仿宋_GB2312"/>
                <w:b w:val="0"/>
                <w:bCs w:val="0"/>
                <w:color w:val="auto"/>
                <w:sz w:val="28"/>
                <w:szCs w:val="28"/>
                <w:lang w:val="en-US" w:eastAsia="zh-CN"/>
              </w:rPr>
            </w:pPr>
          </w:p>
        </w:tc>
        <w:tc>
          <w:tcPr>
            <w:tcW w:w="2590" w:type="dxa"/>
            <w:gridSpan w:val="3"/>
            <w:vAlign w:val="center"/>
          </w:tcPr>
          <w:p w14:paraId="4C2D6444">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检验检测认证参数</w:t>
            </w:r>
          </w:p>
        </w:tc>
        <w:tc>
          <w:tcPr>
            <w:tcW w:w="4590" w:type="dxa"/>
          </w:tcPr>
          <w:p w14:paraId="53F74FA6">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由2020年的642个扩大到2025年的800个。</w:t>
            </w:r>
          </w:p>
        </w:tc>
      </w:tr>
      <w:tr w14:paraId="1450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exact"/>
          <w:jc w:val="center"/>
        </w:trPr>
        <w:tc>
          <w:tcPr>
            <w:tcW w:w="1596" w:type="dxa"/>
            <w:vAlign w:val="center"/>
          </w:tcPr>
          <w:p w14:paraId="0F596FFE">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市产品质量监督</w:t>
            </w:r>
          </w:p>
          <w:p w14:paraId="4C5E11EC">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检验所</w:t>
            </w:r>
          </w:p>
        </w:tc>
        <w:tc>
          <w:tcPr>
            <w:tcW w:w="2590" w:type="dxa"/>
            <w:gridSpan w:val="3"/>
            <w:vAlign w:val="center"/>
          </w:tcPr>
          <w:p w14:paraId="4ECA09BC">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Style w:val="16"/>
                <w:rFonts w:hint="eastAsia" w:ascii="仿宋_GB2312" w:hAnsi="仿宋_GB2312" w:eastAsia="仿宋_GB2312" w:cs="仿宋_GB2312"/>
                <w:b w:val="0"/>
                <w:bCs w:val="0"/>
                <w:color w:val="auto"/>
                <w:sz w:val="28"/>
                <w:szCs w:val="28"/>
                <w:shd w:val="clear" w:color="auto" w:fill="FFFFFF"/>
              </w:rPr>
              <w:t>检验检测能力</w:t>
            </w:r>
          </w:p>
        </w:tc>
        <w:tc>
          <w:tcPr>
            <w:tcW w:w="4590" w:type="dxa"/>
          </w:tcPr>
          <w:p w14:paraId="304A97E6">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shd w:val="clear" w:color="auto" w:fill="FFFFFF"/>
              </w:rPr>
              <w:t>获得CNAS实验室认可参数200项以上，CMA资质认证参数1500项以上</w:t>
            </w:r>
            <w:r>
              <w:rPr>
                <w:rFonts w:hint="eastAsia" w:ascii="仿宋_GB2312" w:hAnsi="仿宋_GB2312" w:eastAsia="仿宋_GB2312" w:cs="仿宋_GB2312"/>
                <w:b w:val="0"/>
                <w:bCs w:val="0"/>
                <w:color w:val="auto"/>
                <w:sz w:val="28"/>
                <w:szCs w:val="28"/>
                <w:shd w:val="clear" w:color="auto" w:fill="FFFFFF"/>
                <w:lang w:eastAsia="zh-CN"/>
              </w:rPr>
              <w:t>，</w:t>
            </w:r>
            <w:r>
              <w:rPr>
                <w:rFonts w:hint="eastAsia" w:ascii="仿宋_GB2312" w:hAnsi="仿宋_GB2312" w:eastAsia="仿宋_GB2312" w:cs="仿宋_GB2312"/>
                <w:b w:val="0"/>
                <w:bCs w:val="0"/>
                <w:color w:val="auto"/>
                <w:sz w:val="28"/>
                <w:szCs w:val="28"/>
                <w:shd w:val="clear" w:color="auto" w:fill="FFFFFF"/>
              </w:rPr>
              <w:t>茶及茶制品检测能力覆盖检验</w:t>
            </w:r>
            <w:r>
              <w:rPr>
                <w:rFonts w:hint="eastAsia" w:ascii="仿宋_GB2312" w:hAnsi="仿宋_GB2312" w:eastAsia="仿宋_GB2312" w:cs="仿宋_GB2312"/>
                <w:b w:val="0"/>
                <w:bCs w:val="0"/>
                <w:color w:val="auto"/>
                <w:sz w:val="28"/>
                <w:szCs w:val="28"/>
                <w:shd w:val="clear" w:color="auto" w:fill="FFFFFF"/>
                <w:lang w:eastAsia="zh-CN"/>
              </w:rPr>
              <w:t>项目</w:t>
            </w:r>
            <w:r>
              <w:rPr>
                <w:rFonts w:hint="eastAsia" w:ascii="仿宋_GB2312" w:hAnsi="仿宋_GB2312" w:eastAsia="仿宋_GB2312" w:cs="仿宋_GB2312"/>
                <w:b w:val="0"/>
                <w:bCs w:val="0"/>
                <w:color w:val="auto"/>
                <w:sz w:val="28"/>
                <w:szCs w:val="28"/>
                <w:shd w:val="clear" w:color="auto" w:fill="FFFFFF"/>
              </w:rPr>
              <w:t>95%以上</w:t>
            </w:r>
            <w:r>
              <w:rPr>
                <w:rFonts w:hint="eastAsia" w:ascii="仿宋_GB2312" w:hAnsi="仿宋_GB2312" w:eastAsia="仿宋_GB2312" w:cs="仿宋_GB2312"/>
                <w:b w:val="0"/>
                <w:bCs w:val="0"/>
                <w:color w:val="auto"/>
                <w:sz w:val="28"/>
                <w:szCs w:val="28"/>
                <w:shd w:val="clear" w:color="auto" w:fill="FFFFFF"/>
                <w:lang w:eastAsia="zh-CN"/>
              </w:rPr>
              <w:t>，</w:t>
            </w:r>
            <w:r>
              <w:rPr>
                <w:rFonts w:hint="eastAsia" w:ascii="仿宋_GB2312" w:hAnsi="仿宋_GB2312" w:eastAsia="仿宋_GB2312" w:cs="仿宋_GB2312"/>
                <w:b w:val="0"/>
                <w:bCs w:val="0"/>
                <w:color w:val="auto"/>
                <w:sz w:val="28"/>
                <w:szCs w:val="28"/>
                <w:shd w:val="clear" w:color="auto" w:fill="FFFFFF"/>
              </w:rPr>
              <w:t>争创省级重点实验室</w:t>
            </w:r>
            <w:r>
              <w:rPr>
                <w:rFonts w:hint="eastAsia" w:ascii="仿宋_GB2312" w:hAnsi="仿宋_GB2312" w:eastAsia="仿宋_GB2312" w:cs="仿宋_GB2312"/>
                <w:b w:val="0"/>
                <w:bCs w:val="0"/>
                <w:color w:val="auto"/>
                <w:sz w:val="28"/>
                <w:szCs w:val="28"/>
                <w:shd w:val="clear" w:color="auto" w:fill="FFFFFF"/>
                <w:lang w:eastAsia="zh-CN"/>
              </w:rPr>
              <w:t>。</w:t>
            </w:r>
          </w:p>
        </w:tc>
      </w:tr>
      <w:tr w14:paraId="2484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exact"/>
          <w:jc w:val="center"/>
        </w:trPr>
        <w:tc>
          <w:tcPr>
            <w:tcW w:w="1596" w:type="dxa"/>
            <w:vMerge w:val="restart"/>
            <w:vAlign w:val="center"/>
          </w:tcPr>
          <w:p w14:paraId="56BC218E">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市特种设备监督检验中心</w:t>
            </w:r>
          </w:p>
        </w:tc>
        <w:tc>
          <w:tcPr>
            <w:tcW w:w="2590" w:type="dxa"/>
            <w:gridSpan w:val="3"/>
            <w:vAlign w:val="center"/>
          </w:tcPr>
          <w:p w14:paraId="276903FD">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信息化建设</w:t>
            </w:r>
          </w:p>
        </w:tc>
        <w:tc>
          <w:tcPr>
            <w:tcW w:w="4590" w:type="dxa"/>
          </w:tcPr>
          <w:p w14:paraId="3BADAE6C">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i w:val="0"/>
                <w:iCs w:val="0"/>
                <w:caps w:val="0"/>
                <w:color w:val="auto"/>
                <w:spacing w:val="0"/>
                <w:sz w:val="28"/>
                <w:szCs w:val="28"/>
                <w:shd w:val="clear" w:fill="FFFFFF"/>
                <w:lang w:eastAsia="zh-CN"/>
              </w:rPr>
              <w:t>依托安徽省特种设备大数据平台，建成我市</w:t>
            </w:r>
            <w:r>
              <w:rPr>
                <w:rFonts w:hint="eastAsia" w:ascii="仿宋_GB2312" w:hAnsi="仿宋_GB2312" w:eastAsia="仿宋_GB2312" w:cs="仿宋_GB2312"/>
                <w:b w:val="0"/>
                <w:bCs w:val="0"/>
                <w:i w:val="0"/>
                <w:iCs w:val="0"/>
                <w:caps w:val="0"/>
                <w:color w:val="auto"/>
                <w:spacing w:val="0"/>
                <w:sz w:val="28"/>
                <w:szCs w:val="28"/>
                <w:shd w:val="clear" w:fill="FFFFFF"/>
              </w:rPr>
              <w:t>特种设备检测及标准化信息服务综合服务平台</w:t>
            </w:r>
            <w:r>
              <w:rPr>
                <w:rFonts w:hint="eastAsia" w:ascii="仿宋_GB2312" w:hAnsi="仿宋_GB2312" w:eastAsia="仿宋_GB2312" w:cs="仿宋_GB2312"/>
                <w:b w:val="0"/>
                <w:bCs w:val="0"/>
                <w:i w:val="0"/>
                <w:iCs w:val="0"/>
                <w:caps w:val="0"/>
                <w:color w:val="auto"/>
                <w:spacing w:val="0"/>
                <w:sz w:val="28"/>
                <w:szCs w:val="28"/>
                <w:shd w:val="clear" w:fill="FFFFFF"/>
                <w:lang w:eastAsia="zh-CN"/>
              </w:rPr>
              <w:t>，</w:t>
            </w:r>
            <w:r>
              <w:rPr>
                <w:rFonts w:hint="eastAsia" w:ascii="仿宋_GB2312" w:hAnsi="仿宋_GB2312" w:eastAsia="仿宋_GB2312" w:cs="仿宋_GB2312"/>
                <w:b w:val="0"/>
                <w:bCs w:val="0"/>
                <w:color w:val="auto"/>
                <w:sz w:val="28"/>
                <w:szCs w:val="28"/>
                <w:lang w:val="en-US" w:eastAsia="zh-CN"/>
              </w:rPr>
              <w:t>实现现场检验数据采集处理全程信息化。</w:t>
            </w:r>
          </w:p>
        </w:tc>
      </w:tr>
      <w:tr w14:paraId="2E16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6" w:type="dxa"/>
            <w:vMerge w:val="continue"/>
            <w:vAlign w:val="center"/>
          </w:tcPr>
          <w:p w14:paraId="2C24E348">
            <w:pPr>
              <w:jc w:val="center"/>
              <w:rPr>
                <w:rFonts w:hint="eastAsia" w:ascii="仿宋_GB2312" w:hAnsi="仿宋_GB2312" w:eastAsia="仿宋_GB2312" w:cs="仿宋_GB2312"/>
                <w:b w:val="0"/>
                <w:bCs w:val="0"/>
                <w:color w:val="auto"/>
                <w:sz w:val="28"/>
                <w:szCs w:val="28"/>
                <w:lang w:val="en-US" w:eastAsia="zh-CN"/>
              </w:rPr>
            </w:pPr>
          </w:p>
        </w:tc>
        <w:tc>
          <w:tcPr>
            <w:tcW w:w="2590" w:type="dxa"/>
            <w:gridSpan w:val="3"/>
            <w:vAlign w:val="center"/>
          </w:tcPr>
          <w:p w14:paraId="06405D29">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科研创新</w:t>
            </w:r>
          </w:p>
        </w:tc>
        <w:tc>
          <w:tcPr>
            <w:tcW w:w="4590" w:type="dxa"/>
            <w:vAlign w:val="center"/>
          </w:tcPr>
          <w:p w14:paraId="48DAD838">
            <w:pPr>
              <w:pStyle w:val="2"/>
              <w:spacing w:line="400" w:lineRule="exact"/>
              <w:jc w:val="both"/>
              <w:rPr>
                <w:rFonts w:hint="eastAsia" w:ascii="仿宋_GB2312" w:hAnsi="仿宋_GB2312" w:eastAsia="仿宋_GB2312" w:cs="仿宋_GB2312"/>
                <w:b w:val="0"/>
                <w:bCs w:val="0"/>
                <w:i w:val="0"/>
                <w:iCs w:val="0"/>
                <w:caps w:val="0"/>
                <w:color w:val="auto"/>
                <w:spacing w:val="0"/>
                <w:sz w:val="28"/>
                <w:szCs w:val="28"/>
                <w:shd w:val="clear" w:fill="FFFFFF"/>
                <w:lang w:eastAsia="zh-CN"/>
              </w:rPr>
            </w:pPr>
            <w:r>
              <w:rPr>
                <w:rFonts w:hint="eastAsia" w:ascii="仿宋_GB2312" w:hAnsi="仿宋_GB2312" w:eastAsia="仿宋_GB2312" w:cs="仿宋_GB2312"/>
                <w:b w:val="0"/>
                <w:bCs w:val="0"/>
                <w:color w:val="auto"/>
                <w:sz w:val="28"/>
                <w:szCs w:val="28"/>
                <w:lang w:val="en-US" w:eastAsia="zh-CN"/>
              </w:rPr>
              <w:t>与企业合作申请专利3项以上。</w:t>
            </w:r>
          </w:p>
        </w:tc>
      </w:tr>
      <w:tr w14:paraId="2FBC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6" w:type="dxa"/>
            <w:vMerge w:val="restart"/>
            <w:vAlign w:val="center"/>
          </w:tcPr>
          <w:p w14:paraId="5B8F6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kern w:val="2"/>
                <w:sz w:val="28"/>
                <w:szCs w:val="28"/>
                <w:lang w:val="en-US" w:eastAsia="zh-CN" w:bidi="ar-SA"/>
              </w:rPr>
              <w:t>市纤维监督检验所</w:t>
            </w:r>
          </w:p>
        </w:tc>
        <w:tc>
          <w:tcPr>
            <w:tcW w:w="2590" w:type="dxa"/>
            <w:gridSpan w:val="3"/>
          </w:tcPr>
          <w:p w14:paraId="6EF60256">
            <w:pPr>
              <w:pStyle w:val="2"/>
              <w:spacing w:line="400" w:lineRule="exact"/>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检验检测认证参数</w:t>
            </w:r>
          </w:p>
        </w:tc>
        <w:tc>
          <w:tcPr>
            <w:tcW w:w="4590" w:type="dxa"/>
            <w:vAlign w:val="center"/>
          </w:tcPr>
          <w:p w14:paraId="49DFDA61">
            <w:pPr>
              <w:pStyle w:val="2"/>
              <w:spacing w:line="400" w:lineRule="exact"/>
              <w:jc w:val="both"/>
              <w:rPr>
                <w:rFonts w:hint="eastAsia" w:ascii="仿宋_GB2312" w:hAnsi="仿宋_GB2312" w:eastAsia="仿宋_GB2312" w:cs="仿宋_GB2312"/>
                <w:b w:val="0"/>
                <w:bCs w:val="0"/>
                <w:color w:val="auto"/>
                <w:spacing w:val="-17"/>
                <w:sz w:val="28"/>
                <w:szCs w:val="28"/>
                <w:lang w:eastAsia="zh-CN"/>
              </w:rPr>
            </w:pPr>
            <w:r>
              <w:rPr>
                <w:rFonts w:hint="eastAsia" w:ascii="仿宋_GB2312" w:hAnsi="仿宋_GB2312" w:eastAsia="仿宋_GB2312" w:cs="仿宋_GB2312"/>
                <w:b w:val="0"/>
                <w:bCs w:val="0"/>
                <w:color w:val="auto"/>
                <w:spacing w:val="-17"/>
                <w:sz w:val="28"/>
                <w:szCs w:val="28"/>
                <w:lang w:val="en-US" w:eastAsia="zh-CN"/>
              </w:rPr>
              <w:t>2020年50项，力争2025年达到90项。</w:t>
            </w:r>
          </w:p>
        </w:tc>
      </w:tr>
      <w:tr w14:paraId="26A2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96" w:type="dxa"/>
            <w:vMerge w:val="continue"/>
            <w:vAlign w:val="center"/>
          </w:tcPr>
          <w:p w14:paraId="00E186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p>
        </w:tc>
        <w:tc>
          <w:tcPr>
            <w:tcW w:w="2590" w:type="dxa"/>
            <w:gridSpan w:val="3"/>
          </w:tcPr>
          <w:p w14:paraId="054745C8">
            <w:pPr>
              <w:pStyle w:val="2"/>
              <w:spacing w:line="400" w:lineRule="exact"/>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认定的产品标准数</w:t>
            </w:r>
          </w:p>
        </w:tc>
        <w:tc>
          <w:tcPr>
            <w:tcW w:w="4590" w:type="dxa"/>
            <w:vAlign w:val="center"/>
          </w:tcPr>
          <w:p w14:paraId="03F3C09B">
            <w:pPr>
              <w:pStyle w:val="2"/>
              <w:spacing w:line="400" w:lineRule="exact"/>
              <w:jc w:val="both"/>
              <w:rPr>
                <w:rFonts w:hint="eastAsia" w:ascii="仿宋_GB2312" w:hAnsi="仿宋_GB2312" w:eastAsia="仿宋_GB2312" w:cs="仿宋_GB2312"/>
                <w:b w:val="0"/>
                <w:bCs w:val="0"/>
                <w:color w:val="auto"/>
                <w:spacing w:val="-17"/>
                <w:sz w:val="28"/>
                <w:szCs w:val="28"/>
                <w:lang w:val="en-US" w:eastAsia="zh-CN"/>
              </w:rPr>
            </w:pPr>
            <w:r>
              <w:rPr>
                <w:rFonts w:hint="eastAsia" w:ascii="仿宋_GB2312" w:hAnsi="仿宋_GB2312" w:eastAsia="仿宋_GB2312" w:cs="仿宋_GB2312"/>
                <w:b w:val="0"/>
                <w:bCs w:val="0"/>
                <w:color w:val="auto"/>
                <w:spacing w:val="-17"/>
                <w:sz w:val="28"/>
                <w:szCs w:val="28"/>
                <w:lang w:val="en-US" w:eastAsia="zh-CN"/>
              </w:rPr>
              <w:t>2020年61个，力争2025年达到100个。</w:t>
            </w:r>
          </w:p>
        </w:tc>
      </w:tr>
      <w:tr w14:paraId="6958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96" w:type="dxa"/>
            <w:vMerge w:val="continue"/>
            <w:vAlign w:val="center"/>
          </w:tcPr>
          <w:p w14:paraId="05715D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p>
        </w:tc>
        <w:tc>
          <w:tcPr>
            <w:tcW w:w="2590" w:type="dxa"/>
            <w:gridSpan w:val="3"/>
          </w:tcPr>
          <w:p w14:paraId="5E1B2B2E">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检测方法标准数</w:t>
            </w:r>
          </w:p>
        </w:tc>
        <w:tc>
          <w:tcPr>
            <w:tcW w:w="4590" w:type="dxa"/>
            <w:vAlign w:val="center"/>
          </w:tcPr>
          <w:p w14:paraId="1E36A78B">
            <w:pPr>
              <w:pStyle w:val="2"/>
              <w:spacing w:line="400" w:lineRule="exact"/>
              <w:jc w:val="both"/>
              <w:rPr>
                <w:rFonts w:hint="eastAsia" w:ascii="仿宋_GB2312" w:hAnsi="仿宋_GB2312" w:eastAsia="仿宋_GB2312" w:cs="仿宋_GB2312"/>
                <w:b w:val="0"/>
                <w:bCs w:val="0"/>
                <w:color w:val="auto"/>
                <w:spacing w:val="-17"/>
                <w:sz w:val="28"/>
                <w:szCs w:val="28"/>
                <w:lang w:val="en-US" w:eastAsia="zh-CN"/>
              </w:rPr>
            </w:pPr>
            <w:r>
              <w:rPr>
                <w:rFonts w:hint="eastAsia" w:ascii="仿宋_GB2312" w:hAnsi="仿宋_GB2312" w:eastAsia="仿宋_GB2312" w:cs="仿宋_GB2312"/>
                <w:b w:val="0"/>
                <w:bCs w:val="0"/>
                <w:color w:val="auto"/>
                <w:spacing w:val="-17"/>
                <w:sz w:val="28"/>
                <w:szCs w:val="28"/>
                <w:lang w:val="en-US" w:eastAsia="zh-CN"/>
              </w:rPr>
              <w:t>2020年156个，力争2025年达到200个。</w:t>
            </w:r>
          </w:p>
        </w:tc>
      </w:tr>
      <w:tr w14:paraId="6E1A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596" w:type="dxa"/>
            <w:vMerge w:val="continue"/>
            <w:vAlign w:val="center"/>
          </w:tcPr>
          <w:p w14:paraId="347C47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p>
        </w:tc>
        <w:tc>
          <w:tcPr>
            <w:tcW w:w="2590" w:type="dxa"/>
            <w:gridSpan w:val="3"/>
            <w:vAlign w:val="center"/>
          </w:tcPr>
          <w:p w14:paraId="7A835074">
            <w:pPr>
              <w:pStyle w:val="2"/>
              <w:spacing w:line="400" w:lineRule="exact"/>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六安羽绒质量公证检验</w:t>
            </w:r>
          </w:p>
        </w:tc>
        <w:tc>
          <w:tcPr>
            <w:tcW w:w="4590" w:type="dxa"/>
          </w:tcPr>
          <w:p w14:paraId="62991EF0">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pacing w:val="-6"/>
                <w:sz w:val="28"/>
                <w:szCs w:val="28"/>
                <w:lang w:val="en-US" w:eastAsia="zh-CN"/>
              </w:rPr>
              <w:t>联合省纤检局推动六安羽绒质量公证检验，提升六安羽绒质量品牌优势。</w:t>
            </w:r>
          </w:p>
        </w:tc>
      </w:tr>
      <w:tr w14:paraId="520D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jc w:val="center"/>
        </w:trPr>
        <w:tc>
          <w:tcPr>
            <w:tcW w:w="1596" w:type="dxa"/>
            <w:vMerge w:val="restart"/>
            <w:vAlign w:val="center"/>
          </w:tcPr>
          <w:p w14:paraId="46FE0A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市计量测试研究所</w:t>
            </w:r>
          </w:p>
        </w:tc>
        <w:tc>
          <w:tcPr>
            <w:tcW w:w="2590" w:type="dxa"/>
            <w:gridSpan w:val="3"/>
            <w:vAlign w:val="center"/>
          </w:tcPr>
          <w:p w14:paraId="50C2513C">
            <w:pPr>
              <w:pStyle w:val="2"/>
              <w:spacing w:line="40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计量测试能力建设</w:t>
            </w:r>
          </w:p>
        </w:tc>
        <w:tc>
          <w:tcPr>
            <w:tcW w:w="4590" w:type="dxa"/>
          </w:tcPr>
          <w:p w14:paraId="189F76D8">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围绕铁基新材料、茶叶及中药材产业，完成至少一个省级产业计量中心筹建。</w:t>
            </w:r>
          </w:p>
        </w:tc>
      </w:tr>
      <w:tr w14:paraId="7B03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596" w:type="dxa"/>
            <w:vMerge w:val="continue"/>
            <w:vAlign w:val="center"/>
          </w:tcPr>
          <w:p w14:paraId="4A86E9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p>
        </w:tc>
        <w:tc>
          <w:tcPr>
            <w:tcW w:w="2590" w:type="dxa"/>
            <w:gridSpan w:val="3"/>
            <w:vAlign w:val="center"/>
          </w:tcPr>
          <w:p w14:paraId="62235B96">
            <w:pPr>
              <w:pStyle w:val="2"/>
              <w:spacing w:line="40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计量测试方式改进</w:t>
            </w:r>
          </w:p>
        </w:tc>
        <w:tc>
          <w:tcPr>
            <w:tcW w:w="4590" w:type="dxa"/>
          </w:tcPr>
          <w:p w14:paraId="15F3CD9A">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对膜式燃气表等重复性检定项目实行人工智能化检定。</w:t>
            </w:r>
          </w:p>
        </w:tc>
      </w:tr>
      <w:tr w14:paraId="0DC8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1596" w:type="dxa"/>
            <w:vMerge w:val="continue"/>
            <w:vAlign w:val="center"/>
          </w:tcPr>
          <w:p w14:paraId="04CBEA0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lang w:val="en-US" w:eastAsia="zh-CN"/>
              </w:rPr>
            </w:pPr>
          </w:p>
        </w:tc>
        <w:tc>
          <w:tcPr>
            <w:tcW w:w="2590" w:type="dxa"/>
            <w:gridSpan w:val="3"/>
            <w:vAlign w:val="center"/>
          </w:tcPr>
          <w:p w14:paraId="6A021E6A">
            <w:pPr>
              <w:pStyle w:val="2"/>
              <w:spacing w:line="40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社会公用计量标准</w:t>
            </w:r>
          </w:p>
        </w:tc>
        <w:tc>
          <w:tcPr>
            <w:tcW w:w="4590" w:type="dxa"/>
            <w:vAlign w:val="center"/>
          </w:tcPr>
          <w:p w14:paraId="774DA4F5">
            <w:pPr>
              <w:pStyle w:val="2"/>
              <w:spacing w:line="40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pacing w:val="-17"/>
                <w:sz w:val="28"/>
                <w:szCs w:val="28"/>
                <w:lang w:val="en-US" w:eastAsia="zh-CN"/>
              </w:rPr>
              <w:t>2020年91项，力争2025年达到130项。</w:t>
            </w:r>
          </w:p>
        </w:tc>
      </w:tr>
      <w:tr w14:paraId="786E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1596" w:type="dxa"/>
            <w:vMerge w:val="restart"/>
            <w:vAlign w:val="center"/>
          </w:tcPr>
          <w:p w14:paraId="7D8F8F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市质量和标准化</w:t>
            </w:r>
          </w:p>
          <w:p w14:paraId="042D38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研究所</w:t>
            </w:r>
          </w:p>
        </w:tc>
        <w:tc>
          <w:tcPr>
            <w:tcW w:w="2590" w:type="dxa"/>
            <w:gridSpan w:val="3"/>
            <w:vAlign w:val="center"/>
          </w:tcPr>
          <w:p w14:paraId="4D26CED4">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标准化服务能力</w:t>
            </w:r>
          </w:p>
        </w:tc>
        <w:tc>
          <w:tcPr>
            <w:tcW w:w="4590" w:type="dxa"/>
            <w:vAlign w:val="center"/>
          </w:tcPr>
          <w:p w14:paraId="753EFFFF">
            <w:pPr>
              <w:pStyle w:val="2"/>
              <w:spacing w:line="40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2"/>
                <w:sz w:val="28"/>
                <w:szCs w:val="28"/>
                <w:u w:val="none"/>
                <w:lang w:val="en-US" w:eastAsia="zh-CN" w:bidi="ar-SA"/>
              </w:rPr>
              <w:t>完善六安市标准信息公共服务平台建设，收录标准文本16万项以上。</w:t>
            </w:r>
          </w:p>
        </w:tc>
      </w:tr>
      <w:tr w14:paraId="7863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596" w:type="dxa"/>
            <w:vMerge w:val="continue"/>
            <w:vAlign w:val="center"/>
          </w:tcPr>
          <w:p w14:paraId="2D7C5B5C">
            <w:pPr>
              <w:rPr>
                <w:rFonts w:hint="eastAsia" w:ascii="仿宋_GB2312" w:hAnsi="仿宋_GB2312" w:eastAsia="仿宋_GB2312" w:cs="仿宋_GB2312"/>
                <w:color w:val="auto"/>
                <w:sz w:val="28"/>
                <w:szCs w:val="28"/>
                <w:lang w:val="en-US" w:eastAsia="zh-CN"/>
              </w:rPr>
            </w:pPr>
          </w:p>
        </w:tc>
        <w:tc>
          <w:tcPr>
            <w:tcW w:w="2590" w:type="dxa"/>
            <w:gridSpan w:val="3"/>
            <w:vAlign w:val="center"/>
          </w:tcPr>
          <w:p w14:paraId="743E500D">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2"/>
                <w:sz w:val="28"/>
                <w:szCs w:val="28"/>
                <w:u w:val="none"/>
                <w:lang w:val="en-US" w:eastAsia="zh-CN" w:bidi="ar-SA"/>
              </w:rPr>
              <w:t>标准化人才培养</w:t>
            </w:r>
          </w:p>
        </w:tc>
        <w:tc>
          <w:tcPr>
            <w:tcW w:w="4590" w:type="dxa"/>
            <w:vAlign w:val="center"/>
          </w:tcPr>
          <w:p w14:paraId="5462B72F">
            <w:pPr>
              <w:pStyle w:val="2"/>
              <w:spacing w:line="400" w:lineRule="exact"/>
              <w:jc w:val="both"/>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组织专业技术培训500人次。</w:t>
            </w:r>
          </w:p>
        </w:tc>
      </w:tr>
      <w:tr w14:paraId="6598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776" w:type="dxa"/>
            <w:gridSpan w:val="5"/>
            <w:vAlign w:val="center"/>
          </w:tcPr>
          <w:p w14:paraId="58F30987">
            <w:pPr>
              <w:pStyle w:val="2"/>
              <w:spacing w:line="400" w:lineRule="exact"/>
              <w:jc w:val="center"/>
              <w:rPr>
                <w:rFonts w:ascii="楷体_GB2312" w:hAnsi="黑体" w:eastAsia="楷体_GB2312" w:cs="Times New Roman"/>
                <w:color w:val="auto"/>
                <w:sz w:val="32"/>
                <w:szCs w:val="32"/>
              </w:rPr>
            </w:pPr>
            <w:r>
              <w:rPr>
                <w:rFonts w:hint="eastAsia" w:ascii="黑体" w:hAnsi="黑体" w:eastAsia="黑体" w:cs="宋体"/>
                <w:b w:val="0"/>
                <w:bCs w:val="0"/>
                <w:color w:val="auto"/>
                <w:kern w:val="0"/>
                <w:sz w:val="28"/>
                <w:szCs w:val="28"/>
              </w:rPr>
              <w:t>专栏</w:t>
            </w:r>
            <w:r>
              <w:rPr>
                <w:rFonts w:hint="eastAsia" w:ascii="黑体" w:hAnsi="黑体" w:eastAsia="黑体" w:cs="宋体"/>
                <w:b w:val="0"/>
                <w:bCs w:val="0"/>
                <w:color w:val="auto"/>
                <w:kern w:val="0"/>
                <w:sz w:val="28"/>
                <w:szCs w:val="28"/>
                <w:lang w:val="en-US" w:eastAsia="zh-CN"/>
              </w:rPr>
              <w:t>5</w:t>
            </w:r>
            <w:r>
              <w:rPr>
                <w:rFonts w:hint="eastAsia" w:ascii="宋体" w:hAnsi="宋体" w:eastAsia="宋体" w:cs="宋体"/>
                <w:b w:val="0"/>
                <w:bCs w:val="0"/>
                <w:color w:val="auto"/>
                <w:kern w:val="0"/>
                <w:sz w:val="28"/>
                <w:szCs w:val="28"/>
              </w:rPr>
              <w:t> </w:t>
            </w:r>
            <w:r>
              <w:rPr>
                <w:rFonts w:hint="eastAsia" w:ascii="黑体" w:hAnsi="黑体" w:eastAsia="黑体" w:cs="宋体"/>
                <w:b w:val="0"/>
                <w:bCs w:val="0"/>
                <w:color w:val="auto"/>
                <w:kern w:val="0"/>
                <w:sz w:val="28"/>
                <w:szCs w:val="28"/>
              </w:rPr>
              <w:t>质量基础设施（NQI）重点建设项目</w:t>
            </w:r>
          </w:p>
        </w:tc>
      </w:tr>
      <w:tr w14:paraId="4468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94" w:type="dxa"/>
            <w:gridSpan w:val="2"/>
            <w:vAlign w:val="center"/>
          </w:tcPr>
          <w:p w14:paraId="1DF0698B">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级别/等级</w:t>
            </w:r>
          </w:p>
        </w:tc>
        <w:tc>
          <w:tcPr>
            <w:tcW w:w="1804" w:type="dxa"/>
            <w:vAlign w:val="center"/>
          </w:tcPr>
          <w:p w14:paraId="095D91BF">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项目名称</w:t>
            </w:r>
          </w:p>
        </w:tc>
        <w:tc>
          <w:tcPr>
            <w:tcW w:w="5278" w:type="dxa"/>
            <w:gridSpan w:val="2"/>
            <w:vAlign w:val="center"/>
          </w:tcPr>
          <w:p w14:paraId="2EE89422">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建设任务</w:t>
            </w:r>
          </w:p>
        </w:tc>
      </w:tr>
      <w:tr w14:paraId="3B70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exact"/>
          <w:jc w:val="center"/>
        </w:trPr>
        <w:tc>
          <w:tcPr>
            <w:tcW w:w="1694" w:type="dxa"/>
            <w:gridSpan w:val="2"/>
            <w:vAlign w:val="center"/>
          </w:tcPr>
          <w:p w14:paraId="622DA0E4">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28"/>
                <w:szCs w:val="28"/>
              </w:rPr>
              <w:t>国家</w:t>
            </w:r>
            <w:r>
              <w:rPr>
                <w:rFonts w:hint="eastAsia" w:ascii="仿宋_GB2312" w:hAnsi="仿宋_GB2312" w:eastAsia="仿宋_GB2312" w:cs="仿宋_GB2312"/>
                <w:b w:val="0"/>
                <w:bCs w:val="0"/>
                <w:color w:val="auto"/>
                <w:sz w:val="28"/>
                <w:szCs w:val="28"/>
                <w:lang w:eastAsia="zh-CN"/>
              </w:rPr>
              <w:t>级</w:t>
            </w:r>
            <w:r>
              <w:rPr>
                <w:rFonts w:hint="eastAsia" w:ascii="仿宋_GB2312" w:hAnsi="仿宋_GB2312" w:eastAsia="仿宋_GB2312" w:cs="仿宋_GB2312"/>
                <w:b w:val="0"/>
                <w:bCs w:val="0"/>
                <w:color w:val="auto"/>
                <w:sz w:val="28"/>
                <w:szCs w:val="28"/>
              </w:rPr>
              <w:t>质检中心建设</w:t>
            </w:r>
          </w:p>
        </w:tc>
        <w:tc>
          <w:tcPr>
            <w:tcW w:w="1804" w:type="dxa"/>
            <w:vAlign w:val="center"/>
          </w:tcPr>
          <w:p w14:paraId="41FF2BDB">
            <w:pPr>
              <w:pStyle w:val="2"/>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28"/>
                <w:szCs w:val="28"/>
              </w:rPr>
              <w:t>国家茶及茶制品产品质量检验检测中心</w:t>
            </w:r>
          </w:p>
        </w:tc>
        <w:tc>
          <w:tcPr>
            <w:tcW w:w="5278" w:type="dxa"/>
            <w:gridSpan w:val="2"/>
            <w:vAlign w:val="center"/>
          </w:tcPr>
          <w:p w14:paraId="7FC94F95">
            <w:pPr>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28"/>
                <w:szCs w:val="28"/>
              </w:rPr>
              <w:t>申请批筹建设国家茶及茶制品产品质量检验检测中心，</w:t>
            </w:r>
            <w:r>
              <w:rPr>
                <w:rFonts w:hint="eastAsia" w:ascii="仿宋_GB2312" w:hAnsi="仿宋_GB2312" w:eastAsia="仿宋_GB2312" w:cs="仿宋_GB2312"/>
                <w:b w:val="0"/>
                <w:bCs w:val="0"/>
                <w:strike w:val="0"/>
                <w:dstrike w:val="0"/>
                <w:color w:val="auto"/>
                <w:sz w:val="28"/>
                <w:szCs w:val="28"/>
                <w:lang w:eastAsia="zh-CN"/>
              </w:rPr>
              <w:t>为</w:t>
            </w:r>
            <w:r>
              <w:rPr>
                <w:rFonts w:hint="eastAsia" w:ascii="仿宋_GB2312" w:hAnsi="仿宋_GB2312" w:eastAsia="仿宋_GB2312" w:cs="仿宋_GB2312"/>
                <w:b w:val="0"/>
                <w:bCs w:val="0"/>
                <w:color w:val="auto"/>
                <w:sz w:val="28"/>
                <w:szCs w:val="28"/>
              </w:rPr>
              <w:t>安徽省及周边茶叶产区的产品质量安全</w:t>
            </w:r>
            <w:r>
              <w:rPr>
                <w:rFonts w:hint="eastAsia" w:ascii="仿宋_GB2312" w:hAnsi="仿宋_GB2312" w:eastAsia="仿宋_GB2312" w:cs="仿宋_GB2312"/>
                <w:b w:val="0"/>
                <w:bCs w:val="0"/>
                <w:strike w:val="0"/>
                <w:dstrike w:val="0"/>
                <w:color w:val="auto"/>
                <w:sz w:val="28"/>
                <w:szCs w:val="28"/>
                <w:lang w:eastAsia="zh-CN"/>
              </w:rPr>
              <w:t>提供</w:t>
            </w:r>
            <w:r>
              <w:rPr>
                <w:rFonts w:hint="eastAsia" w:ascii="仿宋_GB2312" w:hAnsi="仿宋_GB2312" w:eastAsia="仿宋_GB2312" w:cs="仿宋_GB2312"/>
                <w:b w:val="0"/>
                <w:bCs w:val="0"/>
                <w:color w:val="auto"/>
                <w:sz w:val="28"/>
                <w:szCs w:val="28"/>
              </w:rPr>
              <w:t>技术支撑</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以科技创新、标准体系建设、科技成果转化实现茶资源高值利用，推动我市实现传统茶产业向现代茶产业的跨越。</w:t>
            </w:r>
          </w:p>
        </w:tc>
      </w:tr>
      <w:tr w14:paraId="26A2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exact"/>
          <w:jc w:val="center"/>
        </w:trPr>
        <w:tc>
          <w:tcPr>
            <w:tcW w:w="1694" w:type="dxa"/>
            <w:gridSpan w:val="2"/>
            <w:vAlign w:val="center"/>
          </w:tcPr>
          <w:p w14:paraId="0BA8F392">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省级质检</w:t>
            </w:r>
          </w:p>
          <w:p w14:paraId="3D001080">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中心建设</w:t>
            </w:r>
          </w:p>
        </w:tc>
        <w:tc>
          <w:tcPr>
            <w:tcW w:w="1804" w:type="dxa"/>
            <w:vAlign w:val="center"/>
          </w:tcPr>
          <w:p w14:paraId="72531F42">
            <w:pPr>
              <w:pStyle w:val="2"/>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安徽省霍山石斛中药材产品质量检验检测中心</w:t>
            </w:r>
          </w:p>
        </w:tc>
        <w:tc>
          <w:tcPr>
            <w:tcW w:w="5278" w:type="dxa"/>
            <w:gridSpan w:val="2"/>
            <w:vAlign w:val="center"/>
          </w:tcPr>
          <w:p w14:paraId="4DEF9604">
            <w:pPr>
              <w:pStyle w:val="2"/>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建成安徽省霍山石斛中药材产品质量检验检测中心，进一步提升霍山县中药材及中药饮片检验检测能力，解决长期以来困扰中药材产业发展的技术瓶颈，填补当地中药材检验检测机构的空白。</w:t>
            </w:r>
          </w:p>
        </w:tc>
      </w:tr>
      <w:tr w14:paraId="1FB0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exact"/>
          <w:jc w:val="center"/>
        </w:trPr>
        <w:tc>
          <w:tcPr>
            <w:tcW w:w="1694" w:type="dxa"/>
            <w:gridSpan w:val="2"/>
            <w:vAlign w:val="center"/>
          </w:tcPr>
          <w:p w14:paraId="0C778628">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省级质检</w:t>
            </w:r>
          </w:p>
          <w:p w14:paraId="2FA92499">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中心建设</w:t>
            </w:r>
          </w:p>
        </w:tc>
        <w:tc>
          <w:tcPr>
            <w:tcW w:w="1804" w:type="dxa"/>
            <w:vAlign w:val="center"/>
          </w:tcPr>
          <w:p w14:paraId="75CA4BB3">
            <w:pPr>
              <w:pStyle w:val="2"/>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安徽省家具及板材产品质量检验检测中心</w:t>
            </w:r>
          </w:p>
        </w:tc>
        <w:tc>
          <w:tcPr>
            <w:tcW w:w="5278" w:type="dxa"/>
            <w:gridSpan w:val="2"/>
            <w:vAlign w:val="center"/>
          </w:tcPr>
          <w:p w14:paraId="4D10BBD8">
            <w:pPr>
              <w:pStyle w:val="2"/>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申请批筹建设安徽省家具及板材产品质量检验检测中心，进一步推动家具及板材产业发展，完善质量安全检测体系，推动区域产业转型升级，促进我省乃至全国家具及板材相关产业的快速发展。</w:t>
            </w:r>
          </w:p>
        </w:tc>
      </w:tr>
    </w:tbl>
    <w:p w14:paraId="3FF2EBA7">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hAnsi="Times New Roman" w:eastAsia="楷体_GB2312"/>
          <w:color w:val="auto"/>
          <w:sz w:val="32"/>
          <w:szCs w:val="32"/>
        </w:rPr>
      </w:pPr>
      <w:r>
        <w:rPr>
          <w:rFonts w:hint="eastAsia" w:ascii="楷体_GB2312" w:hAnsi="黑体" w:eastAsia="楷体_GB2312"/>
          <w:bCs/>
          <w:color w:val="auto"/>
          <w:sz w:val="32"/>
          <w:szCs w:val="32"/>
        </w:rPr>
        <w:t>（四）深化知识产权强市建设</w:t>
      </w:r>
    </w:p>
    <w:p w14:paraId="2FF1155F">
      <w:pPr>
        <w:pStyle w:val="6"/>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仿宋_GB2312" w:eastAsia="仿宋_GB2312"/>
          <w:color w:val="auto"/>
          <w:sz w:val="32"/>
          <w:szCs w:val="32"/>
          <w:u w:val="none"/>
        </w:rPr>
      </w:pPr>
      <w:r>
        <w:rPr>
          <w:rFonts w:hint="eastAsia" w:ascii="仿宋_GB2312" w:hAnsi="Times New Roman" w:eastAsia="仿宋_GB2312"/>
          <w:b/>
          <w:bCs/>
          <w:color w:val="auto"/>
          <w:sz w:val="32"/>
          <w:szCs w:val="32"/>
        </w:rPr>
        <w:t>促进知识产权高质量创造。</w:t>
      </w:r>
      <w:r>
        <w:rPr>
          <w:rFonts w:ascii="Times New Roman" w:hAnsi="仿宋_GB2312" w:eastAsia="仿宋_GB2312"/>
          <w:color w:val="auto"/>
          <w:sz w:val="32"/>
          <w:szCs w:val="32"/>
        </w:rPr>
        <w:t>完善引导知识产权高质量发展的培育体系，优化知识产权考核和激励机制，</w:t>
      </w:r>
      <w:r>
        <w:rPr>
          <w:rFonts w:hint="eastAsia" w:ascii="Times New Roman" w:hAnsi="仿宋_GB2312" w:eastAsia="仿宋_GB2312"/>
          <w:color w:val="auto"/>
          <w:sz w:val="32"/>
          <w:szCs w:val="32"/>
          <w:lang w:eastAsia="zh-CN"/>
        </w:rPr>
        <w:t>加强</w:t>
      </w:r>
      <w:r>
        <w:rPr>
          <w:rFonts w:ascii="Times New Roman" w:hAnsi="仿宋_GB2312" w:eastAsia="仿宋_GB2312"/>
          <w:color w:val="auto"/>
          <w:sz w:val="32"/>
          <w:szCs w:val="32"/>
        </w:rPr>
        <w:t>知识产权资助资金的使用管理</w:t>
      </w:r>
      <w:r>
        <w:rPr>
          <w:rFonts w:hint="eastAsia" w:ascii="Times New Roman" w:hAnsi="仿宋_GB2312" w:eastAsia="仿宋_GB2312"/>
          <w:color w:val="auto"/>
          <w:sz w:val="32"/>
          <w:szCs w:val="32"/>
          <w:lang w:eastAsia="zh-CN"/>
        </w:rPr>
        <w:t>，</w:t>
      </w:r>
      <w:r>
        <w:rPr>
          <w:rFonts w:ascii="Times New Roman" w:hAnsi="仿宋_GB2312" w:eastAsia="仿宋_GB2312"/>
          <w:color w:val="auto"/>
          <w:sz w:val="32"/>
          <w:szCs w:val="32"/>
        </w:rPr>
        <w:t>财政按规定设置市级知识产权和质量工作专项资金。围绕我市重点产业和区域优势特色产业，培育一批国内竞争力强、具有较强前瞻性、能够引领产业发展的高价值专利</w:t>
      </w:r>
      <w:r>
        <w:rPr>
          <w:rFonts w:hint="eastAsia" w:ascii="Times New Roman" w:hAnsi="仿宋_GB2312" w:eastAsia="仿宋_GB2312"/>
          <w:color w:val="auto"/>
          <w:sz w:val="32"/>
          <w:szCs w:val="32"/>
          <w:lang w:eastAsia="zh-CN"/>
        </w:rPr>
        <w:t>和专利组合</w:t>
      </w:r>
      <w:r>
        <w:rPr>
          <w:rFonts w:ascii="Times New Roman" w:hAnsi="仿宋_GB2312" w:eastAsia="仿宋_GB2312"/>
          <w:color w:val="auto"/>
          <w:sz w:val="32"/>
          <w:szCs w:val="32"/>
          <w:u w:val="none"/>
        </w:rPr>
        <w:t>。</w:t>
      </w:r>
      <w:r>
        <w:rPr>
          <w:rFonts w:hint="eastAsia" w:ascii="仿宋_GB2312" w:hAnsi="仿宋_GB2312" w:eastAsia="仿宋_GB2312" w:cs="仿宋_GB2312"/>
          <w:color w:val="auto"/>
          <w:sz w:val="32"/>
          <w:szCs w:val="32"/>
          <w:u w:val="none"/>
        </w:rPr>
        <w:t>争取到2025年，全市每万人口拥有高价值发明专利数达到3.5件</w:t>
      </w:r>
      <w:r>
        <w:rPr>
          <w:rFonts w:hint="eastAsia" w:ascii="仿宋_GB2312" w:hAnsi="仿宋_GB2312" w:eastAsia="仿宋_GB2312" w:cs="仿宋_GB2312"/>
          <w:color w:val="auto"/>
          <w:sz w:val="32"/>
          <w:szCs w:val="32"/>
          <w:u w:val="none"/>
          <w:lang w:eastAsia="zh-CN"/>
        </w:rPr>
        <w:t>，商标有效注册量突破</w:t>
      </w:r>
      <w:r>
        <w:rPr>
          <w:rFonts w:hint="eastAsia" w:ascii="仿宋_GB2312" w:hAnsi="仿宋_GB2312" w:eastAsia="仿宋_GB2312" w:cs="仿宋_GB2312"/>
          <w:color w:val="auto"/>
          <w:sz w:val="32"/>
          <w:szCs w:val="32"/>
          <w:u w:val="none"/>
          <w:lang w:val="en-US" w:eastAsia="zh-CN"/>
        </w:rPr>
        <w:t>10万件。</w:t>
      </w:r>
      <w:r>
        <w:rPr>
          <w:rFonts w:hint="eastAsia" w:ascii="仿宋_GB2312" w:hAnsi="仿宋_GB2312" w:eastAsia="仿宋_GB2312" w:cs="仿宋_GB2312"/>
          <w:bCs/>
          <w:color w:val="auto"/>
          <w:sz w:val="32"/>
          <w:szCs w:val="32"/>
          <w:u w:val="none"/>
        </w:rPr>
        <w:t>积极参加中国区域品牌价值评价，提升六安区域品牌影响力。</w:t>
      </w:r>
      <w:r>
        <w:rPr>
          <w:rFonts w:hint="eastAsia" w:ascii="仿宋_GB2312" w:hAnsi="仿宋_GB2312" w:eastAsia="仿宋_GB2312" w:cs="仿宋_GB2312"/>
          <w:color w:val="auto"/>
          <w:kern w:val="0"/>
          <w:sz w:val="32"/>
          <w:szCs w:val="32"/>
          <w:u w:val="none"/>
          <w:lang w:val="en-US" w:eastAsia="zh-CN"/>
        </w:rPr>
        <w:t>开展省专业商标品牌基地推介工作，</w:t>
      </w:r>
      <w:r>
        <w:rPr>
          <w:rFonts w:hint="eastAsia" w:ascii="仿宋_GB2312" w:hAnsi="仿宋_GB2312" w:eastAsia="仿宋_GB2312" w:cs="仿宋_GB2312"/>
          <w:bCs/>
          <w:color w:val="auto"/>
          <w:sz w:val="32"/>
          <w:szCs w:val="32"/>
          <w:u w:val="none"/>
        </w:rPr>
        <w:t>认定一批六安市乡土特色产品品牌，新增安徽省专业商标品牌基地10个，总数不低于17个。</w:t>
      </w:r>
      <w:r>
        <w:rPr>
          <w:rFonts w:hint="eastAsia" w:ascii="仿宋_GB2312" w:hAnsi="仿宋_GB2312" w:eastAsia="仿宋_GB2312" w:cs="仿宋_GB2312"/>
          <w:color w:val="auto"/>
          <w:sz w:val="32"/>
          <w:szCs w:val="32"/>
          <w:u w:val="none"/>
        </w:rPr>
        <w:t>推动</w:t>
      </w:r>
      <w:r>
        <w:rPr>
          <w:rFonts w:ascii="Times New Roman" w:hAnsi="仿宋_GB2312" w:eastAsia="仿宋_GB2312"/>
          <w:color w:val="auto"/>
          <w:sz w:val="32"/>
          <w:szCs w:val="32"/>
          <w:u w:val="none"/>
        </w:rPr>
        <w:t>产业核心技术创造。</w:t>
      </w:r>
      <w:r>
        <w:rPr>
          <w:rFonts w:hint="eastAsia" w:ascii="Times New Roman" w:hAnsi="仿宋_GB2312" w:eastAsia="仿宋_GB2312"/>
          <w:color w:val="auto"/>
          <w:sz w:val="32"/>
          <w:szCs w:val="32"/>
          <w:u w:val="none"/>
          <w:lang w:eastAsia="zh-CN"/>
        </w:rPr>
        <w:t>加强市级重大科技研发、自然科学基金等项目知识产权管理，强化知识产权分析、预警、布局，提升科技项目研发绩效和产出质量，</w:t>
      </w:r>
      <w:r>
        <w:rPr>
          <w:rFonts w:ascii="Times New Roman" w:hAnsi="仿宋_GB2312" w:eastAsia="仿宋_GB2312"/>
          <w:color w:val="auto"/>
          <w:sz w:val="32"/>
          <w:szCs w:val="32"/>
          <w:u w:val="none"/>
        </w:rPr>
        <w:t>形成一批核心自主知识产权。</w:t>
      </w:r>
    </w:p>
    <w:p w14:paraId="27360AB5">
      <w:pPr>
        <w:pStyle w:val="6"/>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cs="Times New Roman"/>
          <w:bCs/>
          <w:color w:val="auto"/>
          <w:kern w:val="2"/>
          <w:sz w:val="32"/>
          <w:szCs w:val="32"/>
          <w:u w:val="none"/>
          <w:lang w:val="en-US" w:eastAsia="zh-CN" w:bidi="ar-SA"/>
        </w:rPr>
      </w:pPr>
      <w:r>
        <w:rPr>
          <w:rFonts w:ascii="仿宋_GB2312" w:hAnsi="Times New Roman" w:eastAsia="仿宋_GB2312" w:cs="Times New Roman"/>
          <w:b/>
          <w:bCs/>
          <w:color w:val="auto"/>
          <w:sz w:val="32"/>
          <w:szCs w:val="32"/>
          <w:u w:val="none"/>
        </w:rPr>
        <w:t>强化知识产权全链条保护</w:t>
      </w:r>
      <w:r>
        <w:rPr>
          <w:rFonts w:hint="eastAsia" w:ascii="仿宋_GB2312" w:hAnsi="Times New Roman" w:eastAsia="仿宋_GB2312" w:cs="Times New Roman"/>
          <w:b/>
          <w:bCs/>
          <w:color w:val="auto"/>
          <w:sz w:val="32"/>
          <w:szCs w:val="32"/>
          <w:u w:val="none"/>
        </w:rPr>
        <w:t>。</w:t>
      </w:r>
      <w:r>
        <w:rPr>
          <w:rFonts w:hint="eastAsia" w:ascii="仿宋_GB2312" w:hAnsi="仿宋_GB2312" w:eastAsia="仿宋_GB2312" w:cs="仿宋_GB2312"/>
          <w:color w:val="auto"/>
          <w:kern w:val="0"/>
          <w:sz w:val="32"/>
          <w:szCs w:val="32"/>
          <w:u w:val="none"/>
          <w:lang w:eastAsia="zh-CN"/>
        </w:rPr>
        <w:t>实</w:t>
      </w:r>
      <w:r>
        <w:rPr>
          <w:rFonts w:hint="eastAsia" w:ascii="Times New Roman" w:hAnsi="Times New Roman" w:eastAsia="仿宋_GB2312" w:cs="Times New Roman"/>
          <w:bCs/>
          <w:color w:val="auto"/>
          <w:kern w:val="2"/>
          <w:sz w:val="32"/>
          <w:szCs w:val="32"/>
          <w:u w:val="none"/>
          <w:lang w:val="en-US" w:eastAsia="zh-CN" w:bidi="ar-SA"/>
        </w:rPr>
        <w:t>施知识产权保护“一件事”集成改革工程。贯彻落实</w:t>
      </w:r>
      <w:r>
        <w:rPr>
          <w:rFonts w:ascii="Times New Roman" w:hAnsi="Times New Roman" w:eastAsia="仿宋_GB2312" w:cs="Times New Roman"/>
          <w:bCs/>
          <w:color w:val="auto"/>
          <w:kern w:val="2"/>
          <w:sz w:val="32"/>
          <w:szCs w:val="32"/>
          <w:u w:val="none"/>
          <w:lang w:val="en-US" w:eastAsia="zh-CN" w:bidi="ar-SA"/>
        </w:rPr>
        <w:t>《关于强化知识产权保护工作的实施方案》，建立市、县区知识产权维权援助中心和调解委员会，完善知识产权纠纷多元化解机制。</w:t>
      </w:r>
      <w:r>
        <w:rPr>
          <w:rFonts w:hint="eastAsia" w:ascii="Times New Roman" w:hAnsi="Times New Roman" w:eastAsia="仿宋_GB2312" w:cs="Times New Roman"/>
          <w:bCs/>
          <w:color w:val="auto"/>
          <w:kern w:val="2"/>
          <w:sz w:val="32"/>
          <w:szCs w:val="32"/>
          <w:u w:val="none"/>
          <w:lang w:val="en-US" w:eastAsia="zh-CN" w:bidi="ar-SA"/>
        </w:rPr>
        <w:t>建设知识产权维权</w:t>
      </w:r>
      <w:r>
        <w:rPr>
          <w:rFonts w:hint="eastAsia" w:ascii="仿宋_GB2312" w:hAnsi="仿宋_GB2312" w:eastAsia="仿宋_GB2312" w:cs="仿宋_GB2312"/>
          <w:bCs/>
          <w:color w:val="auto"/>
          <w:kern w:val="2"/>
          <w:sz w:val="32"/>
          <w:szCs w:val="32"/>
          <w:u w:val="none"/>
          <w:lang w:val="en-US" w:eastAsia="zh-CN" w:bidi="ar-SA"/>
        </w:rPr>
        <w:t>工作站3</w:t>
      </w:r>
      <w:r>
        <w:rPr>
          <w:rFonts w:hint="eastAsia" w:ascii="Times New Roman" w:hAnsi="Times New Roman" w:eastAsia="仿宋_GB2312" w:cs="Times New Roman"/>
          <w:bCs/>
          <w:color w:val="auto"/>
          <w:kern w:val="2"/>
          <w:sz w:val="32"/>
          <w:szCs w:val="32"/>
          <w:u w:val="none"/>
          <w:lang w:val="en-US" w:eastAsia="zh-CN" w:bidi="ar-SA"/>
        </w:rPr>
        <w:t>家以上，推进专利侵权行政裁决工作，实现各县区行政裁决</w:t>
      </w:r>
      <w:r>
        <w:rPr>
          <w:rFonts w:hint="eastAsia" w:ascii="Times New Roman" w:hAnsi="Times New Roman" w:eastAsia="仿宋_GB2312" w:cs="Times New Roman"/>
          <w:bCs/>
          <w:strike w:val="0"/>
          <w:dstrike w:val="0"/>
          <w:color w:val="auto"/>
          <w:kern w:val="2"/>
          <w:sz w:val="32"/>
          <w:szCs w:val="32"/>
          <w:u w:val="none"/>
          <w:lang w:val="en-US" w:eastAsia="zh-CN" w:bidi="ar-SA"/>
        </w:rPr>
        <w:t>纠纷调解</w:t>
      </w:r>
      <w:r>
        <w:rPr>
          <w:rFonts w:hint="eastAsia" w:ascii="Times New Roman" w:hAnsi="Times New Roman" w:eastAsia="仿宋_GB2312" w:cs="Times New Roman"/>
          <w:bCs/>
          <w:color w:val="auto"/>
          <w:kern w:val="2"/>
          <w:sz w:val="32"/>
          <w:szCs w:val="32"/>
          <w:u w:val="none"/>
          <w:lang w:val="en-US" w:eastAsia="zh-CN" w:bidi="ar-SA"/>
        </w:rPr>
        <w:t>全覆盖。</w:t>
      </w:r>
      <w:r>
        <w:rPr>
          <w:rFonts w:ascii="Times New Roman" w:hAnsi="Times New Roman" w:eastAsia="仿宋_GB2312" w:cs="Times New Roman"/>
          <w:bCs/>
          <w:color w:val="auto"/>
          <w:kern w:val="2"/>
          <w:sz w:val="32"/>
          <w:szCs w:val="32"/>
          <w:u w:val="none"/>
          <w:lang w:val="en-US" w:eastAsia="zh-CN" w:bidi="ar-SA"/>
        </w:rPr>
        <w:t>建立完善从审查授权、行政执法、司法保护、仲裁调解、行业自律、公民诚信等环节的知识产权保护体系。充分挖掘我市特色名优产品，大力推进地理标志产品保护。积极做好霍山石斛、六安瓜片国家地理标志产品保护示范区申报工作。加强知识产权行政执法队伍建设，充实基层执法力量，加强专业人才交流培养，提升执法能力水平。开展电商、展会、驰名商标、涉农地理标志等重点领域知识产权保护专项行动。健全跨部门跨地区执法保护协作机制，深化区域知识产权保护协作。抓好专利侵权案件办理和专利执法维权力度。推进建立知识产权以信用为基础的分级分类监管模式。加强知识产权代理机构监管，严厉打击“黑代理”和不正当知识产权申请行为。</w:t>
      </w:r>
    </w:p>
    <w:p w14:paraId="121908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仿宋_GB2312" w:eastAsia="仿宋_GB2312" w:cs="Times New Roman"/>
          <w:bCs/>
          <w:color w:val="auto"/>
          <w:sz w:val="32"/>
          <w:szCs w:val="32"/>
        </w:rPr>
      </w:pPr>
      <w:r>
        <w:rPr>
          <w:rFonts w:ascii="仿宋_GB2312" w:hAnsi="Times New Roman" w:eastAsia="仿宋_GB2312" w:cs="Times New Roman"/>
          <w:b/>
          <w:bCs/>
          <w:color w:val="auto"/>
          <w:sz w:val="32"/>
          <w:szCs w:val="32"/>
          <w:u w:val="none"/>
        </w:rPr>
        <w:t>提升知识产权运用能力</w:t>
      </w:r>
      <w:r>
        <w:rPr>
          <w:rFonts w:hint="eastAsia" w:ascii="仿宋_GB2312" w:hAnsi="Times New Roman" w:eastAsia="仿宋_GB2312" w:cs="Times New Roman"/>
          <w:b/>
          <w:bCs/>
          <w:color w:val="auto"/>
          <w:sz w:val="32"/>
          <w:szCs w:val="32"/>
          <w:u w:val="none"/>
        </w:rPr>
        <w:t>。</w:t>
      </w:r>
      <w:r>
        <w:rPr>
          <w:rFonts w:hint="eastAsia" w:ascii="Times New Roman" w:hAnsi="仿宋_GB2312" w:eastAsia="仿宋_GB2312" w:cs="Times New Roman"/>
          <w:bCs/>
          <w:color w:val="auto"/>
          <w:sz w:val="32"/>
          <w:szCs w:val="32"/>
          <w:u w:val="none"/>
        </w:rPr>
        <w:t>深化国有知识产权权益分配改革，加大职务发明激励</w:t>
      </w:r>
      <w:r>
        <w:rPr>
          <w:rFonts w:hint="eastAsia" w:ascii="Times New Roman" w:hAnsi="仿宋_GB2312" w:eastAsia="仿宋_GB2312" w:cs="Times New Roman"/>
          <w:bCs/>
          <w:color w:val="auto"/>
          <w:sz w:val="32"/>
          <w:szCs w:val="32"/>
        </w:rPr>
        <w:t>力度。依</w:t>
      </w:r>
      <w:r>
        <w:rPr>
          <w:rFonts w:ascii="Times New Roman" w:hAnsi="仿宋_GB2312" w:eastAsia="仿宋_GB2312" w:cs="Times New Roman"/>
          <w:bCs/>
          <w:color w:val="auto"/>
          <w:sz w:val="32"/>
          <w:szCs w:val="32"/>
        </w:rPr>
        <w:t>托市知识产权运营中心，为我市企业提供全方位的知识产权运营服务。</w:t>
      </w:r>
      <w:r>
        <w:rPr>
          <w:rFonts w:hint="eastAsia" w:ascii="Times New Roman" w:hAnsi="仿宋_GB2312" w:eastAsia="仿宋_GB2312" w:cs="Times New Roman"/>
          <w:bCs/>
          <w:color w:val="auto"/>
          <w:sz w:val="32"/>
          <w:szCs w:val="32"/>
        </w:rPr>
        <w:t>推动在我市新兴产业、高校和科研院所建立知识产权运营机构，培育、引进知识产权运营专业化人才，提升知识产权转化效率。推动知识产权金融服务创新，推进知识产权证券化，健全知识产权质押融资服务体系。加强知识产权强市、强县</w:t>
      </w:r>
      <w:r>
        <w:rPr>
          <w:rFonts w:hint="eastAsia" w:ascii="Times New Roman" w:hAnsi="仿宋_GB2312" w:eastAsia="仿宋_GB2312" w:cs="Times New Roman"/>
          <w:bCs/>
          <w:color w:val="auto"/>
          <w:sz w:val="32"/>
          <w:szCs w:val="32"/>
          <w:lang w:val="en-US" w:eastAsia="zh-CN"/>
        </w:rPr>
        <w:t>（园区）</w:t>
      </w:r>
      <w:r>
        <w:rPr>
          <w:rFonts w:hint="eastAsia" w:ascii="Times New Roman" w:hAnsi="仿宋_GB2312" w:eastAsia="仿宋_GB2312" w:cs="Times New Roman"/>
          <w:bCs/>
          <w:color w:val="auto"/>
          <w:sz w:val="32"/>
          <w:szCs w:val="32"/>
        </w:rPr>
        <w:t>建设，建立国家、省、市三级知识产权优势示范企业培育体系。深入实施中小企业知识产权战略推进工程，打造一批具有国际竞争优势的知识产权强企。</w:t>
      </w:r>
      <w:r>
        <w:rPr>
          <w:rFonts w:hint="eastAsia" w:ascii="Times New Roman" w:hAnsi="仿宋_GB2312" w:eastAsia="仿宋_GB2312" w:cs="Times New Roman"/>
          <w:bCs/>
          <w:color w:val="auto"/>
          <w:sz w:val="32"/>
          <w:szCs w:val="32"/>
          <w:lang w:eastAsia="zh-CN"/>
        </w:rPr>
        <w:t>推进地理标志运用促进工程融入</w:t>
      </w:r>
      <w:r>
        <w:rPr>
          <w:rFonts w:hint="eastAsia" w:ascii="Times New Roman" w:hAnsi="仿宋_GB2312" w:eastAsia="仿宋_GB2312" w:cs="Times New Roman"/>
          <w:bCs/>
          <w:color w:val="auto"/>
          <w:sz w:val="32"/>
          <w:szCs w:val="32"/>
        </w:rPr>
        <w:t>乡村振兴</w:t>
      </w:r>
      <w:r>
        <w:rPr>
          <w:rFonts w:hint="eastAsia" w:ascii="Times New Roman" w:hAnsi="仿宋_GB2312" w:eastAsia="仿宋_GB2312" w:cs="Times New Roman"/>
          <w:bCs/>
          <w:color w:val="auto"/>
          <w:sz w:val="32"/>
          <w:szCs w:val="32"/>
          <w:lang w:eastAsia="zh-CN"/>
        </w:rPr>
        <w:t>战略实施。</w:t>
      </w:r>
    </w:p>
    <w:p w14:paraId="317F7688">
      <w:pPr>
        <w:pStyle w:val="6"/>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宋体"/>
          <w:color w:val="auto"/>
          <w:kern w:val="0"/>
          <w:sz w:val="32"/>
          <w:szCs w:val="32"/>
        </w:rPr>
      </w:pPr>
      <w:r>
        <w:rPr>
          <w:rFonts w:ascii="仿宋_GB2312" w:hAnsi="Times New Roman" w:eastAsia="仿宋_GB2312"/>
          <w:b/>
          <w:bCs/>
          <w:color w:val="auto"/>
          <w:sz w:val="32"/>
          <w:szCs w:val="32"/>
        </w:rPr>
        <w:t>优化知识产权公共服务。</w:t>
      </w:r>
      <w:r>
        <w:rPr>
          <w:rFonts w:ascii="Times New Roman" w:hAnsi="仿宋_GB2312" w:eastAsia="仿宋_GB2312"/>
          <w:color w:val="auto"/>
          <w:sz w:val="32"/>
          <w:szCs w:val="32"/>
        </w:rPr>
        <w:t>深化知识产权领域</w:t>
      </w:r>
      <w:r>
        <w:rPr>
          <w:rFonts w:ascii="Times New Roman" w:hAnsi="Times New Roman" w:eastAsia="仿宋_GB2312"/>
          <w:color w:val="auto"/>
          <w:sz w:val="32"/>
          <w:szCs w:val="32"/>
        </w:rPr>
        <w:t>“</w:t>
      </w:r>
      <w:r>
        <w:rPr>
          <w:rFonts w:ascii="Times New Roman" w:hAnsi="仿宋_GB2312" w:eastAsia="仿宋_GB2312"/>
          <w:color w:val="auto"/>
          <w:sz w:val="32"/>
          <w:szCs w:val="32"/>
        </w:rPr>
        <w:t>放管服</w:t>
      </w:r>
      <w:r>
        <w:rPr>
          <w:rFonts w:ascii="Times New Roman" w:hAnsi="Times New Roman" w:eastAsia="仿宋_GB2312"/>
          <w:color w:val="auto"/>
          <w:sz w:val="32"/>
          <w:szCs w:val="32"/>
        </w:rPr>
        <w:t>”</w:t>
      </w:r>
      <w:r>
        <w:rPr>
          <w:rFonts w:ascii="Times New Roman" w:hAnsi="仿宋_GB2312" w:eastAsia="仿宋_GB2312"/>
          <w:color w:val="auto"/>
          <w:sz w:val="32"/>
          <w:szCs w:val="32"/>
        </w:rPr>
        <w:t>改革，优化商标受理窗口办理流程，提高办理质效。引导支持产业园区、试点示范园区、服务业集聚区建设差异化、特色化知识产权公共服务机构，推动知识产权公共服务与区域产业深度融合。</w:t>
      </w:r>
      <w:r>
        <w:rPr>
          <w:rFonts w:hint="eastAsia" w:ascii="仿宋_GB2312" w:hAnsi="Calibri" w:eastAsia="仿宋_GB2312" w:cs="宋体"/>
          <w:color w:val="auto"/>
          <w:kern w:val="0"/>
          <w:sz w:val="32"/>
          <w:szCs w:val="32"/>
        </w:rPr>
        <w:t>大力发展知识产权服务业，支持知识产权代理、法律、信息、咨询、运营服务向专业化、高水平发展。开展“蓝天”专项整治行动，加强知识产权服务业监管。</w:t>
      </w:r>
      <w:r>
        <w:rPr>
          <w:rFonts w:ascii="Times New Roman" w:hAnsi="仿宋_GB2312" w:eastAsia="仿宋_GB2312"/>
          <w:color w:val="auto"/>
          <w:sz w:val="32"/>
          <w:szCs w:val="32"/>
        </w:rPr>
        <w:t>加强知识产权专员队伍建设，形成专职与兼职相结合的知识产权人才队伍。深入推进我市知识产权公共服务融入长三角一体化发展，促进外部知识产权资源与六安发展需求有效对接。</w:t>
      </w:r>
      <w:r>
        <w:rPr>
          <w:rFonts w:hint="eastAsia" w:ascii="仿宋_GB2312" w:hAnsi="Calibri" w:eastAsia="仿宋_GB2312" w:cs="宋体"/>
          <w:color w:val="auto"/>
          <w:kern w:val="0"/>
          <w:sz w:val="32"/>
          <w:szCs w:val="32"/>
        </w:rPr>
        <w:t>大力弘扬知识产权文化，支持大中小学开展知识产权基础性普及教育。</w:t>
      </w:r>
    </w:p>
    <w:p w14:paraId="3F40D04A">
      <w:pPr>
        <w:pStyle w:val="6"/>
        <w:spacing w:line="560" w:lineRule="exact"/>
        <w:rPr>
          <w:rFonts w:hint="eastAsia" w:ascii="仿宋_GB2312" w:hAnsi="Calibri" w:eastAsia="仿宋_GB2312" w:cs="宋体"/>
          <w:color w:val="auto"/>
          <w:kern w:val="0"/>
          <w:sz w:val="32"/>
          <w:szCs w:val="32"/>
        </w:rPr>
      </w:pPr>
    </w:p>
    <w:p w14:paraId="38001148">
      <w:pPr>
        <w:pStyle w:val="6"/>
        <w:spacing w:line="560" w:lineRule="exact"/>
        <w:ind w:firstLine="643"/>
        <w:rPr>
          <w:rFonts w:hint="eastAsia" w:ascii="仿宋_GB2312" w:hAnsi="Calibri" w:eastAsia="仿宋_GB2312" w:cs="宋体"/>
          <w:color w:val="auto"/>
          <w:kern w:val="0"/>
          <w:sz w:val="32"/>
          <w:szCs w:val="32"/>
        </w:rPr>
      </w:pPr>
    </w:p>
    <w:tbl>
      <w:tblPr>
        <w:tblStyle w:val="14"/>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4967"/>
        <w:gridCol w:w="2289"/>
      </w:tblGrid>
      <w:tr w14:paraId="7C83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8950" w:type="dxa"/>
            <w:gridSpan w:val="3"/>
            <w:vAlign w:val="center"/>
          </w:tcPr>
          <w:p w14:paraId="57EB6E2A">
            <w:pPr>
              <w:pStyle w:val="2"/>
              <w:spacing w:line="400" w:lineRule="exact"/>
              <w:jc w:val="center"/>
              <w:rPr>
                <w:rFonts w:ascii="楷体_GB2312" w:hAnsi="黑体" w:eastAsia="楷体_GB2312" w:cs="Times New Roman"/>
                <w:color w:val="auto"/>
                <w:sz w:val="32"/>
                <w:szCs w:val="32"/>
              </w:rPr>
            </w:pPr>
            <w:r>
              <w:rPr>
                <w:rFonts w:hint="eastAsia" w:ascii="黑体" w:hAnsi="黑体" w:eastAsia="黑体" w:cs="宋体"/>
                <w:b w:val="0"/>
                <w:bCs w:val="0"/>
                <w:color w:val="auto"/>
                <w:kern w:val="0"/>
                <w:sz w:val="28"/>
                <w:szCs w:val="28"/>
                <w:lang w:eastAsia="zh-CN"/>
              </w:rPr>
              <w:t>专</w:t>
            </w:r>
            <w:r>
              <w:rPr>
                <w:rFonts w:hint="eastAsia" w:ascii="黑体" w:hAnsi="黑体" w:eastAsia="黑体" w:cs="宋体"/>
                <w:b w:val="0"/>
                <w:bCs w:val="0"/>
                <w:color w:val="auto"/>
                <w:kern w:val="0"/>
                <w:sz w:val="28"/>
                <w:szCs w:val="28"/>
              </w:rPr>
              <w:t>栏</w:t>
            </w:r>
            <w:r>
              <w:rPr>
                <w:rFonts w:hint="eastAsia" w:ascii="黑体" w:hAnsi="黑体" w:eastAsia="黑体" w:cs="宋体"/>
                <w:b w:val="0"/>
                <w:bCs w:val="0"/>
                <w:color w:val="auto"/>
                <w:kern w:val="0"/>
                <w:sz w:val="28"/>
                <w:szCs w:val="28"/>
                <w:lang w:val="en-US" w:eastAsia="zh-CN"/>
              </w:rPr>
              <w:t>6</w:t>
            </w:r>
            <w:r>
              <w:rPr>
                <w:rFonts w:hint="eastAsia" w:ascii="宋体" w:hAnsi="宋体" w:eastAsia="宋体" w:cs="宋体"/>
                <w:b w:val="0"/>
                <w:bCs w:val="0"/>
                <w:color w:val="auto"/>
                <w:kern w:val="0"/>
                <w:sz w:val="28"/>
                <w:szCs w:val="28"/>
              </w:rPr>
              <w:t> </w:t>
            </w:r>
            <w:r>
              <w:rPr>
                <w:rFonts w:hint="eastAsia" w:ascii="黑体" w:hAnsi="黑体" w:eastAsia="黑体" w:cs="宋体"/>
                <w:b w:val="0"/>
                <w:bCs w:val="0"/>
                <w:color w:val="auto"/>
                <w:kern w:val="0"/>
                <w:sz w:val="28"/>
                <w:szCs w:val="28"/>
                <w:lang w:eastAsia="zh-CN"/>
              </w:rPr>
              <w:t>知识产权发展</w:t>
            </w:r>
            <w:r>
              <w:rPr>
                <w:rFonts w:hint="eastAsia" w:ascii="黑体" w:hAnsi="黑体" w:eastAsia="黑体" w:cs="宋体"/>
                <w:b w:val="0"/>
                <w:bCs w:val="0"/>
                <w:color w:val="auto"/>
                <w:kern w:val="0"/>
                <w:sz w:val="28"/>
                <w:szCs w:val="28"/>
              </w:rPr>
              <w:t>重点项目</w:t>
            </w:r>
          </w:p>
        </w:tc>
      </w:tr>
      <w:tr w14:paraId="3154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694" w:type="dxa"/>
            <w:vAlign w:val="center"/>
          </w:tcPr>
          <w:p w14:paraId="1E44ED8A">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项目名称</w:t>
            </w:r>
          </w:p>
        </w:tc>
        <w:tc>
          <w:tcPr>
            <w:tcW w:w="4967" w:type="dxa"/>
            <w:vAlign w:val="center"/>
          </w:tcPr>
          <w:p w14:paraId="6035350A">
            <w:pPr>
              <w:pStyle w:val="2"/>
              <w:spacing w:line="4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 要 内 容</w:t>
            </w:r>
          </w:p>
        </w:tc>
        <w:tc>
          <w:tcPr>
            <w:tcW w:w="2289" w:type="dxa"/>
            <w:vAlign w:val="center"/>
          </w:tcPr>
          <w:p w14:paraId="7024D26C">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建设任务</w:t>
            </w:r>
          </w:p>
        </w:tc>
      </w:tr>
      <w:tr w14:paraId="16EF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exact"/>
          <w:jc w:val="center"/>
        </w:trPr>
        <w:tc>
          <w:tcPr>
            <w:tcW w:w="1694" w:type="dxa"/>
            <w:vAlign w:val="center"/>
          </w:tcPr>
          <w:p w14:paraId="2A61BE81">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高价值专利培育工程</w:t>
            </w:r>
          </w:p>
        </w:tc>
        <w:tc>
          <w:tcPr>
            <w:tcW w:w="4967" w:type="dxa"/>
            <w:vAlign w:val="center"/>
          </w:tcPr>
          <w:p w14:paraId="10E37B35">
            <w:pPr>
              <w:pStyle w:val="2"/>
              <w:spacing w:line="400" w:lineRule="exact"/>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rPr>
              <w:t>围绕</w:t>
            </w:r>
            <w:r>
              <w:rPr>
                <w:rFonts w:hint="eastAsia" w:ascii="仿宋_GB2312" w:hAnsi="仿宋_GB2312" w:eastAsia="仿宋_GB2312" w:cs="仿宋_GB2312"/>
                <w:b w:val="0"/>
                <w:bCs w:val="0"/>
                <w:color w:val="auto"/>
                <w:kern w:val="0"/>
                <w:sz w:val="28"/>
                <w:szCs w:val="28"/>
                <w:u w:val="none"/>
              </w:rPr>
              <w:t>六安</w:t>
            </w:r>
            <w:r>
              <w:rPr>
                <w:rFonts w:hint="eastAsia" w:ascii="仿宋_GB2312" w:hAnsi="仿宋_GB2312" w:eastAsia="仿宋_GB2312" w:cs="仿宋_GB2312"/>
                <w:b w:val="0"/>
                <w:bCs w:val="0"/>
                <w:color w:val="auto"/>
                <w:kern w:val="0"/>
                <w:sz w:val="28"/>
                <w:szCs w:val="28"/>
                <w:u w:val="none"/>
                <w:lang w:eastAsia="zh-CN"/>
              </w:rPr>
              <w:t>重</w:t>
            </w:r>
            <w:r>
              <w:rPr>
                <w:rFonts w:hint="eastAsia" w:ascii="仿宋_GB2312" w:hAnsi="仿宋_GB2312" w:eastAsia="仿宋_GB2312" w:cs="仿宋_GB2312"/>
                <w:b w:val="0"/>
                <w:bCs w:val="0"/>
                <w:color w:val="auto"/>
                <w:kern w:val="0"/>
                <w:sz w:val="28"/>
                <w:szCs w:val="28"/>
                <w:u w:val="none"/>
              </w:rPr>
              <w:t>大产业，</w:t>
            </w:r>
            <w:r>
              <w:rPr>
                <w:rFonts w:hint="eastAsia" w:ascii="仿宋_GB2312" w:hAnsi="仿宋_GB2312" w:eastAsia="仿宋_GB2312" w:cs="仿宋_GB2312"/>
                <w:b w:val="0"/>
                <w:bCs w:val="0"/>
                <w:color w:val="auto"/>
                <w:kern w:val="0"/>
                <w:sz w:val="28"/>
                <w:szCs w:val="28"/>
              </w:rPr>
              <w:t>聚焦重点攻关的关键核心技术和关键共性技术，</w:t>
            </w:r>
            <w:r>
              <w:rPr>
                <w:rFonts w:hint="eastAsia" w:ascii="仿宋_GB2312" w:hAnsi="仿宋_GB2312" w:eastAsia="仿宋_GB2312" w:cs="仿宋_GB2312"/>
                <w:b w:val="0"/>
                <w:bCs w:val="0"/>
                <w:color w:val="auto"/>
                <w:kern w:val="0"/>
                <w:sz w:val="28"/>
                <w:szCs w:val="28"/>
                <w:lang w:eastAsia="zh-CN"/>
              </w:rPr>
              <w:t>健全高价值发明专利创造支持政策，优化高价值发明专利考核评价机制，</w:t>
            </w:r>
            <w:r>
              <w:rPr>
                <w:rFonts w:hint="eastAsia" w:ascii="仿宋_GB2312" w:hAnsi="仿宋_GB2312" w:eastAsia="仿宋_GB2312" w:cs="仿宋_GB2312"/>
                <w:b w:val="0"/>
                <w:bCs w:val="0"/>
                <w:color w:val="auto"/>
                <w:kern w:val="0"/>
                <w:sz w:val="28"/>
                <w:szCs w:val="28"/>
              </w:rPr>
              <w:t>实施一批高价值专利培育项目，培育一批高价值专利和专利组合，打造一批高价值专利培育示范中心。</w:t>
            </w:r>
          </w:p>
        </w:tc>
        <w:tc>
          <w:tcPr>
            <w:tcW w:w="2289" w:type="dxa"/>
            <w:vAlign w:val="center"/>
          </w:tcPr>
          <w:p w14:paraId="40354D93">
            <w:pPr>
              <w:pStyle w:val="2"/>
              <w:spacing w:line="400" w:lineRule="exact"/>
              <w:jc w:val="left"/>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eastAsia="zh-CN"/>
              </w:rPr>
              <w:t>每万人口</w:t>
            </w:r>
            <w:r>
              <w:rPr>
                <w:rFonts w:hint="eastAsia" w:ascii="仿宋_GB2312" w:hAnsi="仿宋_GB2312" w:eastAsia="仿宋_GB2312" w:cs="仿宋_GB2312"/>
                <w:b w:val="0"/>
                <w:bCs w:val="0"/>
                <w:color w:val="auto"/>
                <w:kern w:val="0"/>
                <w:sz w:val="28"/>
                <w:szCs w:val="28"/>
                <w:lang w:val="en-US" w:eastAsia="zh-CN"/>
              </w:rPr>
              <w:t>高价值专利拥有量3.5件，高价值专利培育示范中心30个。</w:t>
            </w:r>
          </w:p>
        </w:tc>
      </w:tr>
      <w:tr w14:paraId="6BA1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exact"/>
          <w:jc w:val="center"/>
        </w:trPr>
        <w:tc>
          <w:tcPr>
            <w:tcW w:w="1694" w:type="dxa"/>
            <w:vAlign w:val="center"/>
          </w:tcPr>
          <w:p w14:paraId="73C2DA8D">
            <w:pPr>
              <w:pStyle w:val="2"/>
              <w:spacing w:line="40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rPr>
              <w:t>商标品牌建设工程</w:t>
            </w:r>
          </w:p>
        </w:tc>
        <w:tc>
          <w:tcPr>
            <w:tcW w:w="4967" w:type="dxa"/>
            <w:vAlign w:val="center"/>
          </w:tcPr>
          <w:p w14:paraId="48F91E76">
            <w:pPr>
              <w:widowControl/>
              <w:spacing w:line="48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bidi="ar-SA"/>
              </w:rPr>
              <w:t>深入实施商标品牌战略，打造具有较高社会影响力和市场竞争力的区域品牌，不断提升六安商标品牌的知名度和美誉度。</w:t>
            </w:r>
          </w:p>
        </w:tc>
        <w:tc>
          <w:tcPr>
            <w:tcW w:w="2289" w:type="dxa"/>
            <w:vAlign w:val="center"/>
          </w:tcPr>
          <w:p w14:paraId="34E08C78">
            <w:pPr>
              <w:pStyle w:val="2"/>
              <w:spacing w:line="400" w:lineRule="exact"/>
              <w:jc w:val="left"/>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eastAsia="zh-CN"/>
              </w:rPr>
              <w:t>新增注册商标</w:t>
            </w:r>
            <w:r>
              <w:rPr>
                <w:rFonts w:hint="eastAsia" w:ascii="仿宋_GB2312" w:hAnsi="仿宋_GB2312" w:eastAsia="仿宋_GB2312" w:cs="仿宋_GB2312"/>
                <w:b w:val="0"/>
                <w:bCs w:val="0"/>
                <w:color w:val="auto"/>
                <w:kern w:val="0"/>
                <w:sz w:val="28"/>
                <w:szCs w:val="28"/>
                <w:lang w:val="en-US" w:eastAsia="zh-CN"/>
              </w:rPr>
              <w:t>4万件，商标注册有效量突破10万件，新增驰名商标2件，总数突破20件。</w:t>
            </w:r>
          </w:p>
        </w:tc>
      </w:tr>
      <w:tr w14:paraId="55EA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exact"/>
          <w:jc w:val="center"/>
        </w:trPr>
        <w:tc>
          <w:tcPr>
            <w:tcW w:w="1694" w:type="dxa"/>
            <w:vAlign w:val="center"/>
          </w:tcPr>
          <w:p w14:paraId="729E7375">
            <w:pPr>
              <w:pStyle w:val="2"/>
              <w:spacing w:line="40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地理标志保护工程</w:t>
            </w:r>
          </w:p>
        </w:tc>
        <w:tc>
          <w:tcPr>
            <w:tcW w:w="4967" w:type="dxa"/>
            <w:vAlign w:val="center"/>
          </w:tcPr>
          <w:p w14:paraId="4FA84BCC">
            <w:pPr>
              <w:widowControl/>
              <w:spacing w:line="48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实施地理标志保护提升行动，建成霍山石斛国家地理标志产品保护示范区，积极参与省级地理标志保护示范区试点工作。</w:t>
            </w:r>
          </w:p>
        </w:tc>
        <w:tc>
          <w:tcPr>
            <w:tcW w:w="2289" w:type="dxa"/>
            <w:vAlign w:val="center"/>
          </w:tcPr>
          <w:p w14:paraId="39C5EA94">
            <w:pPr>
              <w:pStyle w:val="2"/>
              <w:spacing w:line="40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新增地标产品4件，总数达到15件，新增省级地理标志产品保护示范区2家。</w:t>
            </w:r>
          </w:p>
        </w:tc>
      </w:tr>
      <w:tr w14:paraId="74AE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exact"/>
          <w:jc w:val="center"/>
        </w:trPr>
        <w:tc>
          <w:tcPr>
            <w:tcW w:w="1694" w:type="dxa"/>
            <w:vAlign w:val="center"/>
          </w:tcPr>
          <w:p w14:paraId="7F98D1BF">
            <w:pPr>
              <w:pStyle w:val="2"/>
              <w:spacing w:line="40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专利导航</w:t>
            </w:r>
          </w:p>
          <w:p w14:paraId="49F0F222">
            <w:pPr>
              <w:pStyle w:val="2"/>
              <w:spacing w:line="40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工程</w:t>
            </w:r>
          </w:p>
        </w:tc>
        <w:tc>
          <w:tcPr>
            <w:tcW w:w="4967" w:type="dxa"/>
            <w:vAlign w:val="center"/>
          </w:tcPr>
          <w:p w14:paraId="3E6E4715">
            <w:pPr>
              <w:pStyle w:val="2"/>
              <w:spacing w:line="40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围绕我市传统优势产业和战略新兴产业，在重点区域、产业园区建立专利导航工作机制，建设专利导航服务基地，深化专利导航成果应用，建立重点产业专利导航工作对接机制，精准导航企业发展方向。</w:t>
            </w:r>
          </w:p>
        </w:tc>
        <w:tc>
          <w:tcPr>
            <w:tcW w:w="2289" w:type="dxa"/>
            <w:vAlign w:val="center"/>
          </w:tcPr>
          <w:p w14:paraId="0C15FB2A">
            <w:pPr>
              <w:pStyle w:val="2"/>
              <w:spacing w:line="400" w:lineRule="exact"/>
              <w:jc w:val="left"/>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推广《专利导航指南》国家标准，建设产业专题数据库。</w:t>
            </w:r>
          </w:p>
        </w:tc>
      </w:tr>
      <w:tr w14:paraId="1A35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exact"/>
          <w:jc w:val="center"/>
        </w:trPr>
        <w:tc>
          <w:tcPr>
            <w:tcW w:w="1694" w:type="dxa"/>
            <w:vAlign w:val="center"/>
          </w:tcPr>
          <w:p w14:paraId="2B29A005">
            <w:pPr>
              <w:pStyle w:val="2"/>
              <w:spacing w:line="40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地理标志运用促进工程</w:t>
            </w:r>
          </w:p>
        </w:tc>
        <w:tc>
          <w:tcPr>
            <w:tcW w:w="4967" w:type="dxa"/>
            <w:vAlign w:val="center"/>
          </w:tcPr>
          <w:p w14:paraId="6010AFD8">
            <w:pPr>
              <w:pStyle w:val="2"/>
              <w:spacing w:line="40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宋体" w:eastAsia="仿宋_GB2312" w:cs="Times New Roman"/>
                <w:b w:val="0"/>
                <w:bCs w:val="0"/>
                <w:spacing w:val="-9"/>
                <w:kern w:val="0"/>
                <w:sz w:val="28"/>
                <w:szCs w:val="28"/>
              </w:rPr>
              <w:t>加强中国(合肥)地理标志展示推广中心六安品牌馆建设，</w:t>
            </w:r>
            <w:r>
              <w:rPr>
                <w:rFonts w:hint="eastAsia" w:ascii="仿宋_GB2312" w:hAnsi="仿宋_GB2312" w:eastAsia="仿宋_GB2312" w:cs="仿宋_GB2312"/>
                <w:b w:val="0"/>
                <w:bCs w:val="0"/>
                <w:color w:val="auto"/>
                <w:kern w:val="2"/>
                <w:sz w:val="28"/>
                <w:szCs w:val="28"/>
                <w:lang w:val="en-US" w:eastAsia="zh-CN" w:bidi="ar-SA"/>
              </w:rPr>
              <w:t>推动地理标志与特色产业发展、生态文明建设、历史文化传承以及乡村振兴有机融合，打造地理标志产品引领乡村振兴的“样板田”。加强地理标志涉农品牌培育、宣传工作，创建一批名、特、优、新地理标志品牌，</w:t>
            </w:r>
            <w:r>
              <w:rPr>
                <w:rFonts w:hint="eastAsia" w:ascii="仿宋_GB2312" w:hAnsi="仿宋_GB2312" w:eastAsia="仿宋_GB2312" w:cs="仿宋_GB2312"/>
                <w:b w:val="0"/>
                <w:bCs w:val="0"/>
                <w:color w:val="auto"/>
                <w:sz w:val="28"/>
                <w:szCs w:val="28"/>
                <w:lang w:eastAsia="zh-CN"/>
              </w:rPr>
              <w:t>培育一批地理标志产品生产龙头企业。</w:t>
            </w:r>
          </w:p>
        </w:tc>
        <w:tc>
          <w:tcPr>
            <w:tcW w:w="2289" w:type="dxa"/>
            <w:vAlign w:val="center"/>
          </w:tcPr>
          <w:p w14:paraId="776029AB">
            <w:pPr>
              <w:pStyle w:val="2"/>
              <w:spacing w:line="400" w:lineRule="exact"/>
              <w:jc w:val="left"/>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新增地理标志证明商标33件，集体商标5件以上，总数不低于85件，使用地理标志证明商标专用标志企业数突破500家，培育乡土品牌200个。</w:t>
            </w:r>
          </w:p>
        </w:tc>
      </w:tr>
      <w:tr w14:paraId="3204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exact"/>
          <w:jc w:val="center"/>
        </w:trPr>
        <w:tc>
          <w:tcPr>
            <w:tcW w:w="1694" w:type="dxa"/>
            <w:vAlign w:val="center"/>
          </w:tcPr>
          <w:p w14:paraId="654A9CFB">
            <w:pPr>
              <w:pStyle w:val="2"/>
              <w:spacing w:line="40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知识产权公共服务提升工程</w:t>
            </w:r>
          </w:p>
        </w:tc>
        <w:tc>
          <w:tcPr>
            <w:tcW w:w="4967" w:type="dxa"/>
            <w:vAlign w:val="center"/>
          </w:tcPr>
          <w:p w14:paraId="510AAA36">
            <w:pPr>
              <w:pStyle w:val="2"/>
              <w:spacing w:line="400" w:lineRule="exact"/>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pacing w:val="-9"/>
                <w:kern w:val="0"/>
                <w:sz w:val="28"/>
                <w:szCs w:val="28"/>
              </w:rPr>
              <w:t>围绕省和区域发展战略，</w:t>
            </w:r>
            <w:r>
              <w:rPr>
                <w:rFonts w:hint="eastAsia" w:ascii="仿宋_GB2312" w:hAnsi="仿宋_GB2312" w:eastAsia="仿宋_GB2312" w:cs="仿宋_GB2312"/>
                <w:b w:val="0"/>
                <w:bCs w:val="0"/>
                <w:color w:val="auto"/>
                <w:sz w:val="28"/>
                <w:szCs w:val="28"/>
                <w:lang w:val="en-US" w:eastAsia="zh-CN"/>
              </w:rPr>
              <w:t>建设市、县区知识产权信息公共服务机构，</w:t>
            </w:r>
            <w:r>
              <w:rPr>
                <w:rFonts w:hint="eastAsia" w:ascii="仿宋_GB2312" w:hAnsi="仿宋_GB2312" w:eastAsia="仿宋_GB2312" w:cs="仿宋_GB2312"/>
                <w:b w:val="0"/>
                <w:bCs w:val="0"/>
                <w:color w:val="auto"/>
                <w:spacing w:val="-9"/>
                <w:kern w:val="0"/>
                <w:sz w:val="28"/>
                <w:szCs w:val="28"/>
              </w:rPr>
              <w:t>完成产业特色知识产权数据库和重点产业知识产权公共服务平台建设。立足六安知识产权服务资源禀赋，整合、优化、升级知识产权基础信息和资源平台。加大对高端服务业人才的引进力度，培养一批具有竞争力的服务机构。</w:t>
            </w:r>
          </w:p>
        </w:tc>
        <w:tc>
          <w:tcPr>
            <w:tcW w:w="2289" w:type="dxa"/>
            <w:vAlign w:val="center"/>
          </w:tcPr>
          <w:p w14:paraId="64BB6A9F">
            <w:pPr>
              <w:pStyle w:val="2"/>
              <w:spacing w:line="400" w:lineRule="exact"/>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市本级建设1个公共服务机构，县区根据条件设立。依托江淮大数据中心六安市子平台，探索建设特色专题数据库，实现专利、商标、版权、地理标志等基础信息开放共享。</w:t>
            </w:r>
          </w:p>
        </w:tc>
      </w:tr>
    </w:tbl>
    <w:p w14:paraId="1DD5CC81">
      <w:pPr>
        <w:pStyle w:val="21"/>
        <w:spacing w:line="560" w:lineRule="exact"/>
        <w:ind w:left="0" w:leftChars="0" w:firstLine="640" w:firstLineChars="200"/>
        <w:rPr>
          <w:rFonts w:ascii="楷体_GB2312" w:hAnsi="黑体" w:eastAsia="楷体_GB2312" w:cs="Times New Roman"/>
          <w:bCs/>
          <w:color w:val="auto"/>
          <w:sz w:val="32"/>
          <w:szCs w:val="32"/>
        </w:rPr>
      </w:pPr>
      <w:r>
        <w:rPr>
          <w:rFonts w:hint="eastAsia" w:ascii="楷体_GB2312" w:hAnsi="黑体" w:eastAsia="楷体_GB2312" w:cs="Times New Roman"/>
          <w:bCs/>
          <w:color w:val="auto"/>
          <w:sz w:val="32"/>
          <w:szCs w:val="32"/>
        </w:rPr>
        <w:t>（五）坚守市场安全底线</w:t>
      </w:r>
    </w:p>
    <w:p w14:paraId="18D80698">
      <w:pPr>
        <w:pStyle w:val="21"/>
        <w:spacing w:line="560" w:lineRule="exact"/>
        <w:ind w:firstLine="640"/>
        <w:rPr>
          <w:rFonts w:ascii="楷体_GB2312" w:hAnsi="黑体" w:eastAsia="楷体_GB2312" w:cs="Times New Roman"/>
          <w:bCs/>
          <w:color w:val="auto"/>
          <w:sz w:val="32"/>
          <w:szCs w:val="32"/>
        </w:rPr>
      </w:pPr>
      <w:r>
        <w:rPr>
          <w:rFonts w:hint="eastAsia" w:ascii="仿宋_GB2312" w:hAnsi="Calibri" w:eastAsia="仿宋_GB2312" w:cs="宋体"/>
          <w:color w:val="auto"/>
          <w:kern w:val="0"/>
          <w:sz w:val="32"/>
          <w:szCs w:val="32"/>
        </w:rPr>
        <w:t>完善市场监管领域风险隐患排查治理机制，全面加强市场安全监管，强化行刑衔接，严厉打击违法犯罪行为，切实守住不发生较大安全事故，不出现系统性区域性风险的底线。</w:t>
      </w:r>
    </w:p>
    <w:p w14:paraId="6297AA6C">
      <w:pPr>
        <w:keepNext w:val="0"/>
        <w:keepLines w:val="0"/>
        <w:pageBreakBefore w:val="0"/>
        <w:widowControl w:val="0"/>
        <w:kinsoku/>
        <w:wordWrap/>
        <w:overflowPunct/>
        <w:topLinePunct w:val="0"/>
        <w:autoSpaceDE/>
        <w:autoSpaceDN/>
        <w:bidi w:val="0"/>
        <w:snapToGrid w:val="0"/>
        <w:spacing w:line="560" w:lineRule="exact"/>
        <w:ind w:firstLine="643" w:firstLineChars="200"/>
        <w:jc w:val="left"/>
        <w:rPr>
          <w:color w:val="auto"/>
          <w:sz w:val="32"/>
          <w:szCs w:val="32"/>
        </w:rPr>
      </w:pPr>
      <w:r>
        <w:rPr>
          <w:rFonts w:hint="eastAsia" w:ascii="仿宋_GB2312" w:hAnsi="Times New Roman" w:eastAsia="仿宋_GB2312" w:cs="Times New Roman"/>
          <w:b/>
          <w:bCs/>
          <w:color w:val="auto"/>
          <w:sz w:val="32"/>
          <w:szCs w:val="32"/>
        </w:rPr>
        <w:t>加强食品安全监管</w:t>
      </w:r>
      <w:r>
        <w:rPr>
          <w:rFonts w:hint="eastAsia" w:ascii="仿宋_GB2312" w:hAnsi="Times New Roman" w:eastAsia="仿宋_GB2312" w:cs="Times New Roman"/>
          <w:b/>
          <w:color w:val="auto"/>
          <w:sz w:val="32"/>
          <w:szCs w:val="32"/>
        </w:rPr>
        <w:t>。</w:t>
      </w:r>
      <w:r>
        <w:rPr>
          <w:rFonts w:hint="eastAsia" w:ascii="仿宋_GB2312" w:hAnsi="Calibri" w:eastAsia="仿宋_GB2312" w:cs="宋体"/>
          <w:color w:val="auto"/>
          <w:kern w:val="0"/>
          <w:sz w:val="32"/>
          <w:szCs w:val="32"/>
        </w:rPr>
        <w:t>强化党委政府对食品安全工作的组织领导，压实党政领导干部食品安全责任。建立健全乡镇（街道）食品安全协调机制，落实基层食品安全监管“四员”（管理员、宣传员、协管员、信息员）制度</w:t>
      </w:r>
      <w:r>
        <w:rPr>
          <w:rFonts w:hint="eastAsia" w:ascii="仿宋_GB2312" w:hAnsi="Calibri" w:eastAsia="仿宋_GB2312" w:cs="宋体"/>
          <w:color w:val="auto"/>
          <w:kern w:val="0"/>
          <w:sz w:val="32"/>
          <w:szCs w:val="32"/>
          <w:u w:val="none"/>
        </w:rPr>
        <w:t>。</w:t>
      </w:r>
      <w:r>
        <w:rPr>
          <w:rFonts w:hint="eastAsia" w:ascii="仿宋_GB2312" w:hAnsi="Calibri" w:eastAsia="仿宋_GB2312" w:cs="宋体"/>
          <w:color w:val="auto"/>
          <w:kern w:val="0"/>
          <w:sz w:val="32"/>
          <w:szCs w:val="32"/>
          <w:u w:val="none"/>
          <w:lang w:eastAsia="zh-CN"/>
        </w:rPr>
        <w:t>开展</w:t>
      </w:r>
      <w:r>
        <w:rPr>
          <w:rFonts w:hint="eastAsia" w:ascii="仿宋_GB2312" w:hAnsi="仿宋_GB2312" w:eastAsia="仿宋_GB2312" w:cs="仿宋_GB2312"/>
          <w:b w:val="0"/>
          <w:bCs w:val="0"/>
          <w:color w:val="auto"/>
          <w:kern w:val="2"/>
          <w:sz w:val="32"/>
          <w:szCs w:val="32"/>
          <w:u w:val="none"/>
          <w:lang w:val="en-US" w:eastAsia="zh-CN" w:bidi="ar-SA"/>
        </w:rPr>
        <w:t>食品安全“四项创建”（规范化农贸市场、餐饮质量安全街区、放心肉菜示范超市、示范食品小作坊）活动。</w:t>
      </w:r>
      <w:r>
        <w:rPr>
          <w:rFonts w:hint="eastAsia" w:ascii="仿宋_GB2312" w:hAnsi="Calibri" w:eastAsia="仿宋_GB2312" w:cs="宋体"/>
          <w:color w:val="auto"/>
          <w:kern w:val="0"/>
          <w:sz w:val="32"/>
          <w:szCs w:val="32"/>
          <w:u w:val="none"/>
        </w:rPr>
        <w:t>完善食品安全工作评议考核制度。建立落实</w:t>
      </w:r>
      <w:r>
        <w:rPr>
          <w:rFonts w:hint="eastAsia" w:ascii="仿宋_GB2312" w:hAnsi="Calibri" w:eastAsia="仿宋_GB2312" w:cs="宋体"/>
          <w:color w:val="auto"/>
          <w:kern w:val="0"/>
          <w:sz w:val="32"/>
          <w:szCs w:val="32"/>
        </w:rPr>
        <w:t>食品生产经营企业主体责任、监督检查和风险隐患排查治理体系。</w:t>
      </w:r>
      <w:r>
        <w:rPr>
          <w:rFonts w:ascii="Times New Roman" w:hAnsi="仿宋_GB2312" w:eastAsia="仿宋_GB2312" w:cs="Times New Roman"/>
          <w:color w:val="auto"/>
          <w:sz w:val="32"/>
          <w:szCs w:val="32"/>
        </w:rPr>
        <w:t>开展食品安全承诺和公示，推进追溯体</w:t>
      </w:r>
      <w:r>
        <w:rPr>
          <w:rFonts w:hint="eastAsia" w:ascii="仿宋_GB2312" w:hAnsi="仿宋_GB2312" w:eastAsia="仿宋_GB2312" w:cs="仿宋_GB2312"/>
          <w:color w:val="auto"/>
          <w:sz w:val="32"/>
          <w:szCs w:val="32"/>
        </w:rPr>
        <w:t>系建设。到2025年，全市食品生产企业监督检查覆盖率达100%。抽查考核食品安全管理人员所在企业覆盖率达100%。</w:t>
      </w:r>
      <w:r>
        <w:rPr>
          <w:rFonts w:hint="eastAsia" w:ascii="仿宋_GB2312" w:hAnsi="仿宋_GB2312" w:eastAsia="仿宋_GB2312" w:cs="仿宋_GB2312"/>
          <w:color w:val="auto"/>
          <w:kern w:val="0"/>
          <w:sz w:val="32"/>
          <w:szCs w:val="32"/>
        </w:rPr>
        <w:t>开展校园食品安全守护、国产婴幼儿配方乳粉质量提升、农村假冒伪劣食品治理、餐饮质量安全提升等食品安全放心工程建设系列攻坚行动，</w:t>
      </w:r>
      <w:r>
        <w:rPr>
          <w:rFonts w:hint="eastAsia" w:ascii="仿宋_GB2312" w:hAnsi="仿宋_GB2312" w:eastAsia="仿宋_GB2312" w:cs="仿宋_GB2312"/>
          <w:color w:val="auto"/>
          <w:sz w:val="32"/>
          <w:szCs w:val="32"/>
        </w:rPr>
        <w:t>严厉打击食品生产经营违法违规行为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深入推进“食安安徽”品牌建设，建立品牌培育、认证和示范体系。</w:t>
      </w:r>
      <w:r>
        <w:rPr>
          <w:rFonts w:hint="eastAsia" w:ascii="仿宋_GB2312" w:hAnsi="仿宋_GB2312" w:eastAsia="仿宋_GB2312" w:cs="仿宋_GB2312"/>
          <w:color w:val="auto"/>
          <w:sz w:val="32"/>
          <w:szCs w:val="32"/>
        </w:rPr>
        <w:t>力争2025年全市至少创成1-2个省级食品安全示范县(区)。</w:t>
      </w:r>
      <w:r>
        <w:rPr>
          <w:rFonts w:hint="eastAsia" w:ascii="仿宋_GB2312" w:hAnsi="仿宋_GB2312" w:eastAsia="仿宋_GB2312" w:cs="仿宋_GB2312"/>
          <w:color w:val="auto"/>
          <w:kern w:val="0"/>
          <w:sz w:val="32"/>
          <w:szCs w:val="32"/>
        </w:rPr>
        <w:t>深化食品安全社会共治，推进食品安全责任保险工作。</w:t>
      </w:r>
      <w:r>
        <w:rPr>
          <w:rFonts w:hint="eastAsia" w:ascii="仿宋_GB2312" w:hAnsi="仿宋_GB2312" w:eastAsia="仿宋_GB2312" w:cs="仿宋_GB2312"/>
          <w:bCs/>
          <w:color w:val="auto"/>
          <w:sz w:val="32"/>
          <w:szCs w:val="32"/>
        </w:rPr>
        <w:t>健全风险防控体系。</w:t>
      </w:r>
      <w:r>
        <w:rPr>
          <w:rFonts w:hint="eastAsia" w:ascii="仿宋_GB2312" w:hAnsi="仿宋_GB2312" w:eastAsia="仿宋_GB2312" w:cs="仿宋_GB2312"/>
          <w:color w:val="auto"/>
          <w:sz w:val="32"/>
          <w:szCs w:val="32"/>
        </w:rPr>
        <w:t>强化食品安全抽检，食用农产品抽检量每年稳定在5批次/千人以上，食品安全抽检合格率稳定在98%以上。修订食品安全事故应急预案，完善应急指挥机制，开展突发事件应急演练，提升食品安全事件应急处置能力。建立市县乡三级食品安全科普宣传基地（站），持续开展“食品安全宣传周”等宣传活动，提高公众对食品安全风险的认知能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5076"/>
        <w:gridCol w:w="1732"/>
      </w:tblGrid>
      <w:tr w14:paraId="5432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8946" w:type="dxa"/>
            <w:gridSpan w:val="3"/>
          </w:tcPr>
          <w:p w14:paraId="1867E90E">
            <w:pPr>
              <w:pStyle w:val="2"/>
              <w:spacing w:line="400" w:lineRule="exact"/>
              <w:jc w:val="center"/>
              <w:rPr>
                <w:rFonts w:ascii="楷体_GB2312" w:hAnsi="黑体" w:eastAsia="楷体_GB2312" w:cs="Times New Roman"/>
                <w:color w:val="auto"/>
                <w:sz w:val="32"/>
                <w:szCs w:val="32"/>
              </w:rPr>
            </w:pPr>
            <w:r>
              <w:rPr>
                <w:rFonts w:ascii="Times New Roman" w:hAnsi="黑体" w:eastAsia="黑体" w:cs="Times New Roman"/>
                <w:b w:val="0"/>
                <w:bCs w:val="0"/>
                <w:color w:val="auto"/>
                <w:sz w:val="28"/>
                <w:szCs w:val="28"/>
              </w:rPr>
              <w:t>专栏</w:t>
            </w:r>
            <w:r>
              <w:rPr>
                <w:rFonts w:hint="eastAsia" w:ascii="Times New Roman" w:hAnsi="Times New Roman" w:eastAsia="黑体" w:cs="Times New Roman"/>
                <w:b w:val="0"/>
                <w:bCs w:val="0"/>
                <w:color w:val="auto"/>
                <w:sz w:val="28"/>
                <w:szCs w:val="28"/>
                <w:lang w:val="en-US" w:eastAsia="zh-CN"/>
              </w:rPr>
              <w:t xml:space="preserve">7 </w:t>
            </w:r>
            <w:r>
              <w:rPr>
                <w:rFonts w:hint="eastAsia" w:ascii="Times New Roman" w:hAnsi="Times New Roman" w:eastAsia="黑体" w:cs="Times New Roman"/>
                <w:b w:val="0"/>
                <w:bCs w:val="0"/>
                <w:color w:val="auto"/>
                <w:sz w:val="28"/>
                <w:szCs w:val="28"/>
              </w:rPr>
              <w:t xml:space="preserve"> </w:t>
            </w:r>
            <w:r>
              <w:rPr>
                <w:rFonts w:ascii="Times New Roman" w:hAnsi="黑体" w:eastAsia="黑体" w:cs="Times New Roman"/>
                <w:b w:val="0"/>
                <w:bCs w:val="0"/>
                <w:color w:val="auto"/>
                <w:sz w:val="28"/>
                <w:szCs w:val="28"/>
              </w:rPr>
              <w:t>食品安全放心工程建设攻坚行动</w:t>
            </w:r>
          </w:p>
        </w:tc>
      </w:tr>
      <w:tr w14:paraId="6596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2138" w:type="dxa"/>
            <w:vAlign w:val="center"/>
          </w:tcPr>
          <w:p w14:paraId="38EA9F7B">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项目名称</w:t>
            </w:r>
          </w:p>
        </w:tc>
        <w:tc>
          <w:tcPr>
            <w:tcW w:w="6808" w:type="dxa"/>
            <w:gridSpan w:val="2"/>
          </w:tcPr>
          <w:p w14:paraId="5C3D120F">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主</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要</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内</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容</w:t>
            </w:r>
          </w:p>
        </w:tc>
      </w:tr>
      <w:tr w14:paraId="74F2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exact"/>
          <w:jc w:val="center"/>
        </w:trPr>
        <w:tc>
          <w:tcPr>
            <w:tcW w:w="2138" w:type="dxa"/>
            <w:vAlign w:val="center"/>
          </w:tcPr>
          <w:p w14:paraId="0708EAA3">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实施校园食品安全守护行动</w:t>
            </w:r>
          </w:p>
        </w:tc>
        <w:tc>
          <w:tcPr>
            <w:tcW w:w="6808" w:type="dxa"/>
            <w:gridSpan w:val="2"/>
          </w:tcPr>
          <w:p w14:paraId="193B8969">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督促落实学校食品安全校长(园长)负责制。督促校外供餐单位落实食品安全主体责任。对供餐单位、学校食堂、校园周边餐饮门店和食品销售单位实行全覆盖监督检查，持续加大监督检查力度和频次，深入排查食品安全风险隐患。</w:t>
            </w:r>
          </w:p>
        </w:tc>
      </w:tr>
      <w:tr w14:paraId="41CE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exact"/>
          <w:jc w:val="center"/>
        </w:trPr>
        <w:tc>
          <w:tcPr>
            <w:tcW w:w="2138" w:type="dxa"/>
            <w:vAlign w:val="center"/>
          </w:tcPr>
          <w:p w14:paraId="2EB22938">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实施农村假冒伪劣食品治理行动</w:t>
            </w:r>
          </w:p>
        </w:tc>
        <w:tc>
          <w:tcPr>
            <w:tcW w:w="6808" w:type="dxa"/>
            <w:gridSpan w:val="2"/>
          </w:tcPr>
          <w:p w14:paraId="52E2AFB2">
            <w:pPr>
              <w:pStyle w:val="2"/>
              <w:keepNext/>
              <w:keepLines/>
              <w:pageBreakBefore w:val="0"/>
              <w:widowControl w:val="0"/>
              <w:kinsoku/>
              <w:wordWrap/>
              <w:overflowPunct/>
              <w:topLinePunct w:val="0"/>
              <w:autoSpaceDE/>
              <w:autoSpaceDN/>
              <w:bidi w:val="0"/>
              <w:adjustRightInd/>
              <w:snapToGrid/>
              <w:spacing w:before="126" w:beforeLines="40" w:line="4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全面清理食品生产经营主体资格，严厉打击制售“三无”食品、假冒食品、劣质食品、过期食品等违法违规行为，坚决取缔“黑工厂”、“黑窝点”和“黑作坊”。用2-3年时间，建立规范的农村食品流通供应体系。</w:t>
            </w:r>
          </w:p>
        </w:tc>
      </w:tr>
      <w:tr w14:paraId="37BF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exact"/>
          <w:jc w:val="center"/>
        </w:trPr>
        <w:tc>
          <w:tcPr>
            <w:tcW w:w="2138" w:type="dxa"/>
            <w:vAlign w:val="center"/>
          </w:tcPr>
          <w:p w14:paraId="096C577E">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实施餐饮质量提升行动</w:t>
            </w:r>
          </w:p>
        </w:tc>
        <w:tc>
          <w:tcPr>
            <w:tcW w:w="6808" w:type="dxa"/>
            <w:gridSpan w:val="2"/>
          </w:tcPr>
          <w:p w14:paraId="7758246A">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督促餐饮单位落实食品安全主体责任，严格执行进货查验、加工操作、清洗消毒、人员管理等规定。实施餐饮服务食品安全风险分级管理。鼓励大型和连锁餐饮企业采用先进管理方式，提高食品安全管理水平。实施“明厨亮灶”工程建设。严格压实网络订餐平台责任，督促餐饮外卖等配送食品落实封签措施。</w:t>
            </w:r>
          </w:p>
        </w:tc>
      </w:tr>
      <w:tr w14:paraId="2211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2138" w:type="dxa"/>
            <w:vAlign w:val="center"/>
          </w:tcPr>
          <w:p w14:paraId="7CC5C851">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实施“优质粮食工程”行动</w:t>
            </w:r>
          </w:p>
        </w:tc>
        <w:tc>
          <w:tcPr>
            <w:tcW w:w="6808" w:type="dxa"/>
            <w:gridSpan w:val="2"/>
          </w:tcPr>
          <w:p w14:paraId="66884ACA">
            <w:pPr>
              <w:pStyle w:val="2"/>
              <w:keepNext/>
              <w:keepLines/>
              <w:pageBreakBefore w:val="0"/>
              <w:widowControl w:val="0"/>
              <w:kinsoku/>
              <w:wordWrap/>
              <w:overflowPunct/>
              <w:topLinePunct w:val="0"/>
              <w:autoSpaceDE/>
              <w:autoSpaceDN/>
              <w:bidi w:val="0"/>
              <w:adjustRightInd/>
              <w:snapToGrid/>
              <w:spacing w:before="126" w:beforeLines="40" w:line="4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完善粮食质量安全检验监测体系，开展“六安好粮油”提升行动，提高绿色优质安全粮油产品供给水平。</w:t>
            </w:r>
          </w:p>
        </w:tc>
      </w:tr>
      <w:tr w14:paraId="6D2C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exact"/>
          <w:jc w:val="center"/>
        </w:trPr>
        <w:tc>
          <w:tcPr>
            <w:tcW w:w="2138" w:type="dxa"/>
            <w:vAlign w:val="center"/>
          </w:tcPr>
          <w:p w14:paraId="7188B3A7">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实施进口食品“国门守护”</w:t>
            </w:r>
          </w:p>
          <w:p w14:paraId="35F06F14">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行动</w:t>
            </w:r>
          </w:p>
        </w:tc>
        <w:tc>
          <w:tcPr>
            <w:tcW w:w="6808" w:type="dxa"/>
            <w:gridSpan w:val="2"/>
          </w:tcPr>
          <w:p w14:paraId="23F50EC5">
            <w:pPr>
              <w:pStyle w:val="2"/>
              <w:keepNext/>
              <w:keepLines/>
              <w:pageBreakBefore w:val="0"/>
              <w:widowControl w:val="0"/>
              <w:kinsoku/>
              <w:wordWrap/>
              <w:overflowPunct/>
              <w:topLinePunct w:val="0"/>
              <w:autoSpaceDE/>
              <w:autoSpaceDN/>
              <w:bidi w:val="0"/>
              <w:adjustRightInd/>
              <w:snapToGrid/>
              <w:spacing w:before="63" w:beforeLines="20" w:line="4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开展进口食品监督抽检和风险监控，强化不合格食品处置，严格实施退货、销毁等措施。严厉打击冻品、食糖、粮食等走私行为。</w:t>
            </w:r>
          </w:p>
        </w:tc>
      </w:tr>
      <w:tr w14:paraId="3125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restart"/>
            <w:vAlign w:val="center"/>
          </w:tcPr>
          <w:p w14:paraId="24B5D802">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开展“食安安徽”品牌建设</w:t>
            </w:r>
          </w:p>
          <w:p w14:paraId="4A386463">
            <w:pPr>
              <w:pStyle w:val="2"/>
              <w:spacing w:line="400" w:lineRule="exact"/>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行动</w:t>
            </w:r>
          </w:p>
        </w:tc>
        <w:tc>
          <w:tcPr>
            <w:tcW w:w="5076" w:type="dxa"/>
          </w:tcPr>
          <w:p w14:paraId="6BE3FD7D">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培育“食安安徽”食品生产经营企业</w:t>
            </w:r>
          </w:p>
        </w:tc>
        <w:tc>
          <w:tcPr>
            <w:tcW w:w="1732" w:type="dxa"/>
            <w:vAlign w:val="center"/>
          </w:tcPr>
          <w:p w14:paraId="3A6485E9">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260家以上</w:t>
            </w:r>
          </w:p>
        </w:tc>
      </w:tr>
      <w:tr w14:paraId="6502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14:paraId="43EAE37E">
            <w:pPr>
              <w:pStyle w:val="2"/>
              <w:spacing w:line="400" w:lineRule="exact"/>
              <w:jc w:val="left"/>
              <w:rPr>
                <w:rFonts w:hint="eastAsia" w:ascii="仿宋_GB2312" w:hAnsi="仿宋_GB2312" w:eastAsia="仿宋_GB2312" w:cs="仿宋_GB2312"/>
                <w:b w:val="0"/>
                <w:bCs w:val="0"/>
                <w:color w:val="auto"/>
                <w:sz w:val="28"/>
                <w:szCs w:val="28"/>
              </w:rPr>
            </w:pPr>
          </w:p>
        </w:tc>
        <w:tc>
          <w:tcPr>
            <w:tcW w:w="5076" w:type="dxa"/>
          </w:tcPr>
          <w:p w14:paraId="1978946C">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培育食用农产品和食品生产基地（园区）</w:t>
            </w:r>
          </w:p>
        </w:tc>
        <w:tc>
          <w:tcPr>
            <w:tcW w:w="1732" w:type="dxa"/>
            <w:vAlign w:val="center"/>
          </w:tcPr>
          <w:p w14:paraId="322A99EA">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不少于4个</w:t>
            </w:r>
          </w:p>
        </w:tc>
      </w:tr>
      <w:tr w14:paraId="1021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14:paraId="33E226DB">
            <w:pPr>
              <w:pStyle w:val="2"/>
              <w:spacing w:line="400" w:lineRule="exact"/>
              <w:jc w:val="left"/>
              <w:rPr>
                <w:rFonts w:hint="eastAsia" w:ascii="仿宋_GB2312" w:hAnsi="仿宋_GB2312" w:eastAsia="仿宋_GB2312" w:cs="仿宋_GB2312"/>
                <w:b w:val="0"/>
                <w:bCs w:val="0"/>
                <w:color w:val="auto"/>
                <w:sz w:val="28"/>
                <w:szCs w:val="28"/>
              </w:rPr>
            </w:pPr>
          </w:p>
        </w:tc>
        <w:tc>
          <w:tcPr>
            <w:tcW w:w="5076" w:type="dxa"/>
          </w:tcPr>
          <w:p w14:paraId="1AAA4503">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培育森林食品林下经济示范基地</w:t>
            </w:r>
          </w:p>
        </w:tc>
        <w:tc>
          <w:tcPr>
            <w:tcW w:w="1732" w:type="dxa"/>
            <w:vAlign w:val="center"/>
          </w:tcPr>
          <w:p w14:paraId="0C1F4985">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不少于2家</w:t>
            </w:r>
          </w:p>
        </w:tc>
      </w:tr>
      <w:tr w14:paraId="5788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14:paraId="4A1563AA">
            <w:pPr>
              <w:pStyle w:val="2"/>
              <w:spacing w:line="400" w:lineRule="exact"/>
              <w:jc w:val="left"/>
              <w:rPr>
                <w:rFonts w:hint="eastAsia" w:ascii="仿宋_GB2312" w:hAnsi="仿宋_GB2312" w:eastAsia="仿宋_GB2312" w:cs="仿宋_GB2312"/>
                <w:b w:val="0"/>
                <w:bCs w:val="0"/>
                <w:color w:val="auto"/>
                <w:sz w:val="28"/>
                <w:szCs w:val="28"/>
              </w:rPr>
            </w:pPr>
          </w:p>
        </w:tc>
        <w:tc>
          <w:tcPr>
            <w:tcW w:w="5076" w:type="dxa"/>
          </w:tcPr>
          <w:p w14:paraId="7FF9FF02">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培育食品安全街区（小镇）</w:t>
            </w:r>
          </w:p>
        </w:tc>
        <w:tc>
          <w:tcPr>
            <w:tcW w:w="1732" w:type="dxa"/>
            <w:vAlign w:val="center"/>
          </w:tcPr>
          <w:p w14:paraId="2E1F1C4A">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不少于4个</w:t>
            </w:r>
          </w:p>
        </w:tc>
      </w:tr>
      <w:tr w14:paraId="578E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14:paraId="348530DA">
            <w:pPr>
              <w:pStyle w:val="2"/>
              <w:spacing w:line="400" w:lineRule="exact"/>
              <w:jc w:val="left"/>
              <w:rPr>
                <w:rFonts w:hint="eastAsia" w:ascii="仿宋_GB2312" w:hAnsi="仿宋_GB2312" w:eastAsia="仿宋_GB2312" w:cs="仿宋_GB2312"/>
                <w:b w:val="0"/>
                <w:bCs w:val="0"/>
                <w:color w:val="auto"/>
                <w:sz w:val="28"/>
                <w:szCs w:val="28"/>
              </w:rPr>
            </w:pPr>
          </w:p>
        </w:tc>
        <w:tc>
          <w:tcPr>
            <w:tcW w:w="5076" w:type="dxa"/>
          </w:tcPr>
          <w:p w14:paraId="35716532">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培育食品安全示范县</w:t>
            </w:r>
          </w:p>
        </w:tc>
        <w:tc>
          <w:tcPr>
            <w:tcW w:w="1732" w:type="dxa"/>
            <w:vAlign w:val="center"/>
          </w:tcPr>
          <w:p w14:paraId="1349B7EB">
            <w:pPr>
              <w:pStyle w:val="2"/>
              <w:keepNext/>
              <w:keepLines/>
              <w:pageBreakBefore w:val="0"/>
              <w:widowControl w:val="0"/>
              <w:kinsoku/>
              <w:wordWrap/>
              <w:overflowPunct/>
              <w:topLinePunct w:val="0"/>
              <w:autoSpaceDE/>
              <w:autoSpaceDN/>
              <w:bidi w:val="0"/>
              <w:adjustRightInd/>
              <w:snapToGrid/>
              <w:spacing w:line="500" w:lineRule="exact"/>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不少于4个</w:t>
            </w:r>
          </w:p>
        </w:tc>
      </w:tr>
    </w:tbl>
    <w:p w14:paraId="24FBB0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Times New Roman" w:eastAsia="仿宋_GB2312" w:cs="Times New Roman"/>
          <w:color w:val="auto"/>
          <w:sz w:val="32"/>
          <w:szCs w:val="32"/>
          <w:u w:val="none"/>
        </w:rPr>
      </w:pPr>
      <w:r>
        <w:rPr>
          <w:rFonts w:ascii="仿宋_GB2312" w:hAnsi="Times New Roman" w:eastAsia="仿宋_GB2312" w:cs="Times New Roman"/>
          <w:b/>
          <w:bCs/>
          <w:color w:val="auto"/>
          <w:sz w:val="32"/>
          <w:szCs w:val="32"/>
          <w:u w:val="none"/>
        </w:rPr>
        <w:t>加强药品安全监管</w:t>
      </w:r>
      <w:r>
        <w:rPr>
          <w:rFonts w:hint="eastAsia" w:ascii="仿宋_GB2312" w:hAnsi="Times New Roman" w:eastAsia="仿宋_GB2312" w:cs="Times New Roman"/>
          <w:b/>
          <w:bCs/>
          <w:color w:val="auto"/>
          <w:sz w:val="32"/>
          <w:szCs w:val="32"/>
          <w:u w:val="none"/>
        </w:rPr>
        <w:t>。</w:t>
      </w:r>
      <w:r>
        <w:rPr>
          <w:rFonts w:hint="eastAsia" w:ascii="仿宋_GB2312" w:hAnsi="仿宋_GB2312" w:eastAsia="仿宋_GB2312" w:cs="Times New Roman"/>
          <w:color w:val="auto"/>
          <w:sz w:val="32"/>
          <w:szCs w:val="32"/>
          <w:u w:val="none"/>
        </w:rPr>
        <w:t>完善</w:t>
      </w:r>
      <w:r>
        <w:rPr>
          <w:rFonts w:hint="eastAsia" w:ascii="仿宋_GB2312" w:hAnsi="仿宋_GB2312" w:eastAsia="仿宋_GB2312" w:cs="Times New Roman"/>
          <w:bCs/>
          <w:color w:val="auto"/>
          <w:sz w:val="32"/>
          <w:szCs w:val="32"/>
          <w:u w:val="none"/>
        </w:rPr>
        <w:t>市委市政府</w:t>
      </w:r>
      <w:r>
        <w:rPr>
          <w:rFonts w:hint="eastAsia" w:ascii="仿宋_GB2312" w:hAnsi="仿宋_GB2312" w:eastAsia="仿宋_GB2312" w:cs="Times New Roman"/>
          <w:color w:val="auto"/>
          <w:kern w:val="0"/>
          <w:sz w:val="32"/>
          <w:szCs w:val="32"/>
          <w:u w:val="none"/>
        </w:rPr>
        <w:t>统一领导，市药安委牵头，各部门各负其责、各司其职、协同配合</w:t>
      </w:r>
      <w:r>
        <w:rPr>
          <w:rFonts w:hint="eastAsia" w:ascii="仿宋_GB2312" w:hAnsi="仿宋_GB2312" w:eastAsia="仿宋_GB2312" w:cs="Times New Roman"/>
          <w:color w:val="auto"/>
          <w:sz w:val="32"/>
          <w:szCs w:val="32"/>
          <w:u w:val="none"/>
        </w:rPr>
        <w:t>的药品监管体系。全面加强药品</w:t>
      </w:r>
      <w:r>
        <w:rPr>
          <w:rFonts w:hint="eastAsia" w:ascii="仿宋_GB2312" w:hAnsi="仿宋_GB2312" w:eastAsia="仿宋_GB2312" w:cs="Times New Roman"/>
          <w:color w:val="auto"/>
          <w:sz w:val="32"/>
          <w:szCs w:val="32"/>
          <w:u w:val="none"/>
          <w:lang w:eastAsia="zh-CN"/>
        </w:rPr>
        <w:t>安全</w:t>
      </w:r>
      <w:r>
        <w:rPr>
          <w:rFonts w:hint="eastAsia" w:ascii="仿宋_GB2312" w:hAnsi="仿宋_GB2312" w:eastAsia="仿宋_GB2312" w:cs="Times New Roman"/>
          <w:color w:val="auto"/>
          <w:sz w:val="32"/>
          <w:szCs w:val="32"/>
          <w:u w:val="none"/>
        </w:rPr>
        <w:t>监管能力建设，突出</w:t>
      </w:r>
      <w:r>
        <w:rPr>
          <w:rFonts w:hint="eastAsia" w:ascii="仿宋_GB2312" w:hAnsi="Times New Roman" w:eastAsia="仿宋_GB2312" w:cs="Times New Roman"/>
          <w:color w:val="auto"/>
          <w:sz w:val="32"/>
          <w:szCs w:val="32"/>
          <w:u w:val="none"/>
        </w:rPr>
        <w:t>高风险重点品种检查全覆盖，</w:t>
      </w:r>
      <w:r>
        <w:rPr>
          <w:rFonts w:hint="eastAsia" w:ascii="仿宋_GB2312" w:hAnsi="仿宋_GB2312" w:eastAsia="仿宋_GB2312" w:cs="Times New Roman"/>
          <w:color w:val="auto"/>
          <w:sz w:val="32"/>
          <w:szCs w:val="32"/>
          <w:u w:val="none"/>
        </w:rPr>
        <w:t>疫苗药品和医疗器械流通环节监督检查覆盖率</w:t>
      </w:r>
      <w:r>
        <w:rPr>
          <w:rFonts w:hint="eastAsia" w:ascii="仿宋_GB2312" w:hAnsi="Times New Roman" w:eastAsia="仿宋_GB2312" w:cs="Times New Roman"/>
          <w:color w:val="auto"/>
          <w:sz w:val="32"/>
          <w:szCs w:val="32"/>
          <w:u w:val="none"/>
        </w:rPr>
        <w:t>100%</w:t>
      </w:r>
      <w:r>
        <w:rPr>
          <w:rFonts w:hint="eastAsia" w:ascii="仿宋_GB2312" w:hAnsi="仿宋_GB2312" w:eastAsia="仿宋_GB2312" w:cs="Times New Roman"/>
          <w:color w:val="auto"/>
          <w:sz w:val="32"/>
          <w:szCs w:val="32"/>
          <w:u w:val="none"/>
        </w:rPr>
        <w:t>，第一类医疗器械生产企业监督检查覆盖率</w:t>
      </w:r>
      <w:r>
        <w:rPr>
          <w:rFonts w:hint="eastAsia" w:ascii="仿宋_GB2312" w:hAnsi="Times New Roman" w:eastAsia="仿宋_GB2312" w:cs="Times New Roman"/>
          <w:color w:val="auto"/>
          <w:sz w:val="32"/>
          <w:szCs w:val="32"/>
          <w:u w:val="none"/>
        </w:rPr>
        <w:t>100%</w:t>
      </w:r>
      <w:r>
        <w:rPr>
          <w:rFonts w:hint="eastAsia" w:ascii="仿宋_GB2312" w:hAnsi="仿宋_GB2312" w:eastAsia="仿宋_GB2312" w:cs="Times New Roman"/>
          <w:color w:val="auto"/>
          <w:sz w:val="32"/>
          <w:szCs w:val="32"/>
          <w:u w:val="none"/>
        </w:rPr>
        <w:t>，麻醉药品、精神药品、药品类易制毒化学品等重点品种监督检查覆盖率</w:t>
      </w:r>
      <w:r>
        <w:rPr>
          <w:rFonts w:hint="eastAsia" w:ascii="仿宋_GB2312" w:hAnsi="Times New Roman" w:eastAsia="仿宋_GB2312" w:cs="Times New Roman"/>
          <w:color w:val="auto"/>
          <w:sz w:val="32"/>
          <w:szCs w:val="32"/>
          <w:u w:val="none"/>
        </w:rPr>
        <w:t>100%</w:t>
      </w:r>
      <w:r>
        <w:rPr>
          <w:rFonts w:hint="eastAsia" w:ascii="仿宋_GB2312" w:hAnsi="仿宋_GB2312" w:eastAsia="仿宋_GB2312" w:cs="Times New Roman"/>
          <w:color w:val="auto"/>
          <w:sz w:val="32"/>
          <w:szCs w:val="32"/>
          <w:u w:val="none"/>
        </w:rPr>
        <w:t>。完善疫苗药品追溯监管系统，</w:t>
      </w:r>
      <w:r>
        <w:rPr>
          <w:rFonts w:hint="eastAsia" w:ascii="仿宋_GB2312" w:hAnsi="Times New Roman" w:eastAsia="仿宋_GB2312" w:cs="Times New Roman"/>
          <w:color w:val="auto"/>
          <w:sz w:val="32"/>
          <w:szCs w:val="32"/>
          <w:u w:val="none"/>
        </w:rPr>
        <w:t>建立中药饮片信息化追溯体系</w:t>
      </w:r>
      <w:r>
        <w:rPr>
          <w:rFonts w:hint="eastAsia" w:ascii="仿宋_GB2312" w:hAnsi="仿宋_GB2312" w:eastAsia="仿宋_GB2312" w:cs="Times New Roman"/>
          <w:color w:val="auto"/>
          <w:sz w:val="32"/>
          <w:szCs w:val="32"/>
          <w:u w:val="none"/>
        </w:rPr>
        <w:t>。开展</w:t>
      </w:r>
      <w:r>
        <w:rPr>
          <w:rFonts w:hint="eastAsia" w:ascii="仿宋_GB2312" w:hAnsi="Times New Roman" w:eastAsia="仿宋_GB2312"/>
          <w:color w:val="auto"/>
          <w:sz w:val="32"/>
          <w:szCs w:val="32"/>
          <w:u w:val="none"/>
        </w:rPr>
        <w:t>化妆品“线上净网线下清源”专项行动。</w:t>
      </w:r>
      <w:r>
        <w:rPr>
          <w:rFonts w:hint="eastAsia" w:ascii="仿宋_GB2312" w:hAnsi="Times New Roman" w:eastAsia="仿宋_GB2312" w:cs="Times New Roman"/>
          <w:color w:val="auto"/>
          <w:sz w:val="32"/>
          <w:szCs w:val="32"/>
          <w:u w:val="none"/>
        </w:rPr>
        <w:t>推动药品零售企业执业药师差异化配备。对</w:t>
      </w:r>
      <w:r>
        <w:rPr>
          <w:rFonts w:hint="eastAsia" w:ascii="仿宋_GB2312" w:hAnsi="仿宋_GB2312" w:eastAsia="仿宋_GB2312" w:cs="Times New Roman"/>
          <w:color w:val="auto"/>
          <w:sz w:val="32"/>
          <w:szCs w:val="32"/>
          <w:u w:val="none"/>
        </w:rPr>
        <w:t>药品经营企业实行信用分类管理，依法依规对失信企业和个人实施联合惩戒。继续推进</w:t>
      </w:r>
      <w:r>
        <w:rPr>
          <w:rFonts w:hint="eastAsia" w:ascii="仿宋_GB2312" w:hAnsi="Times New Roman" w:eastAsia="仿宋_GB2312" w:cs="Times New Roman"/>
          <w:color w:val="auto"/>
          <w:sz w:val="32"/>
          <w:szCs w:val="32"/>
          <w:u w:val="none"/>
        </w:rPr>
        <w:t>“</w:t>
      </w:r>
      <w:r>
        <w:rPr>
          <w:rFonts w:hint="eastAsia" w:ascii="仿宋_GB2312" w:hAnsi="仿宋_GB2312" w:eastAsia="仿宋_GB2312" w:cs="Times New Roman"/>
          <w:color w:val="auto"/>
          <w:sz w:val="32"/>
          <w:szCs w:val="32"/>
          <w:u w:val="none"/>
        </w:rPr>
        <w:t>十大皖药</w:t>
      </w:r>
      <w:r>
        <w:rPr>
          <w:rFonts w:hint="eastAsia" w:ascii="仿宋_GB2312" w:hAnsi="Times New Roman" w:eastAsia="仿宋_GB2312" w:cs="Times New Roman"/>
          <w:color w:val="auto"/>
          <w:sz w:val="32"/>
          <w:szCs w:val="32"/>
          <w:u w:val="none"/>
        </w:rPr>
        <w:t>”</w:t>
      </w:r>
      <w:r>
        <w:rPr>
          <w:rFonts w:hint="eastAsia" w:ascii="仿宋_GB2312" w:hAnsi="仿宋_GB2312" w:eastAsia="仿宋_GB2312" w:cs="Times New Roman"/>
          <w:color w:val="auto"/>
          <w:sz w:val="32"/>
          <w:szCs w:val="32"/>
          <w:u w:val="none"/>
        </w:rPr>
        <w:t>示范基地和深加工产业建设，金寨县、霍山县、舒城县利用优势资源，再建成</w:t>
      </w:r>
      <w:r>
        <w:rPr>
          <w:rFonts w:hint="eastAsia" w:ascii="仿宋_GB2312" w:hAnsi="Times New Roman" w:eastAsia="仿宋_GB2312" w:cs="Times New Roman"/>
          <w:color w:val="auto"/>
          <w:sz w:val="32"/>
          <w:szCs w:val="32"/>
          <w:u w:val="none"/>
          <w:lang w:val="en-US" w:eastAsia="zh-CN"/>
        </w:rPr>
        <w:t>15</w:t>
      </w:r>
      <w:r>
        <w:rPr>
          <w:rFonts w:hint="eastAsia" w:ascii="仿宋_GB2312" w:hAnsi="仿宋_GB2312" w:eastAsia="仿宋_GB2312" w:cs="Times New Roman"/>
          <w:color w:val="auto"/>
          <w:sz w:val="32"/>
          <w:szCs w:val="32"/>
          <w:u w:val="none"/>
        </w:rPr>
        <w:t>家</w:t>
      </w:r>
      <w:r>
        <w:rPr>
          <w:rFonts w:hint="eastAsia" w:ascii="仿宋_GB2312" w:hAnsi="Times New Roman" w:eastAsia="仿宋_GB2312" w:cs="Times New Roman"/>
          <w:color w:val="auto"/>
          <w:sz w:val="32"/>
          <w:szCs w:val="32"/>
          <w:u w:val="none"/>
        </w:rPr>
        <w:t>“</w:t>
      </w:r>
      <w:r>
        <w:rPr>
          <w:rFonts w:hint="eastAsia" w:ascii="仿宋_GB2312" w:hAnsi="仿宋_GB2312" w:eastAsia="仿宋_GB2312" w:cs="Times New Roman"/>
          <w:color w:val="auto"/>
          <w:sz w:val="32"/>
          <w:szCs w:val="32"/>
          <w:u w:val="none"/>
        </w:rPr>
        <w:t>十大皖药</w:t>
      </w:r>
      <w:r>
        <w:rPr>
          <w:rFonts w:hint="eastAsia" w:ascii="仿宋_GB2312" w:hAnsi="Times New Roman" w:eastAsia="仿宋_GB2312" w:cs="Times New Roman"/>
          <w:color w:val="auto"/>
          <w:sz w:val="32"/>
          <w:szCs w:val="32"/>
          <w:u w:val="none"/>
        </w:rPr>
        <w:t>”</w:t>
      </w:r>
      <w:r>
        <w:rPr>
          <w:rFonts w:hint="eastAsia" w:ascii="仿宋_GB2312" w:hAnsi="Times New Roman" w:eastAsia="仿宋_GB2312" w:cs="Times New Roman"/>
          <w:color w:val="auto"/>
          <w:sz w:val="32"/>
          <w:szCs w:val="32"/>
          <w:u w:val="none"/>
          <w:lang w:eastAsia="zh-CN"/>
        </w:rPr>
        <w:t>产业示范</w:t>
      </w:r>
      <w:r>
        <w:rPr>
          <w:rFonts w:hint="eastAsia" w:ascii="仿宋_GB2312" w:hAnsi="仿宋_GB2312" w:eastAsia="仿宋_GB2312" w:cs="Times New Roman"/>
          <w:color w:val="auto"/>
          <w:sz w:val="32"/>
          <w:szCs w:val="32"/>
          <w:u w:val="none"/>
        </w:rPr>
        <w:t>基地，推进特色中药产业持续发展。</w:t>
      </w:r>
      <w:r>
        <w:rPr>
          <w:rFonts w:hint="eastAsia" w:ascii="仿宋_GB2312" w:hAnsi="Times New Roman" w:eastAsia="仿宋_GB2312" w:cs="Times New Roman"/>
          <w:color w:val="auto"/>
          <w:sz w:val="32"/>
          <w:szCs w:val="32"/>
          <w:u w:val="none"/>
        </w:rPr>
        <w:t>加强</w:t>
      </w:r>
      <w:r>
        <w:rPr>
          <w:rFonts w:hint="eastAsia" w:ascii="仿宋_GB2312" w:hAnsi="Times New Roman" w:eastAsia="仿宋_GB2312" w:cs="Times New Roman"/>
          <w:color w:val="auto"/>
          <w:sz w:val="32"/>
          <w:szCs w:val="32"/>
          <w:u w:val="none"/>
          <w:lang w:eastAsia="zh-CN"/>
        </w:rPr>
        <w:t>药品</w:t>
      </w:r>
      <w:r>
        <w:rPr>
          <w:rFonts w:hint="eastAsia" w:ascii="仿宋_GB2312" w:hAnsi="Times New Roman" w:eastAsia="仿宋_GB2312"/>
          <w:color w:val="auto"/>
          <w:sz w:val="32"/>
          <w:szCs w:val="32"/>
          <w:u w:val="none"/>
        </w:rPr>
        <w:t>检测能力建设</w:t>
      </w:r>
      <w:r>
        <w:rPr>
          <w:rFonts w:hint="eastAsia" w:ascii="仿宋_GB2312" w:hAnsi="Times New Roman" w:eastAsia="仿宋_GB2312"/>
          <w:color w:val="auto"/>
          <w:sz w:val="32"/>
          <w:szCs w:val="32"/>
          <w:u w:val="none"/>
          <w:lang w:eastAsia="zh-CN"/>
        </w:rPr>
        <w:t>和</w:t>
      </w:r>
      <w:r>
        <w:rPr>
          <w:rFonts w:hint="eastAsia" w:ascii="仿宋_GB2312" w:hAnsi="仿宋_GB2312" w:eastAsia="仿宋_GB2312" w:cs="Times New Roman"/>
          <w:color w:val="auto"/>
          <w:kern w:val="0"/>
          <w:sz w:val="32"/>
          <w:szCs w:val="32"/>
          <w:u w:val="none"/>
        </w:rPr>
        <w:t>药械不良反应监测哨点建设，全面提升药品风险预警和防控能力。</w:t>
      </w:r>
      <w:r>
        <w:rPr>
          <w:rFonts w:hint="eastAsia" w:ascii="仿宋_GB2312" w:hAnsi="Calibri" w:eastAsia="仿宋_GB2312" w:cs="宋体"/>
          <w:color w:val="auto"/>
          <w:kern w:val="0"/>
          <w:sz w:val="32"/>
          <w:szCs w:val="32"/>
          <w:u w:val="none"/>
        </w:rPr>
        <w:t>加强专业人才队伍建设，</w:t>
      </w:r>
      <w:r>
        <w:rPr>
          <w:rFonts w:hint="eastAsia" w:ascii="仿宋_GB2312" w:hAnsi="Calibri" w:eastAsia="仿宋_GB2312" w:cs="宋体"/>
          <w:color w:val="auto"/>
          <w:kern w:val="0"/>
          <w:sz w:val="32"/>
          <w:szCs w:val="32"/>
          <w:u w:val="none"/>
          <w:lang w:eastAsia="zh-CN"/>
        </w:rPr>
        <w:t>建立并完善职业化、专业化药品检查员队伍体系。</w:t>
      </w:r>
      <w:r>
        <w:rPr>
          <w:rFonts w:hint="eastAsia" w:ascii="仿宋_GB2312" w:hAnsi="Calibri" w:eastAsia="仿宋_GB2312" w:cs="宋体"/>
          <w:color w:val="auto"/>
          <w:kern w:val="0"/>
          <w:sz w:val="32"/>
          <w:szCs w:val="32"/>
          <w:u w:val="none"/>
        </w:rPr>
        <w:t>推进长三角区域药品科学监管一体化。</w:t>
      </w:r>
      <w:r>
        <w:rPr>
          <w:rFonts w:hint="eastAsia" w:ascii="仿宋_GB2312" w:hAnsi="Times New Roman" w:eastAsia="仿宋_GB2312" w:cs="Times New Roman"/>
          <w:color w:val="auto"/>
          <w:sz w:val="32"/>
          <w:szCs w:val="32"/>
          <w:u w:val="none"/>
        </w:rPr>
        <w:t>强化药品安全风险防控。</w:t>
      </w:r>
      <w:r>
        <w:rPr>
          <w:rFonts w:hint="eastAsia" w:ascii="仿宋_GB2312" w:hAnsi="仿宋_GB2312" w:eastAsia="仿宋_GB2312" w:cs="Times New Roman"/>
          <w:color w:val="auto"/>
          <w:sz w:val="32"/>
          <w:szCs w:val="32"/>
          <w:u w:val="none"/>
        </w:rPr>
        <w:t>推动药品零售企业、医疗器械经营企业定期开展风险排查，落实质量安全主体责任。</w:t>
      </w:r>
      <w:r>
        <w:rPr>
          <w:rFonts w:hint="eastAsia" w:ascii="仿宋_GB2312" w:hAnsi="仿宋_GB2312" w:eastAsia="仿宋_GB2312" w:cs="Times New Roman"/>
          <w:color w:val="auto"/>
          <w:kern w:val="0"/>
          <w:sz w:val="32"/>
          <w:szCs w:val="32"/>
          <w:u w:val="none"/>
        </w:rPr>
        <w:t>全市疾病预防控制机构和规范化预防接种门诊年度监督检查覆盖率</w:t>
      </w:r>
      <w:r>
        <w:rPr>
          <w:rFonts w:hint="eastAsia" w:ascii="仿宋_GB2312" w:hAnsi="Times New Roman" w:eastAsia="仿宋_GB2312" w:cs="Times New Roman"/>
          <w:color w:val="auto"/>
          <w:kern w:val="0"/>
          <w:sz w:val="32"/>
          <w:szCs w:val="32"/>
          <w:u w:val="none"/>
        </w:rPr>
        <w:t>100%</w:t>
      </w:r>
      <w:r>
        <w:rPr>
          <w:rFonts w:hint="eastAsia" w:ascii="仿宋_GB2312" w:hAnsi="仿宋_GB2312" w:eastAsia="仿宋_GB2312" w:cs="Times New Roman"/>
          <w:color w:val="auto"/>
          <w:kern w:val="0"/>
          <w:sz w:val="32"/>
          <w:szCs w:val="32"/>
          <w:u w:val="none"/>
        </w:rPr>
        <w:t>，督促抽检不合格药品处置率</w:t>
      </w:r>
      <w:r>
        <w:rPr>
          <w:rFonts w:hint="eastAsia" w:ascii="仿宋_GB2312" w:hAnsi="Times New Roman" w:eastAsia="仿宋_GB2312" w:cs="Times New Roman"/>
          <w:color w:val="auto"/>
          <w:kern w:val="0"/>
          <w:sz w:val="32"/>
          <w:szCs w:val="32"/>
          <w:u w:val="none"/>
        </w:rPr>
        <w:t>100%</w:t>
      </w:r>
      <w:r>
        <w:rPr>
          <w:rFonts w:hint="eastAsia" w:ascii="仿宋_GB2312" w:hAnsi="仿宋_GB2312" w:eastAsia="仿宋_GB2312" w:cs="Times New Roman"/>
          <w:color w:val="auto"/>
          <w:kern w:val="0"/>
          <w:sz w:val="32"/>
          <w:szCs w:val="32"/>
          <w:u w:val="none"/>
        </w:rPr>
        <w:t>。</w:t>
      </w:r>
      <w:r>
        <w:rPr>
          <w:rFonts w:hint="eastAsia" w:ascii="仿宋_GB2312" w:hAnsi="仿宋_GB2312" w:eastAsia="仿宋_GB2312" w:cs="Times New Roman"/>
          <w:color w:val="auto"/>
          <w:kern w:val="0"/>
          <w:sz w:val="32"/>
          <w:szCs w:val="32"/>
          <w:u w:val="none"/>
          <w:lang w:val="zh-CN"/>
        </w:rPr>
        <w:t>建立舆情监测和应急处置机制，做好</w:t>
      </w:r>
      <w:r>
        <w:rPr>
          <w:rFonts w:hint="eastAsia" w:ascii="仿宋_GB2312" w:hAnsi="仿宋_GB2312" w:eastAsia="仿宋_GB2312" w:cs="Times New Roman"/>
          <w:color w:val="auto"/>
          <w:sz w:val="32"/>
          <w:szCs w:val="32"/>
          <w:u w:val="none"/>
        </w:rPr>
        <w:t>舆论引导，</w:t>
      </w:r>
      <w:r>
        <w:rPr>
          <w:rFonts w:hint="eastAsia" w:ascii="仿宋_GB2312" w:hAnsi="仿宋_GB2312" w:eastAsia="仿宋_GB2312" w:cs="Times New Roman"/>
          <w:color w:val="auto"/>
          <w:kern w:val="0"/>
          <w:sz w:val="32"/>
          <w:szCs w:val="32"/>
          <w:u w:val="none"/>
          <w:lang w:val="zh-CN"/>
        </w:rPr>
        <w:t>有针对性的开展应急演练，提高风险防控能力，到</w:t>
      </w:r>
      <w:r>
        <w:rPr>
          <w:rFonts w:hint="eastAsia" w:ascii="仿宋_GB2312" w:hAnsi="Times New Roman" w:eastAsia="仿宋_GB2312" w:cs="Times New Roman"/>
          <w:color w:val="auto"/>
          <w:kern w:val="0"/>
          <w:sz w:val="32"/>
          <w:szCs w:val="32"/>
          <w:u w:val="none"/>
        </w:rPr>
        <w:t>“</w:t>
      </w:r>
      <w:r>
        <w:rPr>
          <w:rFonts w:hint="eastAsia" w:ascii="仿宋_GB2312" w:hAnsi="仿宋_GB2312" w:eastAsia="仿宋_GB2312" w:cs="Times New Roman"/>
          <w:color w:val="auto"/>
          <w:kern w:val="0"/>
          <w:sz w:val="32"/>
          <w:szCs w:val="32"/>
          <w:u w:val="none"/>
        </w:rPr>
        <w:t>十四五</w:t>
      </w:r>
      <w:r>
        <w:rPr>
          <w:rFonts w:hint="eastAsia" w:ascii="仿宋_GB2312" w:hAnsi="Times New Roman" w:eastAsia="仿宋_GB2312" w:cs="Times New Roman"/>
          <w:color w:val="auto"/>
          <w:kern w:val="0"/>
          <w:sz w:val="32"/>
          <w:szCs w:val="32"/>
          <w:u w:val="none"/>
        </w:rPr>
        <w:t>”</w:t>
      </w:r>
      <w:r>
        <w:rPr>
          <w:rFonts w:hint="eastAsia" w:ascii="仿宋_GB2312" w:hAnsi="仿宋_GB2312" w:eastAsia="仿宋_GB2312" w:cs="Times New Roman"/>
          <w:color w:val="auto"/>
          <w:kern w:val="0"/>
          <w:sz w:val="32"/>
          <w:szCs w:val="32"/>
          <w:u w:val="none"/>
        </w:rPr>
        <w:t>末，药品监管体制机制更加完善，监管能力全面提升，科学监管、智慧监管全面实施，应急处置能力明显增强，社会共治格局基本形成。</w:t>
      </w:r>
    </w:p>
    <w:p w14:paraId="296051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pacing w:val="-12"/>
          <w:sz w:val="32"/>
          <w:szCs w:val="32"/>
          <w:u w:val="none"/>
        </w:rPr>
      </w:pPr>
      <w:r>
        <w:rPr>
          <w:rFonts w:ascii="仿宋_GB2312" w:hAnsi="Times New Roman" w:eastAsia="仿宋_GB2312" w:cs="Times New Roman"/>
          <w:b/>
          <w:bCs/>
          <w:color w:val="auto"/>
          <w:sz w:val="32"/>
          <w:szCs w:val="32"/>
          <w:u w:val="none"/>
        </w:rPr>
        <w:t>加强特种设备安全监管。</w:t>
      </w:r>
      <w:r>
        <w:rPr>
          <w:rFonts w:ascii="Times New Roman" w:hAnsi="仿宋_GB2312" w:eastAsia="仿宋_GB2312" w:cs="Times New Roman"/>
          <w:color w:val="auto"/>
          <w:spacing w:val="0"/>
          <w:sz w:val="32"/>
          <w:szCs w:val="32"/>
          <w:u w:val="none"/>
        </w:rPr>
        <w:t>完善特种设备安全责任体系。建立和落实全员安全生产责任制。深入推进</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特种设备风险管控六项机制”建设，有序推进特种设备风险分级管控和隐患排查治理双重预防工作。</w:t>
      </w:r>
      <w:r>
        <w:rPr>
          <w:rFonts w:hint="eastAsia" w:ascii="Times New Roman" w:hAnsi="仿宋_GB2312" w:eastAsia="仿宋_GB2312" w:cs="Times New Roman"/>
          <w:color w:val="auto"/>
          <w:spacing w:val="0"/>
          <w:sz w:val="32"/>
          <w:szCs w:val="32"/>
          <w:u w:val="none"/>
        </w:rPr>
        <w:t>开展电梯维护保养模式和电梯检验检测方式改革试点工作，推动电梯安全责任保险，推进电梯无纸化维保和老旧电梯更新改造。</w:t>
      </w:r>
      <w:r>
        <w:rPr>
          <w:rFonts w:ascii="Times New Roman" w:hAnsi="仿宋_GB2312" w:eastAsia="仿宋_GB2312" w:cs="Times New Roman"/>
          <w:color w:val="auto"/>
          <w:spacing w:val="0"/>
          <w:sz w:val="32"/>
          <w:szCs w:val="32"/>
          <w:u w:val="none"/>
        </w:rPr>
        <w:t>按照安全生产专项整治三年行动部署要求，以涉危化品锅炉、压力容器、压力管道和大型游乐设施为重点，深入开展特种设备安全生产专项整治行动，建立问题隐患和制度措施</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两个清单</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，严格实行</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拉网式</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排查、</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清单式</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管理、</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对账销号式</w:t>
      </w:r>
      <w:r>
        <w:rPr>
          <w:rFonts w:ascii="Times New Roman" w:hAnsi="Times New Roman" w:eastAsia="仿宋_GB2312" w:cs="Times New Roman"/>
          <w:color w:val="auto"/>
          <w:spacing w:val="0"/>
          <w:sz w:val="32"/>
          <w:szCs w:val="32"/>
          <w:u w:val="none"/>
        </w:rPr>
        <w:t>”</w:t>
      </w:r>
      <w:r>
        <w:rPr>
          <w:rFonts w:ascii="Times New Roman" w:hAnsi="仿宋_GB2312" w:eastAsia="仿宋_GB2312" w:cs="Times New Roman"/>
          <w:color w:val="auto"/>
          <w:spacing w:val="0"/>
          <w:sz w:val="32"/>
          <w:szCs w:val="32"/>
          <w:u w:val="none"/>
        </w:rPr>
        <w:t>落实。加强对油气输送管道安装和使用过程中法定检验的监督抽查，组织开展房屋建筑和市政基础设施工程用起重机械制造环节专项抽查。创新特种设备安全监管模式。实施信用分类分级差异化监管。应用大数据、物联网等智能手段，构建特种设备智慧监管体系。巩固气瓶质量安全追溯体系建设成果，扩大特种设备大数据信息化监管系统应用，逐步向检验检测人员和作业人员信息化监管延伸。提升基层监管工作的科技装备和应用水平，实现实时动态监管、远程监管、网上监管。强化特种设备安全监察执法，及时曝光和查处特种设备严重事故隐患和典型违法案件。“十四五”期间</w:t>
      </w:r>
      <w:r>
        <w:rPr>
          <w:rFonts w:hint="eastAsia" w:ascii="仿宋_GB2312" w:hAnsi="仿宋_GB2312" w:eastAsia="仿宋_GB2312" w:cs="Times New Roman"/>
          <w:color w:val="auto"/>
          <w:spacing w:val="0"/>
          <w:sz w:val="32"/>
          <w:szCs w:val="32"/>
          <w:u w:val="none"/>
        </w:rPr>
        <w:t>，组织特种设备安全生产专项整治现场推进会，推广标杆企业的先进经验，巩固提升整治</w:t>
      </w:r>
      <w:r>
        <w:rPr>
          <w:rFonts w:ascii="Times New Roman" w:hAnsi="仿宋_GB2312" w:eastAsia="仿宋_GB2312" w:cs="Times New Roman"/>
          <w:color w:val="auto"/>
          <w:spacing w:val="0"/>
          <w:sz w:val="32"/>
          <w:szCs w:val="32"/>
          <w:u w:val="none"/>
        </w:rPr>
        <w:t>成果，建立健全系统完备、成熟定型的安全监管工作体系，提升我市特种设备安全水平，有效遏制特种设备事故发生。</w:t>
      </w:r>
    </w:p>
    <w:p w14:paraId="338C19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Times New Roman"/>
          <w:color w:val="auto"/>
          <w:sz w:val="32"/>
          <w:szCs w:val="32"/>
          <w:u w:val="none"/>
        </w:rPr>
      </w:pPr>
      <w:r>
        <w:rPr>
          <w:rFonts w:ascii="仿宋_GB2312" w:hAnsi="Times New Roman" w:eastAsia="仿宋_GB2312" w:cs="Times New Roman"/>
          <w:b/>
          <w:bCs/>
          <w:color w:val="auto"/>
          <w:sz w:val="32"/>
          <w:szCs w:val="32"/>
          <w:u w:val="none"/>
        </w:rPr>
        <w:t>加强产品质量安全监管</w:t>
      </w:r>
      <w:r>
        <w:rPr>
          <w:rFonts w:hint="eastAsia" w:ascii="仿宋_GB2312" w:hAnsi="Times New Roman" w:eastAsia="仿宋_GB2312" w:cs="Times New Roman"/>
          <w:b/>
          <w:bCs/>
          <w:color w:val="auto"/>
          <w:sz w:val="32"/>
          <w:szCs w:val="32"/>
          <w:u w:val="none"/>
        </w:rPr>
        <w:t>。</w:t>
      </w:r>
      <w:r>
        <w:rPr>
          <w:rFonts w:hint="eastAsia" w:ascii="仿宋_GB2312" w:eastAsia="仿宋_GB2312"/>
          <w:color w:val="auto"/>
          <w:sz w:val="32"/>
          <w:szCs w:val="32"/>
          <w:u w:val="none"/>
        </w:rPr>
        <w:t>完善以监测评估为基础、以分类监管为抓手、以信用监管为依托、以智慧监管为支撑的新型产品质量安全监管机制。</w:t>
      </w:r>
      <w:r>
        <w:rPr>
          <w:rFonts w:hint="eastAsia" w:ascii="仿宋_GB2312" w:eastAsia="仿宋_GB2312"/>
          <w:color w:val="auto"/>
          <w:sz w:val="32"/>
          <w:szCs w:val="32"/>
          <w:u w:val="none"/>
          <w:lang w:eastAsia="zh-CN"/>
        </w:rPr>
        <w:t>加强</w:t>
      </w:r>
      <w:r>
        <w:rPr>
          <w:rFonts w:hint="eastAsia" w:ascii="仿宋_GB2312" w:eastAsia="仿宋_GB2312"/>
          <w:color w:val="auto"/>
          <w:sz w:val="32"/>
          <w:szCs w:val="32"/>
          <w:u w:val="none"/>
        </w:rPr>
        <w:t>风险监测预警，建立健全产品质量安全突发事件的应急处置体系和运行机制。制定产品质量安全风险监测计划和目录，进一步加大重点行业、重点领域、重点产品风险监测力度，拓宽风险信息监测渠道，及时发现和处置苗头性问题。</w:t>
      </w:r>
      <w:r>
        <w:rPr>
          <w:rFonts w:hint="eastAsia" w:ascii="仿宋_GB2312" w:eastAsia="仿宋_GB2312"/>
          <w:color w:val="auto"/>
          <w:sz w:val="32"/>
          <w:szCs w:val="32"/>
          <w:u w:val="none"/>
          <w:lang w:eastAsia="zh-CN"/>
        </w:rPr>
        <w:t>加大</w:t>
      </w:r>
      <w:r>
        <w:rPr>
          <w:rFonts w:hint="eastAsia" w:ascii="仿宋_GB2312" w:eastAsia="仿宋_GB2312"/>
          <w:color w:val="auto"/>
          <w:sz w:val="32"/>
          <w:szCs w:val="32"/>
          <w:u w:val="none"/>
        </w:rPr>
        <w:t>产品质量监督抽查</w:t>
      </w:r>
      <w:r>
        <w:rPr>
          <w:rFonts w:hint="eastAsia" w:ascii="仿宋_GB2312" w:eastAsia="仿宋_GB2312"/>
          <w:color w:val="auto"/>
          <w:sz w:val="32"/>
          <w:szCs w:val="32"/>
          <w:u w:val="none"/>
          <w:lang w:eastAsia="zh-CN"/>
        </w:rPr>
        <w:t>力度</w:t>
      </w:r>
      <w:r>
        <w:rPr>
          <w:rFonts w:hint="eastAsia" w:ascii="仿宋_GB2312" w:eastAsia="仿宋_GB2312"/>
          <w:color w:val="auto"/>
          <w:sz w:val="32"/>
          <w:szCs w:val="32"/>
          <w:u w:val="none"/>
        </w:rPr>
        <w:t>，力争每年产品质量抽查合格率高于省平均水平。</w:t>
      </w:r>
      <w:r>
        <w:rPr>
          <w:rFonts w:hint="eastAsia" w:ascii="仿宋_GB2312" w:hAnsi="仿宋_GB2312" w:eastAsia="仿宋_GB2312" w:cs="仿宋_GB2312"/>
          <w:b w:val="0"/>
          <w:bCs w:val="0"/>
          <w:color w:val="auto"/>
          <w:kern w:val="2"/>
          <w:sz w:val="32"/>
          <w:szCs w:val="32"/>
          <w:u w:val="none"/>
          <w:lang w:val="en-US" w:eastAsia="zh-CN" w:bidi="ar-SA"/>
        </w:rPr>
        <w:t>完善工业产品生产许可事中事后监管工作体系，加强技术帮扶“巡回问诊”，促进企业产品质量提升。</w:t>
      </w:r>
      <w:r>
        <w:rPr>
          <w:rFonts w:hint="eastAsia" w:ascii="仿宋_GB2312" w:eastAsia="仿宋_GB2312"/>
          <w:color w:val="auto"/>
          <w:sz w:val="32"/>
          <w:szCs w:val="32"/>
          <w:u w:val="none"/>
        </w:rPr>
        <w:t>强化产品不合格企业后处理工作，及时公布抽查结果信息。加强对危险化学品、电线电缆</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充电器等易燃易爆产品、地膜等环境污染产品以及大宗日用消费品专项治理，不断夯实质量安全</w:t>
      </w:r>
      <w:r>
        <w:rPr>
          <w:rFonts w:hint="eastAsia" w:ascii="仿宋_GB2312" w:eastAsia="仿宋_GB2312"/>
          <w:color w:val="auto"/>
          <w:sz w:val="32"/>
          <w:szCs w:val="32"/>
          <w:u w:val="none"/>
          <w:lang w:eastAsia="zh-CN"/>
        </w:rPr>
        <w:t>基础</w:t>
      </w:r>
      <w:r>
        <w:rPr>
          <w:rFonts w:hint="eastAsia" w:ascii="仿宋_GB2312" w:eastAsia="仿宋_GB2312"/>
          <w:color w:val="auto"/>
          <w:sz w:val="32"/>
          <w:szCs w:val="32"/>
          <w:u w:val="none"/>
        </w:rPr>
        <w:t>。加强对防疫物资的监管，对停产、转产企业库存积压的非医用口罩等防疫物资实施重点监管，坚决防止问题产品流入市场。</w:t>
      </w:r>
    </w:p>
    <w:p w14:paraId="67453C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color w:val="auto"/>
          <w:sz w:val="32"/>
          <w:szCs w:val="32"/>
          <w:u w:val="none"/>
        </w:rPr>
      </w:pPr>
      <w:r>
        <w:rPr>
          <w:rFonts w:hint="eastAsia" w:ascii="楷体_GB2312" w:hAnsi="Times New Roman" w:eastAsia="楷体_GB2312" w:cs="Times New Roman"/>
          <w:color w:val="auto"/>
          <w:sz w:val="32"/>
          <w:szCs w:val="32"/>
          <w:u w:val="none"/>
        </w:rPr>
        <w:t>（六）服务区域经济发展战略</w:t>
      </w:r>
    </w:p>
    <w:p w14:paraId="185C3B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color w:val="auto"/>
          <w:kern w:val="0"/>
          <w:sz w:val="32"/>
          <w:szCs w:val="32"/>
          <w:u w:val="none"/>
        </w:rPr>
      </w:pPr>
      <w:r>
        <w:rPr>
          <w:rFonts w:hint="eastAsia" w:ascii="仿宋_GB2312" w:hAnsi="Calibri" w:eastAsia="仿宋_GB2312" w:cs="宋体"/>
          <w:color w:val="auto"/>
          <w:kern w:val="0"/>
          <w:sz w:val="32"/>
          <w:szCs w:val="32"/>
          <w:u w:val="none"/>
        </w:rPr>
        <w:t>围绕服务国家和省、市重大发展战略，全面深化市场监管改革，加快推动区域一体化发展，确保国家和省市重大战略在市场监管领域落地见效。</w:t>
      </w:r>
    </w:p>
    <w:p w14:paraId="7CF414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Calibri" w:eastAsia="仿宋_GB2312" w:cs="宋体"/>
          <w:color w:val="auto"/>
          <w:kern w:val="0"/>
          <w:sz w:val="32"/>
          <w:szCs w:val="32"/>
          <w:u w:val="none"/>
        </w:rPr>
      </w:pPr>
      <w:r>
        <w:rPr>
          <w:rFonts w:hint="eastAsia" w:ascii="仿宋_GB2312" w:hAnsi="Times New Roman" w:eastAsia="仿宋_GB2312" w:cs="Times New Roman"/>
          <w:b/>
          <w:color w:val="auto"/>
          <w:sz w:val="32"/>
          <w:szCs w:val="32"/>
          <w:u w:val="none"/>
        </w:rPr>
        <w:t>积极参与长三角一体化市场体系建设。</w:t>
      </w:r>
      <w:r>
        <w:rPr>
          <w:rFonts w:ascii="Times New Roman" w:hAnsi="Times New Roman" w:eastAsia="仿宋_GB2312" w:cs="Times New Roman"/>
          <w:color w:val="auto"/>
          <w:sz w:val="32"/>
          <w:szCs w:val="32"/>
          <w:u w:val="none"/>
        </w:rPr>
        <w:t>深入贯彻习近平总书记长三角一体化发展重要讲话精神，按照省市场监管局统一部署，大力实施 “三联三互三统一”工程，推动长三角地区市场体系一体化建设，助力六安经济高质量发展。</w:t>
      </w:r>
      <w:r>
        <w:rPr>
          <w:rFonts w:hint="eastAsia" w:ascii="仿宋_GB2312" w:hAnsi="Calibri" w:eastAsia="仿宋_GB2312" w:cs="宋体"/>
          <w:color w:val="auto"/>
          <w:kern w:val="0"/>
          <w:sz w:val="32"/>
          <w:szCs w:val="32"/>
          <w:u w:val="none"/>
        </w:rPr>
        <w:t>推动营商环境联建，实施长三角地区企业登记政策条件、程序方式和服务措施统一的市场主体准入规范，搭建市场监管大数据可视化平台。推动监管执法联动，加强执法信息互通互认，强化反垄断、价格、广告、平台经济监管执法协作。推动重点领域联管，完善食品安全信息追溯管理，推动药品、医疗器械、化妆品监管政策及标准统一，推进产品质量安全联合治理和特种设备安全联动监管。推动技术基础联通，参与建设长三角质量提升示范项目，参与国际标准化长三角协作，主导制定发布我市特色的区域统一标准，开展长三角绿色产品认证示范区建设，推动计量测试资源共享共用共建。推动消费环境联创，深入开展“放心满意消费长三角”行动，全面推行普通商品线下无理由退货，推广异地异店退换货，健全消费维权一体化机制。推动科技资源联合，推进检验检测机构资质互认、资源共享。强化知识产权联保，加强专利、商标、地理标志等领域的案件移送、协助调查、联合执法、结果互认协作。</w:t>
      </w:r>
    </w:p>
    <w:p w14:paraId="2C3A61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u w:val="none"/>
        </w:rPr>
      </w:pPr>
      <w:r>
        <w:rPr>
          <w:rFonts w:ascii="仿宋_GB2312" w:hAnsi="Times New Roman" w:eastAsia="仿宋_GB2312" w:cs="Times New Roman"/>
          <w:b/>
          <w:color w:val="auto"/>
          <w:sz w:val="32"/>
          <w:szCs w:val="32"/>
          <w:u w:val="none"/>
        </w:rPr>
        <w:t>积极参与合肥都市圈建设。</w:t>
      </w:r>
      <w:r>
        <w:rPr>
          <w:rFonts w:ascii="Times New Roman" w:hAnsi="Times New Roman" w:eastAsia="仿宋_GB2312" w:cs="Times New Roman"/>
          <w:color w:val="auto"/>
          <w:sz w:val="32"/>
          <w:szCs w:val="32"/>
          <w:u w:val="none"/>
        </w:rPr>
        <w:t>共同打造良好营商环境，维护公平公正的市场秩序。参与“智慧都市圈”建设，共享开放平台，升级我市“智慧监管”系统，提升监管能力，进一步优化 “一网通办” 政务服务水平。配合合肥都市圈产业布局，积极推动科技创新成果转化与知识产权运营服务，开展知识产权质押融资服务，加强知识产权保护，推动“合六经济走廊”快速发展。</w:t>
      </w:r>
    </w:p>
    <w:p w14:paraId="39ECCA93">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仿宋_GB2312" w:cs="Times New Roman"/>
          <w:color w:val="auto"/>
          <w:sz w:val="32"/>
          <w:szCs w:val="32"/>
          <w:u w:val="none"/>
        </w:rPr>
      </w:pPr>
      <w:r>
        <w:rPr>
          <w:rFonts w:ascii="仿宋_GB2312" w:hAnsi="Times New Roman" w:eastAsia="仿宋_GB2312" w:cs="Times New Roman"/>
          <w:b/>
          <w:color w:val="auto"/>
          <w:sz w:val="32"/>
          <w:szCs w:val="32"/>
          <w:u w:val="none"/>
        </w:rPr>
        <w:t>助力大别山革命老区振兴建设。</w:t>
      </w:r>
      <w:r>
        <w:rPr>
          <w:rFonts w:ascii="Times New Roman" w:hAnsi="Times New Roman" w:eastAsia="仿宋_GB2312" w:cs="Times New Roman"/>
          <w:color w:val="auto"/>
          <w:sz w:val="32"/>
          <w:szCs w:val="32"/>
          <w:u w:val="none"/>
        </w:rPr>
        <w:t>动员全市市场监管系统干部职工发扬老区革命精神，积极参与老区振兴发展，通过不断深化“放管服”改革，激发市场活力。积极发展壮大农业农村市场主体，开展乡村审批服务提升行动，激发农民专业合作社、家庭农场、地方特色食品生产单位主体创业创新活力。结合皖西大别山革命老区特色农业优势产业，因地制宜、因业施策，推进农业产业化品牌建设，加强品牌宣传，扩大农产品“三品一标”质量认证，培育具有大别山地理标志的农产品品牌。大力推广“地理标志产品+龙头企业+农户+标准”产业化经营模式，鼓励发展“一城一品”、“一社一标”，打造一批在长三角地区乃至全国叫得响、有影响力的农业区域公用品牌。大力推进国家茶及茶制品产品质量检验中心建设，为乡村振兴、产业发展注入活力。</w:t>
      </w:r>
    </w:p>
    <w:p w14:paraId="54801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color w:val="auto"/>
          <w:sz w:val="32"/>
          <w:szCs w:val="32"/>
          <w:u w:val="none"/>
        </w:rPr>
      </w:pPr>
      <w:r>
        <w:rPr>
          <w:rFonts w:hint="eastAsia" w:ascii="楷体_GB2312" w:hAnsi="Times New Roman" w:eastAsia="楷体_GB2312" w:cs="Times New Roman"/>
          <w:color w:val="auto"/>
          <w:sz w:val="32"/>
          <w:szCs w:val="32"/>
          <w:u w:val="none"/>
        </w:rPr>
        <w:t>（七）完善市场监管体系建设</w:t>
      </w:r>
    </w:p>
    <w:p w14:paraId="6F920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Calibri" w:hAnsi="Calibri" w:eastAsia="宋体" w:cs="宋体"/>
          <w:color w:val="auto"/>
          <w:kern w:val="0"/>
          <w:sz w:val="32"/>
          <w:szCs w:val="32"/>
          <w:u w:val="none"/>
        </w:rPr>
      </w:pPr>
      <w:r>
        <w:rPr>
          <w:rFonts w:hint="eastAsia" w:ascii="仿宋_GB2312" w:hAnsi="Calibri" w:eastAsia="仿宋_GB2312" w:cs="宋体"/>
          <w:color w:val="auto"/>
          <w:kern w:val="0"/>
          <w:sz w:val="32"/>
          <w:szCs w:val="32"/>
          <w:u w:val="none"/>
        </w:rPr>
        <w:t>推进市场监管治理体系和监管能力现代化，进一步完善市场监管体制机制，推进市场监管法治建设，加快智慧监管步伐，全面提升监管的科学性、精准性和有效性。</w:t>
      </w:r>
    </w:p>
    <w:p w14:paraId="536839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u w:val="none"/>
          <w:lang w:eastAsia="zh-CN"/>
        </w:rPr>
      </w:pPr>
      <w:r>
        <w:rPr>
          <w:rFonts w:hint="eastAsia" w:ascii="仿宋_GB2312" w:hAnsi="Times New Roman" w:eastAsia="仿宋_GB2312" w:cs="Times New Roman"/>
          <w:b/>
          <w:bCs/>
          <w:color w:val="auto"/>
          <w:sz w:val="32"/>
          <w:szCs w:val="32"/>
          <w:u w:val="none"/>
        </w:rPr>
        <w:t>完善市场监管综合管理体系</w:t>
      </w:r>
      <w:r>
        <w:rPr>
          <w:rFonts w:hint="eastAsia" w:ascii="Times New Roman" w:hAnsi="Times New Roman" w:eastAsia="楷体_GB2312" w:cs="Times New Roman"/>
          <w:bCs/>
          <w:color w:val="auto"/>
          <w:sz w:val="32"/>
          <w:szCs w:val="32"/>
          <w:u w:val="none"/>
        </w:rPr>
        <w:t>。</w:t>
      </w:r>
      <w:r>
        <w:rPr>
          <w:rFonts w:hint="eastAsia" w:ascii="仿宋_GB2312" w:hAnsi="Calibri" w:eastAsia="仿宋_GB2312" w:cs="宋体"/>
          <w:color w:val="auto"/>
          <w:kern w:val="0"/>
          <w:sz w:val="32"/>
          <w:szCs w:val="32"/>
          <w:u w:val="none"/>
        </w:rPr>
        <w:t>坚持“谁审批谁监管，谁主管谁监管”的原则，厘清行业监管和市场监管职能边界。充分发挥市场监管领域议事协调机构作用，完善定期会商沟通协调、重要情况及时通报、重点工作协同联动等机制。合理界定各级市场监管部门执法权限，坚持下放监管权限和支持基层监管能力建设同步推进。</w:t>
      </w:r>
      <w:r>
        <w:rPr>
          <w:rFonts w:ascii="Times New Roman" w:hAnsi="Times New Roman" w:eastAsia="仿宋_GB2312" w:cs="Times New Roman"/>
          <w:color w:val="auto"/>
          <w:sz w:val="32"/>
          <w:szCs w:val="32"/>
          <w:u w:val="none"/>
        </w:rPr>
        <w:t>统筹整合市县区局条线工作部署，切实减轻基层机构工作负担。</w:t>
      </w:r>
      <w:r>
        <w:rPr>
          <w:rFonts w:hint="eastAsia" w:ascii="仿宋_GB2312" w:hAnsi="Calibri" w:eastAsia="仿宋_GB2312" w:cs="宋体"/>
          <w:color w:val="auto"/>
          <w:kern w:val="0"/>
          <w:sz w:val="32"/>
          <w:szCs w:val="32"/>
          <w:u w:val="none"/>
        </w:rPr>
        <w:t>建立分工明确、权责清晰、层级联动的市场监管综合执法队伍，完善重大案件指挥交办、挂牌督办、指定管辖、公开通报和错案纠正制度，形成分工合理、运转有序的行政执法体系。探索案件智能分析、执法辅助、掌上执法等数字化运用。完善监管执法部门之间、市场监管部门与司法机关之间线索通报和证据移转、案件协查、联合办案、行刑衔接、检验鉴定结果互认制度。</w:t>
      </w:r>
      <w:r>
        <w:rPr>
          <w:rFonts w:hint="eastAsia" w:ascii="仿宋_GB2312" w:hAnsi="Calibri" w:eastAsia="仿宋_GB2312" w:cs="宋体"/>
          <w:color w:val="auto"/>
          <w:kern w:val="0"/>
          <w:sz w:val="32"/>
          <w:szCs w:val="32"/>
          <w:u w:val="none"/>
          <w:lang w:eastAsia="zh-CN"/>
        </w:rPr>
        <w:t>充分发挥市市场监管综合行政执法支队职能作用，加大案件查办力度，</w:t>
      </w:r>
      <w:r>
        <w:rPr>
          <w:rFonts w:hint="eastAsia" w:ascii="仿宋_GB2312" w:hAnsi="仿宋_GB2312" w:eastAsia="仿宋_GB2312" w:cs="仿宋_GB2312"/>
          <w:color w:val="auto"/>
          <w:sz w:val="32"/>
          <w:szCs w:val="32"/>
          <w:u w:val="none"/>
        </w:rPr>
        <w:t>编制市场监管领域常见违法案件办案指引，</w:t>
      </w:r>
      <w:r>
        <w:rPr>
          <w:rFonts w:hint="eastAsia" w:ascii="仿宋_GB2312" w:hAnsi="仿宋_GB2312" w:eastAsia="仿宋_GB2312" w:cs="仿宋_GB2312"/>
          <w:color w:val="auto"/>
          <w:sz w:val="32"/>
          <w:szCs w:val="32"/>
          <w:u w:val="none"/>
          <w:lang w:eastAsia="zh-CN"/>
        </w:rPr>
        <w:t>推动案件办理</w:t>
      </w:r>
      <w:r>
        <w:rPr>
          <w:rFonts w:hint="eastAsia" w:ascii="仿宋_GB2312" w:hAnsi="仿宋_GB2312" w:eastAsia="仿宋_GB2312" w:cs="仿宋_GB2312"/>
          <w:color w:val="auto"/>
          <w:kern w:val="0"/>
          <w:sz w:val="32"/>
          <w:szCs w:val="32"/>
          <w:u w:val="none"/>
        </w:rPr>
        <w:t>“模式化”“规范化”</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缩短</w:t>
      </w:r>
      <w:r>
        <w:rPr>
          <w:rFonts w:hint="eastAsia" w:ascii="仿宋_GB2312" w:hAnsi="仿宋_GB2312" w:eastAsia="仿宋_GB2312" w:cs="仿宋_GB2312"/>
          <w:color w:val="auto"/>
          <w:kern w:val="0"/>
          <w:sz w:val="32"/>
          <w:szCs w:val="32"/>
          <w:u w:val="none"/>
          <w:lang w:eastAsia="zh-CN"/>
        </w:rPr>
        <w:t>案件查办</w:t>
      </w:r>
      <w:r>
        <w:rPr>
          <w:rFonts w:hint="eastAsia" w:ascii="仿宋_GB2312" w:hAnsi="仿宋_GB2312" w:eastAsia="仿宋_GB2312" w:cs="仿宋_GB2312"/>
          <w:color w:val="auto"/>
          <w:kern w:val="0"/>
          <w:sz w:val="32"/>
          <w:szCs w:val="32"/>
          <w:u w:val="none"/>
        </w:rPr>
        <w:t>时限，提高案件办理</w:t>
      </w:r>
      <w:r>
        <w:rPr>
          <w:rFonts w:hint="eastAsia" w:ascii="仿宋_GB2312" w:hAnsi="仿宋_GB2312" w:eastAsia="仿宋_GB2312" w:cs="仿宋_GB2312"/>
          <w:color w:val="auto"/>
          <w:kern w:val="0"/>
          <w:sz w:val="32"/>
          <w:szCs w:val="32"/>
          <w:u w:val="none"/>
          <w:lang w:eastAsia="zh-CN"/>
        </w:rPr>
        <w:t>数量和质量效率</w:t>
      </w:r>
      <w:r>
        <w:rPr>
          <w:rFonts w:hint="eastAsia" w:ascii="仿宋_GB2312" w:hAnsi="仿宋_GB2312" w:eastAsia="仿宋_GB2312" w:cs="仿宋_GB2312"/>
          <w:color w:val="auto"/>
          <w:kern w:val="0"/>
          <w:sz w:val="32"/>
          <w:szCs w:val="32"/>
          <w:u w:val="none"/>
        </w:rPr>
        <w:t>。</w:t>
      </w:r>
      <w:r>
        <w:rPr>
          <w:rFonts w:hint="eastAsia" w:ascii="仿宋_GB2312" w:hAnsi="Calibri" w:eastAsia="仿宋_GB2312" w:cs="宋体"/>
          <w:color w:val="auto"/>
          <w:kern w:val="0"/>
          <w:sz w:val="32"/>
          <w:szCs w:val="32"/>
          <w:u w:val="none"/>
        </w:rPr>
        <w:t>深入推进技术机构事业单位改革，</w:t>
      </w:r>
      <w:r>
        <w:rPr>
          <w:rFonts w:ascii="Times New Roman" w:hAnsi="Times New Roman" w:eastAsia="仿宋_GB2312" w:cs="Times New Roman"/>
          <w:color w:val="auto"/>
          <w:sz w:val="32"/>
          <w:szCs w:val="32"/>
          <w:u w:val="none"/>
        </w:rPr>
        <w:t>加强对各直属事业机构的规范管理。</w:t>
      </w:r>
      <w:r>
        <w:rPr>
          <w:rFonts w:hint="eastAsia" w:ascii="仿宋_GB2312" w:hAnsi="Calibri" w:eastAsia="仿宋_GB2312" w:cs="宋体"/>
          <w:color w:val="auto"/>
          <w:kern w:val="0"/>
          <w:sz w:val="32"/>
          <w:szCs w:val="32"/>
          <w:u w:val="none"/>
        </w:rPr>
        <w:t>开展市场监管所标准化规范化建设达标活动，</w:t>
      </w:r>
      <w:r>
        <w:rPr>
          <w:rFonts w:ascii="仿宋_GB2312" w:hAnsi="Times New Roman" w:eastAsia="仿宋_GB2312" w:cs="Times New Roman"/>
          <w:color w:val="auto"/>
          <w:kern w:val="0"/>
          <w:sz w:val="32"/>
          <w:szCs w:val="32"/>
          <w:u w:val="none"/>
        </w:rPr>
        <w:t>全面构建设置科学合理、职能责任清晰、设施设备齐全、监管网络覆盖、运作顺畅高效、管理规范有序的市场监管所，大力提升市场监管基层治理水平，</w:t>
      </w:r>
      <w:r>
        <w:rPr>
          <w:rFonts w:hint="eastAsia" w:ascii="仿宋_GB2312" w:hAnsi="Calibri" w:eastAsia="仿宋_GB2312" w:cs="宋体"/>
          <w:color w:val="auto"/>
          <w:kern w:val="0"/>
          <w:sz w:val="32"/>
          <w:szCs w:val="32"/>
          <w:u w:val="none"/>
        </w:rPr>
        <w:t>2023年</w:t>
      </w:r>
      <w:r>
        <w:rPr>
          <w:rFonts w:hint="eastAsia" w:ascii="仿宋_GB2312" w:hAnsi="Calibri" w:eastAsia="仿宋_GB2312" w:cs="宋体"/>
          <w:color w:val="auto"/>
          <w:kern w:val="0"/>
          <w:sz w:val="32"/>
          <w:szCs w:val="32"/>
          <w:u w:val="none"/>
          <w:lang w:eastAsia="zh-CN"/>
        </w:rPr>
        <w:t>年</w:t>
      </w:r>
      <w:r>
        <w:rPr>
          <w:rFonts w:hint="eastAsia" w:ascii="仿宋_GB2312" w:hAnsi="Calibri" w:eastAsia="仿宋_GB2312" w:cs="宋体"/>
          <w:color w:val="auto"/>
          <w:kern w:val="0"/>
          <w:sz w:val="32"/>
          <w:szCs w:val="32"/>
          <w:u w:val="none"/>
        </w:rPr>
        <w:t>底前</w:t>
      </w:r>
      <w:r>
        <w:rPr>
          <w:rFonts w:hint="eastAsia" w:ascii="仿宋_GB2312" w:hAnsi="仿宋_GB2312" w:eastAsia="仿宋_GB2312" w:cs="仿宋_GB2312"/>
          <w:color w:val="auto"/>
          <w:sz w:val="32"/>
          <w:szCs w:val="32"/>
          <w:u w:val="none"/>
          <w:lang w:eastAsia="zh-CN"/>
        </w:rPr>
        <w:t>全市基层监管所</w:t>
      </w:r>
      <w:r>
        <w:rPr>
          <w:rFonts w:hint="eastAsia" w:ascii="仿宋_GB2312" w:hAnsi="Calibri" w:eastAsia="仿宋_GB2312" w:cs="宋体"/>
          <w:color w:val="auto"/>
          <w:kern w:val="0"/>
          <w:sz w:val="32"/>
          <w:szCs w:val="32"/>
          <w:u w:val="none"/>
        </w:rPr>
        <w:t>全部达标。</w:t>
      </w:r>
      <w:r>
        <w:rPr>
          <w:rFonts w:hint="eastAsia" w:ascii="仿宋_GB2312" w:hAnsi="Calibri" w:eastAsia="仿宋_GB2312" w:cs="宋体"/>
          <w:color w:val="auto"/>
          <w:kern w:val="0"/>
          <w:sz w:val="32"/>
          <w:szCs w:val="32"/>
          <w:u w:val="none"/>
          <w:lang w:eastAsia="zh-CN"/>
        </w:rPr>
        <w:t>基层监管所经费按照国家规定的经费项目列入财政预算。</w:t>
      </w:r>
    </w:p>
    <w:p w14:paraId="5CBC57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u w:val="none"/>
        </w:rPr>
      </w:pPr>
      <w:r>
        <w:rPr>
          <w:rFonts w:ascii="仿宋_GB2312" w:hAnsi="Times New Roman" w:eastAsia="仿宋_GB2312" w:cs="Times New Roman"/>
          <w:b/>
          <w:bCs/>
          <w:color w:val="auto"/>
          <w:sz w:val="32"/>
          <w:szCs w:val="32"/>
          <w:u w:val="none"/>
        </w:rPr>
        <w:t>健全市场监管法治保障体系</w:t>
      </w:r>
      <w:r>
        <w:rPr>
          <w:rFonts w:hint="eastAsia" w:ascii="仿宋_GB2312" w:hAnsi="Times New Roman" w:eastAsia="仿宋_GB2312" w:cs="Times New Roman"/>
          <w:b/>
          <w:bCs/>
          <w:color w:val="auto"/>
          <w:sz w:val="32"/>
          <w:szCs w:val="32"/>
          <w:u w:val="none"/>
        </w:rPr>
        <w:t>。</w:t>
      </w:r>
      <w:r>
        <w:rPr>
          <w:rFonts w:hint="eastAsia" w:ascii="仿宋_GB2312" w:hAnsi="Calibri" w:eastAsia="仿宋_GB2312" w:cs="宋体"/>
          <w:color w:val="auto"/>
          <w:kern w:val="0"/>
          <w:sz w:val="32"/>
          <w:szCs w:val="32"/>
          <w:u w:val="none"/>
        </w:rPr>
        <w:t>完善依法行政制度，严格合法性审查，执行重大行政决策程序规定。严格执行规范性文件制定程序，规范性文件报备率、及时率、规范率达100%。</w:t>
      </w:r>
      <w:r>
        <w:rPr>
          <w:rFonts w:hint="eastAsia" w:ascii="仿宋_GB2312" w:hAnsi="Calibri" w:eastAsia="仿宋_GB2312" w:cs="宋体"/>
          <w:color w:val="auto"/>
          <w:kern w:val="0"/>
          <w:sz w:val="32"/>
          <w:szCs w:val="32"/>
          <w:u w:val="none"/>
          <w:lang w:eastAsia="zh-CN"/>
        </w:rPr>
        <w:t>执行全省</w:t>
      </w:r>
      <w:r>
        <w:rPr>
          <w:rFonts w:hint="eastAsia" w:ascii="仿宋_GB2312" w:hAnsi="Calibri" w:eastAsia="仿宋_GB2312" w:cs="宋体"/>
          <w:color w:val="auto"/>
          <w:kern w:val="0"/>
          <w:sz w:val="32"/>
          <w:szCs w:val="32"/>
          <w:u w:val="none"/>
        </w:rPr>
        <w:t>市场监管事权划分，全面落实执法过错责任追究</w:t>
      </w:r>
      <w:r>
        <w:rPr>
          <w:rFonts w:hint="eastAsia" w:ascii="仿宋_GB2312" w:hAnsi="Calibri" w:eastAsia="仿宋_GB2312" w:cs="宋体"/>
          <w:color w:val="auto"/>
          <w:kern w:val="0"/>
          <w:sz w:val="32"/>
          <w:szCs w:val="32"/>
          <w:u w:val="none"/>
          <w:lang w:eastAsia="zh-CN"/>
        </w:rPr>
        <w:t>和</w:t>
      </w:r>
      <w:r>
        <w:rPr>
          <w:rFonts w:hint="eastAsia" w:ascii="仿宋_GB2312" w:hAnsi="Calibri" w:eastAsia="仿宋_GB2312" w:cs="宋体"/>
          <w:color w:val="auto"/>
          <w:kern w:val="0"/>
          <w:sz w:val="32"/>
          <w:szCs w:val="32"/>
          <w:u w:val="none"/>
        </w:rPr>
        <w:t>依法</w:t>
      </w:r>
      <w:bookmarkStart w:id="1" w:name="_GoBack"/>
      <w:bookmarkEnd w:id="1"/>
      <w:r>
        <w:rPr>
          <w:rFonts w:hint="eastAsia" w:ascii="仿宋_GB2312" w:hAnsi="Calibri" w:eastAsia="仿宋_GB2312" w:cs="宋体"/>
          <w:color w:val="auto"/>
          <w:kern w:val="0"/>
          <w:sz w:val="32"/>
          <w:szCs w:val="32"/>
          <w:u w:val="none"/>
          <w:lang w:eastAsia="zh-CN"/>
        </w:rPr>
        <w:t>履职尽责</w:t>
      </w:r>
      <w:r>
        <w:rPr>
          <w:rFonts w:hint="eastAsia" w:ascii="仿宋_GB2312" w:hAnsi="Calibri" w:eastAsia="仿宋_GB2312" w:cs="宋体"/>
          <w:color w:val="auto"/>
          <w:kern w:val="0"/>
          <w:sz w:val="32"/>
          <w:szCs w:val="32"/>
          <w:u w:val="none"/>
        </w:rPr>
        <w:t>免责制度。健全行政处罚裁量适用制度，严格规范行政处罚裁量适用权行使</w:t>
      </w:r>
      <w:r>
        <w:rPr>
          <w:rFonts w:hint="eastAsia" w:ascii="仿宋_GB2312" w:hAnsi="Calibri" w:eastAsia="仿宋_GB2312" w:cs="宋体"/>
          <w:color w:val="auto"/>
          <w:kern w:val="0"/>
          <w:sz w:val="32"/>
          <w:szCs w:val="32"/>
          <w:u w:val="none"/>
          <w:lang w:eastAsia="zh-CN"/>
        </w:rPr>
        <w:t>，完善市场监管权责清单和免罚清单，</w:t>
      </w:r>
      <w:r>
        <w:rPr>
          <w:rFonts w:hint="eastAsia" w:ascii="仿宋_GB2312" w:hAnsi="Calibri" w:eastAsia="仿宋_GB2312" w:cs="宋体"/>
          <w:color w:val="auto"/>
          <w:kern w:val="0"/>
          <w:sz w:val="32"/>
          <w:szCs w:val="32"/>
          <w:u w:val="none"/>
        </w:rPr>
        <w:t>进一步完善行政处罚程序规定，落实常态化执法监督制度。落实行政机关负责人出庭应诉制度。</w:t>
      </w:r>
      <w:r>
        <w:rPr>
          <w:rFonts w:ascii="Times New Roman" w:hAnsi="Times New Roman" w:eastAsia="仿宋_GB2312" w:cs="Times New Roman"/>
          <w:color w:val="auto"/>
          <w:sz w:val="32"/>
          <w:szCs w:val="32"/>
          <w:u w:val="none"/>
        </w:rPr>
        <w:t>充分发挥法律顾问、公职律师在行政处罚审核、行政复议、行政诉讼等方面的专业作用。</w:t>
      </w:r>
      <w:r>
        <w:rPr>
          <w:rFonts w:ascii="Times New Roman" w:hAnsi="Times New Roman" w:eastAsia="仿宋_GB2312" w:cs="Times New Roman"/>
          <w:bCs/>
          <w:color w:val="auto"/>
          <w:sz w:val="32"/>
          <w:szCs w:val="32"/>
          <w:u w:val="none"/>
        </w:rPr>
        <w:t>深化</w:t>
      </w:r>
      <w:r>
        <w:rPr>
          <w:rFonts w:ascii="Times New Roman" w:hAnsi="Times New Roman" w:eastAsia="仿宋_GB2312" w:cs="Times New Roman"/>
          <w:color w:val="auto"/>
          <w:sz w:val="32"/>
          <w:szCs w:val="32"/>
          <w:u w:val="none"/>
        </w:rPr>
        <w:t>“八五”</w:t>
      </w:r>
      <w:r>
        <w:rPr>
          <w:rFonts w:ascii="Times New Roman" w:hAnsi="Times New Roman" w:eastAsia="仿宋_GB2312" w:cs="Times New Roman"/>
          <w:bCs/>
          <w:color w:val="auto"/>
          <w:sz w:val="32"/>
          <w:szCs w:val="32"/>
          <w:u w:val="none"/>
        </w:rPr>
        <w:t>普法宣传，</w:t>
      </w:r>
      <w:r>
        <w:rPr>
          <w:rFonts w:ascii="Times New Roman" w:hAnsi="Times New Roman" w:eastAsia="仿宋_GB2312" w:cs="Times New Roman"/>
          <w:color w:val="auto"/>
          <w:sz w:val="32"/>
          <w:szCs w:val="32"/>
          <w:u w:val="none"/>
        </w:rPr>
        <w:t>开展“法律六进”活动，体现市场监管法治文</w:t>
      </w:r>
      <w:r>
        <w:rPr>
          <w:rFonts w:hint="eastAsia" w:ascii="Times New Roman" w:hAnsi="Times New Roman" w:eastAsia="仿宋_GB2312" w:cs="Times New Roman"/>
          <w:color w:val="auto"/>
          <w:sz w:val="32"/>
          <w:szCs w:val="32"/>
          <w:u w:val="none"/>
          <w:lang w:eastAsia="zh-CN"/>
        </w:rPr>
        <w:t>化</w:t>
      </w:r>
      <w:r>
        <w:rPr>
          <w:rFonts w:ascii="Times New Roman" w:hAnsi="Times New Roman" w:eastAsia="仿宋_GB2312" w:cs="Times New Roman"/>
          <w:color w:val="auto"/>
          <w:sz w:val="32"/>
          <w:szCs w:val="32"/>
          <w:u w:val="none"/>
        </w:rPr>
        <w:t>，提高法治宣传教育效果。</w:t>
      </w:r>
    </w:p>
    <w:p w14:paraId="5FF2F1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Calibri" w:eastAsia="仿宋_GB2312" w:cs="宋体"/>
          <w:color w:val="auto"/>
          <w:kern w:val="0"/>
          <w:sz w:val="32"/>
          <w:szCs w:val="32"/>
          <w:u w:val="none"/>
        </w:rPr>
      </w:pPr>
      <w:r>
        <w:rPr>
          <w:rFonts w:ascii="仿宋_GB2312" w:hAnsi="Times New Roman" w:eastAsia="仿宋_GB2312" w:cs="Times New Roman"/>
          <w:b/>
          <w:bCs/>
          <w:color w:val="auto"/>
          <w:sz w:val="32"/>
          <w:szCs w:val="32"/>
          <w:u w:val="none"/>
        </w:rPr>
        <w:t>完善新型市场监管机制</w:t>
      </w:r>
      <w:r>
        <w:rPr>
          <w:rFonts w:hint="eastAsia" w:ascii="仿宋_GB2312" w:hAnsi="Times New Roman" w:eastAsia="仿宋_GB2312" w:cs="Times New Roman"/>
          <w:b/>
          <w:bCs/>
          <w:color w:val="auto"/>
          <w:sz w:val="32"/>
          <w:szCs w:val="32"/>
          <w:u w:val="none"/>
        </w:rPr>
        <w:t>。</w:t>
      </w:r>
      <w:r>
        <w:rPr>
          <w:rFonts w:hint="eastAsia" w:ascii="仿宋_GB2312" w:hAnsi="Times New Roman" w:eastAsia="仿宋_GB2312" w:cs="Times New Roman"/>
          <w:bCs/>
          <w:color w:val="auto"/>
          <w:sz w:val="32"/>
          <w:szCs w:val="32"/>
          <w:u w:val="none"/>
        </w:rPr>
        <w:t>深化</w:t>
      </w:r>
      <w:r>
        <w:rPr>
          <w:rFonts w:hint="eastAsia" w:ascii="仿宋_GB2312" w:hAnsi="Times New Roman" w:eastAsia="仿宋_GB2312" w:cs="Times New Roman"/>
          <w:bCs/>
          <w:color w:val="auto"/>
          <w:spacing w:val="-2"/>
          <w:sz w:val="32"/>
          <w:szCs w:val="32"/>
          <w:u w:val="none"/>
        </w:rPr>
        <w:t>“双随机、一公开”监管，</w:t>
      </w:r>
      <w:r>
        <w:rPr>
          <w:rFonts w:ascii="Times New Roman" w:hAnsi="Times New Roman" w:eastAsia="仿宋_GB2312" w:cs="Times New Roman"/>
          <w:color w:val="auto"/>
          <w:spacing w:val="-2"/>
          <w:sz w:val="32"/>
          <w:szCs w:val="32"/>
          <w:u w:val="none"/>
        </w:rPr>
        <w:t>巩固跨部门联合抽查常态化工作机制。完善双随机抽查工作规范，建立以“纵向发起、市抽县查或市抽市县联查”的工作模式。</w:t>
      </w:r>
      <w:r>
        <w:rPr>
          <w:rFonts w:hint="eastAsia" w:ascii="仿宋_GB2312" w:hAnsi="Calibri" w:eastAsia="仿宋_GB2312" w:cs="宋体"/>
          <w:color w:val="auto"/>
          <w:kern w:val="0"/>
          <w:sz w:val="32"/>
          <w:szCs w:val="32"/>
          <w:u w:val="none"/>
        </w:rPr>
        <w:t>完善多类别检查对象库，推动双随机抽查移动端应用。加大事中事后综合监管平台推广应用力度，强化涉企信息归集公示，推进重点领域涉企信息“应归尽归”。</w:t>
      </w:r>
      <w:r>
        <w:rPr>
          <w:rFonts w:ascii="Times New Roman" w:hAnsi="Times New Roman" w:eastAsia="仿宋_GB2312" w:cs="Times New Roman"/>
          <w:color w:val="auto"/>
          <w:spacing w:val="-2"/>
          <w:sz w:val="32"/>
          <w:szCs w:val="32"/>
          <w:u w:val="none"/>
        </w:rPr>
        <w:t>深化企业“多报合一”改革，强化市场主体公示信息抽查。</w:t>
      </w:r>
      <w:r>
        <w:rPr>
          <w:rFonts w:hint="eastAsia" w:ascii="仿宋_GB2312" w:hAnsi="Calibri" w:eastAsia="仿宋_GB2312" w:cs="宋体"/>
          <w:color w:val="auto"/>
          <w:kern w:val="0"/>
          <w:sz w:val="32"/>
          <w:szCs w:val="32"/>
          <w:u w:val="none"/>
        </w:rPr>
        <w:t>推进重点领域信用监管，</w:t>
      </w:r>
      <w:r>
        <w:rPr>
          <w:rFonts w:hint="eastAsia" w:ascii="仿宋_GB2312" w:hAnsi="Calibri" w:eastAsia="仿宋_GB2312" w:cs="宋体"/>
          <w:color w:val="auto"/>
          <w:spacing w:val="-8"/>
          <w:kern w:val="0"/>
          <w:sz w:val="32"/>
          <w:szCs w:val="32"/>
          <w:u w:val="none"/>
        </w:rPr>
        <w:t>完善严重违法失信名单管理，</w:t>
      </w:r>
      <w:r>
        <w:rPr>
          <w:rFonts w:hint="eastAsia" w:ascii="仿宋_GB2312" w:hAnsi="Calibri" w:eastAsia="仿宋_GB2312" w:cs="宋体"/>
          <w:color w:val="auto"/>
          <w:kern w:val="0"/>
          <w:sz w:val="32"/>
          <w:szCs w:val="32"/>
          <w:u w:val="none"/>
        </w:rPr>
        <w:t>加大信用约束和惩戒。健全信用修复机制，</w:t>
      </w:r>
      <w:r>
        <w:rPr>
          <w:rFonts w:hint="eastAsia" w:ascii="仿宋_GB2312" w:hAnsi="Calibri" w:eastAsia="仿宋_GB2312" w:cs="宋体"/>
          <w:color w:val="auto"/>
          <w:spacing w:val="-8"/>
          <w:kern w:val="0"/>
          <w:sz w:val="32"/>
          <w:szCs w:val="32"/>
          <w:u w:val="none"/>
        </w:rPr>
        <w:t>推进企业信用修复部门联动</w:t>
      </w:r>
      <w:r>
        <w:rPr>
          <w:rFonts w:hint="eastAsia" w:ascii="仿宋_GB2312" w:hAnsi="Calibri" w:eastAsia="仿宋_GB2312" w:cs="宋体"/>
          <w:color w:val="auto"/>
          <w:kern w:val="0"/>
          <w:sz w:val="32"/>
          <w:szCs w:val="32"/>
          <w:u w:val="none"/>
        </w:rPr>
        <w:t>。强化企业信用风险分类管理，推行“通用+专业”信用管理模式，实施差异化监管。积极</w:t>
      </w:r>
      <w:r>
        <w:rPr>
          <w:rFonts w:hint="eastAsia" w:ascii="仿宋_GB2312" w:hAnsi="Calibri" w:eastAsia="仿宋_GB2312" w:cs="宋体"/>
          <w:color w:val="auto"/>
          <w:spacing w:val="-8"/>
          <w:kern w:val="0"/>
          <w:sz w:val="32"/>
          <w:szCs w:val="32"/>
          <w:u w:val="none"/>
        </w:rPr>
        <w:t>构建</w:t>
      </w:r>
      <w:r>
        <w:rPr>
          <w:rFonts w:hint="eastAsia" w:ascii="仿宋_GB2312" w:hAnsi="Calibri" w:eastAsia="仿宋_GB2312" w:cs="宋体"/>
          <w:color w:val="auto"/>
          <w:kern w:val="0"/>
          <w:sz w:val="32"/>
          <w:szCs w:val="32"/>
          <w:u w:val="none"/>
        </w:rPr>
        <w:t>“智慧化＋信用化＋网格化”三位一体新型监管机制，实现对市场主体全链条闭环管理。实行严格的“处罚到人”制度，落实惩罚性赔偿制度。实施市场主体责任清单管理，引导市场主体履行责任承诺，强化涉及人身健康安全领域的内部举报人（吹哨人）制度。推广高风险领域社会保险分担制度。</w:t>
      </w:r>
    </w:p>
    <w:p w14:paraId="3F1533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宋体"/>
          <w:color w:val="auto"/>
          <w:kern w:val="0"/>
          <w:sz w:val="32"/>
          <w:szCs w:val="32"/>
          <w:u w:val="none"/>
        </w:rPr>
      </w:pPr>
      <w:r>
        <w:rPr>
          <w:rFonts w:ascii="仿宋_GB2312" w:hAnsi="Times New Roman" w:eastAsia="仿宋_GB2312" w:cs="Times New Roman"/>
          <w:b/>
          <w:bCs/>
          <w:color w:val="auto"/>
          <w:sz w:val="32"/>
          <w:szCs w:val="32"/>
          <w:u w:val="none"/>
        </w:rPr>
        <w:t>推进市场监管“数智化”建设</w:t>
      </w:r>
      <w:r>
        <w:rPr>
          <w:rFonts w:hint="eastAsia" w:ascii="仿宋_GB2312" w:hAnsi="Times New Roman" w:eastAsia="仿宋_GB2312" w:cs="Times New Roman"/>
          <w:b/>
          <w:bCs/>
          <w:color w:val="auto"/>
          <w:sz w:val="32"/>
          <w:szCs w:val="32"/>
          <w:u w:val="none"/>
        </w:rPr>
        <w:t>。</w:t>
      </w:r>
      <w:r>
        <w:rPr>
          <w:rFonts w:ascii="Times New Roman" w:hAnsi="Times New Roman" w:eastAsia="仿宋_GB2312" w:cs="Times New Roman"/>
          <w:color w:val="auto"/>
          <w:spacing w:val="-2"/>
          <w:sz w:val="32"/>
          <w:szCs w:val="32"/>
          <w:u w:val="none"/>
        </w:rPr>
        <w:t>围绕深化机构改革和服务高质量发展需要，</w:t>
      </w:r>
      <w:r>
        <w:rPr>
          <w:rFonts w:hint="eastAsia" w:ascii="仿宋_GB2312" w:hAnsi="Calibri" w:eastAsia="仿宋_GB2312" w:cs="宋体"/>
          <w:color w:val="auto"/>
          <w:kern w:val="0"/>
          <w:sz w:val="32"/>
          <w:szCs w:val="32"/>
          <w:u w:val="none"/>
        </w:rPr>
        <w:t>推进集科学监管、智慧监管、信用监管、阳光监管和综合监管为一体的“数智化”市场监管信息化建设，全面实现市场监管“单点登录、一屏通办、一屏统管”。加快政务信息系统整合，推进政务信息系统迁移上云和非涉密业务专网向电子政务外网整合迁移。深化“互联网+政务服务”，推广企业登记、审批许可全程电子化</w:t>
      </w:r>
      <w:r>
        <w:rPr>
          <w:rFonts w:hint="eastAsia" w:ascii="仿宋_GB2312" w:hAnsi="Calibri" w:eastAsia="仿宋_GB2312" w:cs="宋体"/>
          <w:color w:val="auto"/>
          <w:kern w:val="0"/>
          <w:sz w:val="32"/>
          <w:szCs w:val="32"/>
          <w:u w:val="none"/>
          <w:lang w:eastAsia="zh-CN"/>
        </w:rPr>
        <w:t>和</w:t>
      </w:r>
      <w:r>
        <w:rPr>
          <w:rFonts w:hint="eastAsia" w:ascii="仿宋_GB2312" w:hAnsi="Calibri" w:eastAsia="仿宋_GB2312" w:cs="宋体"/>
          <w:color w:val="auto"/>
          <w:kern w:val="0"/>
          <w:sz w:val="32"/>
          <w:szCs w:val="32"/>
          <w:u w:val="none"/>
        </w:rPr>
        <w:t>“一网通办”、“跨省通办”。依托省市场监管局智慧监管中心，全面整合信息资源和业务数据，</w:t>
      </w:r>
      <w:r>
        <w:rPr>
          <w:rFonts w:ascii="Times New Roman" w:hAnsi="Times New Roman" w:eastAsia="仿宋_GB2312" w:cs="Times New Roman"/>
          <w:color w:val="auto"/>
          <w:spacing w:val="-2"/>
          <w:sz w:val="32"/>
          <w:szCs w:val="32"/>
          <w:u w:val="none"/>
        </w:rPr>
        <w:t>建成我市“数智化”市场监管平台，</w:t>
      </w:r>
      <w:r>
        <w:rPr>
          <w:rFonts w:hint="eastAsia" w:ascii="仿宋_GB2312" w:hAnsi="Calibri" w:eastAsia="仿宋_GB2312" w:cs="宋体"/>
          <w:color w:val="auto"/>
          <w:kern w:val="0"/>
          <w:sz w:val="32"/>
          <w:szCs w:val="32"/>
          <w:u w:val="none"/>
        </w:rPr>
        <w:t>通过构建企业全息精准画像，逐步实现“数</w:t>
      </w:r>
      <w:r>
        <w:rPr>
          <w:rFonts w:ascii="Times New Roman" w:hAnsi="Times New Roman" w:eastAsia="仿宋_GB2312" w:cs="Times New Roman"/>
          <w:color w:val="auto"/>
          <w:spacing w:val="-2"/>
          <w:sz w:val="32"/>
          <w:szCs w:val="32"/>
          <w:u w:val="none"/>
        </w:rPr>
        <w:t>智</w:t>
      </w:r>
      <w:r>
        <w:rPr>
          <w:rFonts w:hint="eastAsia" w:ascii="仿宋_GB2312" w:hAnsi="Calibri" w:eastAsia="仿宋_GB2312" w:cs="宋体"/>
          <w:color w:val="auto"/>
          <w:kern w:val="0"/>
          <w:sz w:val="32"/>
          <w:szCs w:val="32"/>
          <w:u w:val="none"/>
        </w:rPr>
        <w:t>化”市场监管。</w:t>
      </w:r>
    </w:p>
    <w:tbl>
      <w:tblPr>
        <w:tblStyle w:val="1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6808"/>
      </w:tblGrid>
      <w:tr w14:paraId="685B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2"/>
          </w:tcPr>
          <w:p w14:paraId="7615C5EF">
            <w:pPr>
              <w:pStyle w:val="2"/>
              <w:spacing w:line="400" w:lineRule="exact"/>
              <w:jc w:val="center"/>
              <w:rPr>
                <w:rFonts w:ascii="楷体_GB2312" w:hAnsi="黑体" w:eastAsia="楷体_GB2312" w:cs="Times New Roman"/>
                <w:b w:val="0"/>
                <w:bCs w:val="0"/>
                <w:color w:val="auto"/>
                <w:sz w:val="32"/>
                <w:szCs w:val="32"/>
              </w:rPr>
            </w:pPr>
            <w:r>
              <w:rPr>
                <w:rFonts w:ascii="Times New Roman" w:hAnsi="Times New Roman" w:eastAsia="黑体" w:cs="Times New Roman"/>
                <w:b w:val="0"/>
                <w:bCs w:val="0"/>
                <w:color w:val="auto"/>
                <w:sz w:val="28"/>
                <w:szCs w:val="28"/>
              </w:rPr>
              <w:t>专栏</w:t>
            </w:r>
            <w:r>
              <w:rPr>
                <w:rFonts w:hint="eastAsia" w:ascii="Times New Roman" w:hAnsi="Times New Roman" w:eastAsia="黑体" w:cs="Times New Roman"/>
                <w:b w:val="0"/>
                <w:bCs w:val="0"/>
                <w:color w:val="auto"/>
                <w:sz w:val="28"/>
                <w:szCs w:val="28"/>
                <w:lang w:val="en-US" w:eastAsia="zh-CN"/>
              </w:rPr>
              <w:t>8</w:t>
            </w:r>
            <w:r>
              <w:rPr>
                <w:rFonts w:hint="eastAsia" w:ascii="Times New Roman" w:hAnsi="Times New Roman" w:eastAsia="黑体" w:cs="Times New Roman"/>
                <w:b w:val="0"/>
                <w:bCs w:val="0"/>
                <w:color w:val="auto"/>
                <w:sz w:val="28"/>
                <w:szCs w:val="28"/>
              </w:rPr>
              <w:t xml:space="preserve">  </w:t>
            </w:r>
            <w:r>
              <w:rPr>
                <w:rFonts w:ascii="Times New Roman" w:hAnsi="Times New Roman" w:eastAsia="黑体" w:cs="Times New Roman"/>
                <w:b w:val="0"/>
                <w:bCs w:val="0"/>
                <w:color w:val="auto"/>
                <w:sz w:val="28"/>
                <w:szCs w:val="28"/>
              </w:rPr>
              <w:t>“数智化”市场监管平台建设任务</w:t>
            </w:r>
          </w:p>
        </w:tc>
      </w:tr>
      <w:tr w14:paraId="6EC9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Align w:val="center"/>
          </w:tcPr>
          <w:p w14:paraId="642880AB">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项目名称</w:t>
            </w:r>
          </w:p>
        </w:tc>
        <w:tc>
          <w:tcPr>
            <w:tcW w:w="6808" w:type="dxa"/>
          </w:tcPr>
          <w:p w14:paraId="3F0EB3EB">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主</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要</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内</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容</w:t>
            </w:r>
          </w:p>
        </w:tc>
      </w:tr>
      <w:tr w14:paraId="0AA1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exact"/>
          <w:jc w:val="center"/>
        </w:trPr>
        <w:tc>
          <w:tcPr>
            <w:tcW w:w="2138" w:type="dxa"/>
            <w:vAlign w:val="center"/>
          </w:tcPr>
          <w:p w14:paraId="4164CC37">
            <w:pPr>
              <w:pStyle w:val="2"/>
              <w:pageBreakBefore w:val="0"/>
              <w:kinsoku/>
              <w:wordWrap/>
              <w:overflowPunct/>
              <w:topLinePunct w:val="0"/>
              <w:autoSpaceDE/>
              <w:autoSpaceDN/>
              <w:bidi w:val="0"/>
              <w:adjustRightInd/>
              <w:snapToGrid/>
              <w:spacing w:line="400" w:lineRule="exact"/>
              <w:jc w:val="center"/>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农贸市场食品安全快检室“互联网+监管”</w:t>
            </w:r>
          </w:p>
          <w:p w14:paraId="0D579716">
            <w:pPr>
              <w:pStyle w:val="2"/>
              <w:pageBreakBefore w:val="0"/>
              <w:kinsoku/>
              <w:wordWrap/>
              <w:overflowPunct/>
              <w:topLinePunct w:val="0"/>
              <w:autoSpaceDE/>
              <w:autoSpaceDN/>
              <w:bidi w:val="0"/>
              <w:adjustRightInd/>
              <w:snapToGrid/>
              <w:spacing w:line="400" w:lineRule="exact"/>
              <w:jc w:val="center"/>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建设</w:t>
            </w:r>
          </w:p>
        </w:tc>
        <w:tc>
          <w:tcPr>
            <w:tcW w:w="6808" w:type="dxa"/>
          </w:tcPr>
          <w:p w14:paraId="2E559427">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持续推进完善农贸市场食品安全快检室“互联网+监管”建设。</w:t>
            </w:r>
            <w:r>
              <w:rPr>
                <w:rFonts w:ascii="Times New Roman" w:hAnsi="Times New Roman" w:eastAsia="仿宋_GB2312" w:cs="Times New Roman"/>
                <w:b w:val="0"/>
                <w:bCs w:val="0"/>
                <w:color w:val="auto"/>
                <w:kern w:val="2"/>
                <w:sz w:val="28"/>
                <w:szCs w:val="28"/>
                <w:lang w:val="en-US" w:eastAsia="zh-CN" w:bidi="ar-SA"/>
              </w:rPr>
              <w:t>实现视频联网监控全覆盖，确保快检室规范化运行。</w:t>
            </w:r>
          </w:p>
        </w:tc>
      </w:tr>
      <w:tr w14:paraId="1A28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exact"/>
          <w:jc w:val="center"/>
        </w:trPr>
        <w:tc>
          <w:tcPr>
            <w:tcW w:w="2138" w:type="dxa"/>
            <w:vAlign w:val="center"/>
          </w:tcPr>
          <w:p w14:paraId="15DB9873">
            <w:pPr>
              <w:pStyle w:val="2"/>
              <w:pageBreakBefore w:val="0"/>
              <w:kinsoku/>
              <w:wordWrap/>
              <w:overflowPunct/>
              <w:topLinePunct w:val="0"/>
              <w:autoSpaceDE/>
              <w:autoSpaceDN/>
              <w:bidi w:val="0"/>
              <w:adjustRightInd/>
              <w:snapToGrid/>
              <w:spacing w:line="400" w:lineRule="exact"/>
              <w:jc w:val="center"/>
              <w:rPr>
                <w:rFonts w:hint="eastAsia" w:ascii="Times New Roman" w:hAnsi="Times New Roman" w:eastAsia="仿宋_GB2312" w:cs="Times New Roman"/>
                <w:b w:val="0"/>
                <w:bCs w:val="0"/>
                <w:color w:val="auto"/>
                <w:kern w:val="2"/>
                <w:sz w:val="28"/>
                <w:szCs w:val="28"/>
                <w:lang w:val="en-US" w:eastAsia="zh-CN" w:bidi="ar-SA"/>
              </w:rPr>
            </w:pPr>
            <w:r>
              <w:rPr>
                <w:rFonts w:ascii="Times New Roman" w:hAnsi="Times New Roman" w:eastAsia="仿宋_GB2312" w:cs="Times New Roman"/>
                <w:b w:val="0"/>
                <w:bCs w:val="0"/>
                <w:color w:val="auto"/>
                <w:kern w:val="2"/>
                <w:sz w:val="28"/>
                <w:szCs w:val="28"/>
                <w:lang w:val="en-US" w:eastAsia="zh-CN" w:bidi="ar-SA"/>
              </w:rPr>
              <w:t>“互联网+明厨亮灶”</w:t>
            </w:r>
            <w:r>
              <w:rPr>
                <w:rFonts w:hint="eastAsia" w:ascii="Times New Roman" w:hAnsi="Times New Roman" w:eastAsia="仿宋_GB2312" w:cs="Times New Roman"/>
                <w:b w:val="0"/>
                <w:bCs w:val="0"/>
                <w:color w:val="auto"/>
                <w:kern w:val="2"/>
                <w:sz w:val="28"/>
                <w:szCs w:val="28"/>
                <w:lang w:val="en-US" w:eastAsia="zh-CN" w:bidi="ar-SA"/>
              </w:rPr>
              <w:t>建设</w:t>
            </w:r>
          </w:p>
        </w:tc>
        <w:tc>
          <w:tcPr>
            <w:tcW w:w="6808" w:type="dxa"/>
          </w:tcPr>
          <w:p w14:paraId="1EFEF819">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Times New Roman" w:hAnsi="Times New Roman" w:eastAsia="仿宋_GB2312" w:cs="Times New Roman"/>
                <w:b w:val="0"/>
                <w:bCs w:val="0"/>
                <w:color w:val="auto"/>
                <w:kern w:val="2"/>
                <w:sz w:val="28"/>
                <w:szCs w:val="28"/>
                <w:lang w:val="en-US" w:eastAsia="zh-CN" w:bidi="ar-SA"/>
              </w:rPr>
            </w:pPr>
            <w:r>
              <w:rPr>
                <w:rFonts w:ascii="Times New Roman" w:hAnsi="Times New Roman" w:eastAsia="仿宋_GB2312" w:cs="Times New Roman"/>
                <w:b w:val="0"/>
                <w:bCs w:val="0"/>
                <w:color w:val="auto"/>
                <w:kern w:val="2"/>
                <w:sz w:val="28"/>
                <w:szCs w:val="28"/>
                <w:lang w:val="en-US" w:eastAsia="zh-CN" w:bidi="ar-SA"/>
              </w:rPr>
              <w:t>提高“互联网+明厨亮灶”覆盖率。实施“互联网+明厨亮灶”工程，</w:t>
            </w:r>
            <w:r>
              <w:rPr>
                <w:rFonts w:hint="eastAsia" w:ascii="Times New Roman" w:hAnsi="Times New Roman" w:eastAsia="仿宋_GB2312" w:cs="Times New Roman"/>
                <w:b w:val="0"/>
                <w:bCs w:val="0"/>
                <w:color w:val="auto"/>
                <w:kern w:val="2"/>
                <w:sz w:val="28"/>
                <w:szCs w:val="28"/>
                <w:lang w:val="en-US" w:eastAsia="zh-CN" w:bidi="ar-SA"/>
              </w:rPr>
              <w:t>巩固完善学校食堂</w:t>
            </w:r>
            <w:r>
              <w:rPr>
                <w:rFonts w:ascii="Times New Roman" w:hAnsi="Times New Roman" w:eastAsia="仿宋_GB2312" w:cs="Times New Roman"/>
                <w:b w:val="0"/>
                <w:bCs w:val="0"/>
                <w:color w:val="auto"/>
                <w:kern w:val="2"/>
                <w:sz w:val="28"/>
                <w:szCs w:val="28"/>
                <w:lang w:val="en-US" w:eastAsia="zh-CN" w:bidi="ar-SA"/>
              </w:rPr>
              <w:t>“互联网+明厨亮灶”</w:t>
            </w:r>
            <w:r>
              <w:rPr>
                <w:rFonts w:hint="eastAsia" w:ascii="Times New Roman" w:hAnsi="Times New Roman" w:eastAsia="仿宋_GB2312" w:cs="Times New Roman"/>
                <w:b w:val="0"/>
                <w:bCs w:val="0"/>
                <w:color w:val="auto"/>
                <w:kern w:val="2"/>
                <w:sz w:val="28"/>
                <w:szCs w:val="28"/>
                <w:lang w:val="en-US" w:eastAsia="zh-CN" w:bidi="ar-SA"/>
              </w:rPr>
              <w:t>建设成果。</w:t>
            </w:r>
            <w:r>
              <w:rPr>
                <w:rFonts w:ascii="Times New Roman" w:hAnsi="Times New Roman" w:eastAsia="仿宋_GB2312" w:cs="Times New Roman"/>
                <w:b w:val="0"/>
                <w:bCs w:val="0"/>
                <w:color w:val="auto"/>
                <w:kern w:val="2"/>
                <w:sz w:val="28"/>
                <w:szCs w:val="28"/>
                <w:lang w:val="en-US" w:eastAsia="zh-CN" w:bidi="ar-SA"/>
              </w:rPr>
              <w:t>5A级旅游景区大型以上餐饮服务单位“互联网+明厨亮灶”实施率达100%。</w:t>
            </w:r>
          </w:p>
        </w:tc>
      </w:tr>
      <w:tr w14:paraId="0A5E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exact"/>
          <w:jc w:val="center"/>
        </w:trPr>
        <w:tc>
          <w:tcPr>
            <w:tcW w:w="2138" w:type="dxa"/>
            <w:vAlign w:val="center"/>
          </w:tcPr>
          <w:p w14:paraId="0EF7B18A">
            <w:pPr>
              <w:pStyle w:val="2"/>
              <w:pageBreakBefore w:val="0"/>
              <w:kinsoku/>
              <w:wordWrap/>
              <w:overflowPunct/>
              <w:topLinePunct w:val="0"/>
              <w:autoSpaceDE/>
              <w:autoSpaceDN/>
              <w:bidi w:val="0"/>
              <w:adjustRightInd/>
              <w:snapToGrid/>
              <w:spacing w:line="400" w:lineRule="exact"/>
              <w:jc w:val="center"/>
              <w:rPr>
                <w:rFonts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完善</w:t>
            </w:r>
            <w:r>
              <w:rPr>
                <w:rFonts w:ascii="Times New Roman" w:hAnsi="Times New Roman" w:eastAsia="仿宋_GB2312" w:cs="Times New Roman"/>
                <w:b w:val="0"/>
                <w:bCs w:val="0"/>
                <w:color w:val="auto"/>
                <w:kern w:val="2"/>
                <w:sz w:val="28"/>
                <w:szCs w:val="28"/>
                <w:lang w:val="en-US" w:eastAsia="zh-CN" w:bidi="ar-SA"/>
              </w:rPr>
              <w:t>覆盖全市的电梯应急处置及安全监管平台</w:t>
            </w:r>
          </w:p>
        </w:tc>
        <w:tc>
          <w:tcPr>
            <w:tcW w:w="6808" w:type="dxa"/>
          </w:tcPr>
          <w:p w14:paraId="476D24CC">
            <w:pPr>
              <w:keepNext w:val="0"/>
              <w:keepLines w:val="0"/>
              <w:pageBreakBefore w:val="0"/>
              <w:widowControl/>
              <w:suppressLineNumbers w:val="0"/>
              <w:kinsoku/>
              <w:wordWrap/>
              <w:overflowPunct/>
              <w:topLinePunct w:val="0"/>
              <w:autoSpaceDE/>
              <w:autoSpaceDN/>
              <w:bidi w:val="0"/>
              <w:adjustRightInd/>
              <w:snapToGrid/>
              <w:spacing w:before="63" w:beforeLines="20" w:line="400" w:lineRule="exact"/>
              <w:jc w:val="left"/>
              <w:textAlignment w:val="auto"/>
              <w:rPr>
                <w:rFonts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按照“政府主导、市场主营、多方参与、社会共享”的原则，应用</w:t>
            </w:r>
            <w:r>
              <w:rPr>
                <w:rFonts w:hint="default" w:ascii="Times New Roman" w:hAnsi="Times New Roman" w:eastAsia="仿宋_GB2312" w:cs="Times New Roman"/>
                <w:b w:val="0"/>
                <w:bCs w:val="0"/>
                <w:color w:val="auto"/>
                <w:kern w:val="2"/>
                <w:sz w:val="28"/>
                <w:szCs w:val="28"/>
                <w:lang w:val="en-US" w:eastAsia="zh-CN" w:bidi="ar-SA"/>
              </w:rPr>
              <w:fldChar w:fldCharType="begin"/>
            </w:r>
            <w:r>
              <w:rPr>
                <w:rFonts w:hint="default" w:ascii="Times New Roman" w:hAnsi="Times New Roman" w:eastAsia="仿宋_GB2312" w:cs="Times New Roman"/>
                <w:b w:val="0"/>
                <w:bCs w:val="0"/>
                <w:color w:val="auto"/>
                <w:kern w:val="2"/>
                <w:sz w:val="28"/>
                <w:szCs w:val="28"/>
                <w:lang w:val="en-US" w:eastAsia="zh-CN" w:bidi="ar-SA"/>
              </w:rPr>
              <w:instrText xml:space="preserve"> HYPERLINK "http://app.finance.china.com.cn/stock/cate/detail.php?symbol=400123995" \o "物联网 400123995" \t "/home/administrator/文档\\x/_blank" </w:instrText>
            </w:r>
            <w:r>
              <w:rPr>
                <w:rFonts w:hint="default" w:ascii="Times New Roman" w:hAnsi="Times New Roman" w:eastAsia="仿宋_GB2312" w:cs="Times New Roman"/>
                <w:b w:val="0"/>
                <w:bCs w:val="0"/>
                <w:color w:val="auto"/>
                <w:kern w:val="2"/>
                <w:sz w:val="28"/>
                <w:szCs w:val="28"/>
                <w:lang w:val="en-US" w:eastAsia="zh-CN" w:bidi="ar-SA"/>
              </w:rPr>
              <w:fldChar w:fldCharType="separate"/>
            </w:r>
            <w:r>
              <w:rPr>
                <w:rFonts w:hint="default" w:ascii="Times New Roman" w:hAnsi="Times New Roman" w:eastAsia="仿宋_GB2312" w:cs="Times New Roman"/>
                <w:b w:val="0"/>
                <w:bCs w:val="0"/>
                <w:color w:val="auto"/>
                <w:kern w:val="2"/>
                <w:sz w:val="28"/>
                <w:szCs w:val="28"/>
                <w:lang w:val="en-US" w:eastAsia="zh-CN" w:bidi="ar-SA"/>
              </w:rPr>
              <w:t>物联网</w:t>
            </w:r>
            <w:r>
              <w:rPr>
                <w:rFonts w:hint="default" w:ascii="Times New Roman" w:hAnsi="Times New Roman" w:eastAsia="仿宋_GB2312" w:cs="Times New Roman"/>
                <w:b w:val="0"/>
                <w:bCs w:val="0"/>
                <w:color w:val="auto"/>
                <w:kern w:val="2"/>
                <w:sz w:val="28"/>
                <w:szCs w:val="28"/>
                <w:lang w:val="en-US" w:eastAsia="zh-CN" w:bidi="ar-SA"/>
              </w:rPr>
              <w:fldChar w:fldCharType="end"/>
            </w:r>
            <w:r>
              <w:rPr>
                <w:rFonts w:hint="default"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fldChar w:fldCharType="begin"/>
            </w:r>
            <w:r>
              <w:rPr>
                <w:rFonts w:hint="default" w:ascii="Times New Roman" w:hAnsi="Times New Roman" w:eastAsia="仿宋_GB2312" w:cs="Times New Roman"/>
                <w:b w:val="0"/>
                <w:bCs w:val="0"/>
                <w:color w:val="auto"/>
                <w:kern w:val="2"/>
                <w:sz w:val="28"/>
                <w:szCs w:val="28"/>
                <w:lang w:val="en-US" w:eastAsia="zh-CN" w:bidi="ar-SA"/>
              </w:rPr>
              <w:instrText xml:space="preserve"> HYPERLINK "http://app.finance.china.com.cn/stock/cate/detail.php?symbol=400124688" \o "云计算 400124688" \t "/home/administrator/文档\\x/_blank" </w:instrText>
            </w:r>
            <w:r>
              <w:rPr>
                <w:rFonts w:hint="default" w:ascii="Times New Roman" w:hAnsi="Times New Roman" w:eastAsia="仿宋_GB2312" w:cs="Times New Roman"/>
                <w:b w:val="0"/>
                <w:bCs w:val="0"/>
                <w:color w:val="auto"/>
                <w:kern w:val="2"/>
                <w:sz w:val="28"/>
                <w:szCs w:val="28"/>
                <w:lang w:val="en-US" w:eastAsia="zh-CN" w:bidi="ar-SA"/>
              </w:rPr>
              <w:fldChar w:fldCharType="separate"/>
            </w:r>
            <w:r>
              <w:rPr>
                <w:rFonts w:hint="default" w:ascii="Times New Roman" w:hAnsi="Times New Roman" w:eastAsia="仿宋_GB2312" w:cs="Times New Roman"/>
                <w:b w:val="0"/>
                <w:bCs w:val="0"/>
                <w:color w:val="auto"/>
                <w:kern w:val="2"/>
                <w:sz w:val="28"/>
                <w:szCs w:val="28"/>
                <w:lang w:val="en-US" w:eastAsia="zh-CN" w:bidi="ar-SA"/>
              </w:rPr>
              <w:t>云计算</w:t>
            </w:r>
            <w:r>
              <w:rPr>
                <w:rFonts w:hint="default" w:ascii="Times New Roman" w:hAnsi="Times New Roman" w:eastAsia="仿宋_GB2312" w:cs="Times New Roman"/>
                <w:b w:val="0"/>
                <w:bCs w:val="0"/>
                <w:color w:val="auto"/>
                <w:kern w:val="2"/>
                <w:sz w:val="28"/>
                <w:szCs w:val="28"/>
                <w:lang w:val="en-US" w:eastAsia="zh-CN" w:bidi="ar-SA"/>
              </w:rPr>
              <w:fldChar w:fldCharType="end"/>
            </w:r>
            <w:r>
              <w:rPr>
                <w:rFonts w:hint="default"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fldChar w:fldCharType="begin"/>
            </w:r>
            <w:r>
              <w:rPr>
                <w:rFonts w:hint="default" w:ascii="Times New Roman" w:hAnsi="Times New Roman" w:eastAsia="仿宋_GB2312" w:cs="Times New Roman"/>
                <w:b w:val="0"/>
                <w:bCs w:val="0"/>
                <w:color w:val="auto"/>
                <w:kern w:val="2"/>
                <w:sz w:val="28"/>
                <w:szCs w:val="28"/>
                <w:lang w:val="en-US" w:eastAsia="zh-CN" w:bidi="ar-SA"/>
              </w:rPr>
              <w:instrText xml:space="preserve"> HYPERLINK "http://app.finance.china.com.cn/stock/cate/detail.php?symbol=400126767" \o "大数据 400126767" \t "/home/administrator/文档\\x/_blank" </w:instrText>
            </w:r>
            <w:r>
              <w:rPr>
                <w:rFonts w:hint="default" w:ascii="Times New Roman" w:hAnsi="Times New Roman" w:eastAsia="仿宋_GB2312" w:cs="Times New Roman"/>
                <w:b w:val="0"/>
                <w:bCs w:val="0"/>
                <w:color w:val="auto"/>
                <w:kern w:val="2"/>
                <w:sz w:val="28"/>
                <w:szCs w:val="28"/>
                <w:lang w:val="en-US" w:eastAsia="zh-CN" w:bidi="ar-SA"/>
              </w:rPr>
              <w:fldChar w:fldCharType="separate"/>
            </w:r>
            <w:r>
              <w:rPr>
                <w:rFonts w:hint="default" w:ascii="Times New Roman" w:hAnsi="Times New Roman" w:eastAsia="仿宋_GB2312" w:cs="Times New Roman"/>
                <w:b w:val="0"/>
                <w:bCs w:val="0"/>
                <w:color w:val="auto"/>
                <w:kern w:val="2"/>
                <w:sz w:val="28"/>
                <w:szCs w:val="28"/>
                <w:lang w:val="en-US" w:eastAsia="zh-CN" w:bidi="ar-SA"/>
              </w:rPr>
              <w:t>大数据</w:t>
            </w:r>
            <w:r>
              <w:rPr>
                <w:rFonts w:hint="default" w:ascii="Times New Roman" w:hAnsi="Times New Roman" w:eastAsia="仿宋_GB2312" w:cs="Times New Roman"/>
                <w:b w:val="0"/>
                <w:bCs w:val="0"/>
                <w:color w:val="auto"/>
                <w:kern w:val="2"/>
                <w:sz w:val="28"/>
                <w:szCs w:val="28"/>
                <w:lang w:val="en-US" w:eastAsia="zh-CN" w:bidi="ar-SA"/>
              </w:rPr>
              <w:fldChar w:fldCharType="end"/>
            </w:r>
            <w:r>
              <w:rPr>
                <w:rFonts w:hint="default" w:ascii="Times New Roman" w:hAnsi="Times New Roman" w:eastAsia="仿宋_GB2312" w:cs="Times New Roman"/>
                <w:b w:val="0"/>
                <w:bCs w:val="0"/>
                <w:color w:val="auto"/>
                <w:kern w:val="2"/>
                <w:sz w:val="28"/>
                <w:szCs w:val="28"/>
                <w:lang w:val="en-US" w:eastAsia="zh-CN" w:bidi="ar-SA"/>
              </w:rPr>
              <w:t>等先进技术，</w:t>
            </w:r>
            <w:r>
              <w:rPr>
                <w:rFonts w:hint="eastAsia" w:ascii="Times New Roman" w:hAnsi="Times New Roman" w:eastAsia="仿宋_GB2312" w:cs="Times New Roman"/>
                <w:b w:val="0"/>
                <w:bCs w:val="0"/>
                <w:color w:val="auto"/>
                <w:kern w:val="2"/>
                <w:sz w:val="28"/>
                <w:szCs w:val="28"/>
                <w:lang w:val="en-US" w:eastAsia="zh-CN" w:bidi="ar-SA"/>
              </w:rPr>
              <w:t>建成电梯安全信息化监管系统。通过网络信息化的方式为电梯维保、检验、使用、监察等单位提供需要的管理和监督功能，对电梯信息、维保信息、检验信息、监察信息等全部实现全程电子化、自动化管理，使监管部门和维保公司的管理更加快捷高效。</w:t>
            </w:r>
          </w:p>
        </w:tc>
      </w:tr>
    </w:tbl>
    <w:p w14:paraId="6373FEC2">
      <w:pPr>
        <w:keepNext w:val="0"/>
        <w:keepLines w:val="0"/>
        <w:pageBreakBefore w:val="0"/>
        <w:widowControl w:val="0"/>
        <w:kinsoku/>
        <w:wordWrap/>
        <w:overflowPunct/>
        <w:topLinePunct w:val="0"/>
        <w:autoSpaceDE/>
        <w:autoSpaceDN/>
        <w:bidi w:val="0"/>
        <w:adjustRightInd/>
        <w:snapToGrid/>
        <w:spacing w:before="157" w:beforeLines="50" w:line="546" w:lineRule="exact"/>
        <w:ind w:firstLine="643" w:firstLineChars="200"/>
        <w:jc w:val="left"/>
        <w:textAlignment w:val="auto"/>
        <w:rPr>
          <w:rFonts w:ascii="Times New Roman" w:hAnsi="Times New Roman" w:eastAsia="仿宋_GB2312" w:cs="Times New Roman"/>
          <w:sz w:val="32"/>
          <w:szCs w:val="32"/>
        </w:rPr>
      </w:pPr>
      <w:r>
        <w:rPr>
          <w:rFonts w:hint="eastAsia" w:ascii="仿宋_GB2312" w:hAnsi="Times New Roman" w:eastAsia="仿宋_GB2312" w:cs="Times New Roman"/>
          <w:b/>
          <w:color w:val="auto"/>
          <w:sz w:val="32"/>
          <w:szCs w:val="32"/>
        </w:rPr>
        <w:t>建设高素质专业化人才队伍。</w:t>
      </w:r>
      <w:r>
        <w:rPr>
          <w:rFonts w:ascii="Times New Roman" w:hAnsi="Times New Roman" w:eastAsia="仿宋_GB2312" w:cs="Times New Roman"/>
          <w:color w:val="auto"/>
          <w:sz w:val="32"/>
          <w:szCs w:val="32"/>
        </w:rPr>
        <w:t>落实党管干部原则，突出政治标准，强化忠诚干净担当的选人用人标准。加快促进想干事、能干事、干成事的年轻干部脱颖而出。制定实施鼓励激励、容错纠错、能上能下“三项机制”，统筹建立平时激励、及时奖励、专项表彰制度，定期对在市场监管工作中成绩突出或在关键时刻或急难险重任务中表现突出、作出重大贡献的工作人员，按规定及时推荐上报表彰。</w:t>
      </w:r>
      <w:r>
        <w:rPr>
          <w:rFonts w:hint="eastAsia" w:ascii="Times New Roman" w:hAnsi="Times New Roman" w:eastAsia="仿宋_GB2312" w:cs="Times New Roman"/>
          <w:color w:val="auto"/>
          <w:sz w:val="32"/>
          <w:szCs w:val="32"/>
        </w:rPr>
        <w:t>注重</w:t>
      </w:r>
      <w:r>
        <w:rPr>
          <w:rFonts w:ascii="Times New Roman" w:hAnsi="Times New Roman" w:eastAsia="仿宋_GB2312" w:cs="Times New Roman"/>
          <w:bCs/>
          <w:color w:val="auto"/>
          <w:sz w:val="32"/>
          <w:szCs w:val="32"/>
        </w:rPr>
        <w:t>人才队伍培养。</w:t>
      </w:r>
      <w:r>
        <w:rPr>
          <w:rFonts w:ascii="Times New Roman" w:hAnsi="Times New Roman" w:eastAsia="仿宋_GB2312" w:cs="Times New Roman"/>
          <w:color w:val="auto"/>
          <w:sz w:val="32"/>
          <w:szCs w:val="32"/>
        </w:rPr>
        <w:t>每年制定实施教</w:t>
      </w:r>
      <w:r>
        <w:rPr>
          <w:rFonts w:ascii="Times New Roman" w:hAnsi="Times New Roman" w:eastAsia="仿宋_GB2312" w:cs="Times New Roman"/>
          <w:sz w:val="32"/>
          <w:szCs w:val="32"/>
        </w:rPr>
        <w:t>育培训计划，采取网络培训、专题授课、实战练兵等多种形式，开展针对性和有效性培训活动。实施重点人才培养工程，统筹推进综合管理、行政执法、专业技术人才队伍建设。</w:t>
      </w:r>
    </w:p>
    <w:tbl>
      <w:tblPr>
        <w:tblStyle w:val="1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5076"/>
        <w:gridCol w:w="1732"/>
      </w:tblGrid>
      <w:tr w14:paraId="300C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3"/>
          </w:tcPr>
          <w:p w14:paraId="70627A6A">
            <w:pPr>
              <w:pStyle w:val="2"/>
              <w:spacing w:line="400" w:lineRule="exact"/>
              <w:jc w:val="center"/>
              <w:rPr>
                <w:rFonts w:ascii="楷体_GB2312" w:hAnsi="黑体" w:eastAsia="楷体_GB2312" w:cs="Times New Roman"/>
                <w:b w:val="0"/>
                <w:bCs w:val="0"/>
                <w:color w:val="FF0000"/>
                <w:sz w:val="32"/>
                <w:szCs w:val="32"/>
              </w:rPr>
            </w:pPr>
            <w:r>
              <w:rPr>
                <w:rFonts w:ascii="Times New Roman" w:hAnsi="Times New Roman" w:eastAsia="黑体" w:cs="Times New Roman"/>
                <w:b w:val="0"/>
                <w:bCs w:val="0"/>
                <w:sz w:val="28"/>
                <w:szCs w:val="28"/>
              </w:rPr>
              <w:t>专栏</w:t>
            </w:r>
            <w:r>
              <w:rPr>
                <w:rFonts w:hint="eastAsia" w:ascii="Times New Roman" w:hAnsi="Times New Roman" w:eastAsia="黑体" w:cs="Times New Roman"/>
                <w:b w:val="0"/>
                <w:bCs w:val="0"/>
                <w:sz w:val="28"/>
                <w:szCs w:val="28"/>
                <w:lang w:val="en-US" w:eastAsia="zh-CN"/>
              </w:rPr>
              <w:t>9</w:t>
            </w:r>
            <w:r>
              <w:rPr>
                <w:rFonts w:hint="eastAsia" w:ascii="Times New Roman" w:hAnsi="Times New Roman" w:eastAsia="黑体" w:cs="Times New Roman"/>
                <w:b w:val="0"/>
                <w:bCs w:val="0"/>
                <w:sz w:val="28"/>
                <w:szCs w:val="28"/>
              </w:rPr>
              <w:t xml:space="preserve">  </w:t>
            </w:r>
            <w:r>
              <w:rPr>
                <w:rFonts w:ascii="Times New Roman" w:hAnsi="Times New Roman" w:eastAsia="黑体" w:cs="Times New Roman"/>
                <w:b w:val="0"/>
                <w:bCs w:val="0"/>
                <w:sz w:val="28"/>
                <w:szCs w:val="28"/>
              </w:rPr>
              <w:t>市场监管重点人才培养工程</w:t>
            </w:r>
          </w:p>
        </w:tc>
      </w:tr>
      <w:tr w14:paraId="7F99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Align w:val="center"/>
          </w:tcPr>
          <w:p w14:paraId="181E0AA3">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项目名称</w:t>
            </w:r>
          </w:p>
        </w:tc>
        <w:tc>
          <w:tcPr>
            <w:tcW w:w="6808" w:type="dxa"/>
            <w:gridSpan w:val="2"/>
          </w:tcPr>
          <w:p w14:paraId="71E87E55">
            <w:pPr>
              <w:pStyle w:val="2"/>
              <w:spacing w:line="400" w:lineRule="exact"/>
              <w:jc w:val="center"/>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主</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要</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内</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lang w:eastAsia="zh-CN"/>
              </w:rPr>
              <w:t>容</w:t>
            </w:r>
          </w:p>
        </w:tc>
      </w:tr>
      <w:tr w14:paraId="2840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exact"/>
          <w:jc w:val="center"/>
        </w:trPr>
        <w:tc>
          <w:tcPr>
            <w:tcW w:w="2138" w:type="dxa"/>
            <w:vAlign w:val="center"/>
          </w:tcPr>
          <w:p w14:paraId="409B4F55">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综合管理人才素质提升工程</w:t>
            </w:r>
          </w:p>
        </w:tc>
        <w:tc>
          <w:tcPr>
            <w:tcW w:w="6808" w:type="dxa"/>
            <w:gridSpan w:val="2"/>
          </w:tcPr>
          <w:p w14:paraId="21C9D6FE">
            <w:pPr>
              <w:keepNext w:val="0"/>
              <w:keepLines w:val="0"/>
              <w:pageBreakBefore w:val="0"/>
              <w:widowControl/>
              <w:kinsoku/>
              <w:wordWrap/>
              <w:overflowPunct/>
              <w:topLinePunct w:val="0"/>
              <w:autoSpaceDE/>
              <w:autoSpaceDN/>
              <w:bidi w:val="0"/>
              <w:adjustRightInd/>
              <w:snapToGrid/>
              <w:spacing w:before="157" w:beforeLines="50" w:line="44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实施全员培训，5年内将基层工作人员全部轮训一遍，新考录公务员初任培训参训率达到100%。选调优秀干部外出调学或参加省内各级党校、行政学院学习培训。开展干部队伍轮岗轮训，注重人才多岗位煅炼。</w:t>
            </w:r>
          </w:p>
        </w:tc>
      </w:tr>
      <w:tr w14:paraId="2606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exact"/>
          <w:jc w:val="center"/>
        </w:trPr>
        <w:tc>
          <w:tcPr>
            <w:tcW w:w="2138" w:type="dxa"/>
            <w:vAlign w:val="center"/>
          </w:tcPr>
          <w:p w14:paraId="0744F3B4">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行政执法人才能力强化工程</w:t>
            </w:r>
          </w:p>
        </w:tc>
        <w:tc>
          <w:tcPr>
            <w:tcW w:w="6808" w:type="dxa"/>
            <w:gridSpan w:val="2"/>
          </w:tcPr>
          <w:p w14:paraId="670D1E22">
            <w:pPr>
              <w:keepNext w:val="0"/>
              <w:keepLines w:val="0"/>
              <w:pageBreakBefore w:val="0"/>
              <w:widowControl/>
              <w:kinsoku/>
              <w:wordWrap/>
              <w:overflowPunct/>
              <w:topLinePunct w:val="0"/>
              <w:autoSpaceDE/>
              <w:autoSpaceDN/>
              <w:bidi w:val="0"/>
              <w:adjustRightInd/>
              <w:snapToGrid/>
              <w:spacing w:before="157" w:beforeLines="50" w:line="44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坚持市、县联动、分层管理，统筹抓好全市市场监管行政执法人才队伍建设，突出抓好执法人才的法律思维、业务技能和纪律意识教育培训，定期组织执法竞赛、监管技能比武,开展行政执法优秀案例评选活动，努力建设一支业务精湛、纪律严明的市场监管行政执法队伍。</w:t>
            </w:r>
          </w:p>
        </w:tc>
      </w:tr>
      <w:tr w14:paraId="0442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restart"/>
            <w:vAlign w:val="center"/>
          </w:tcPr>
          <w:p w14:paraId="09A224FF">
            <w:pPr>
              <w:pStyle w:val="2"/>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专业技术人才培养工程</w:t>
            </w:r>
          </w:p>
        </w:tc>
        <w:tc>
          <w:tcPr>
            <w:tcW w:w="5076" w:type="dxa"/>
          </w:tcPr>
          <w:p w14:paraId="41F2787B">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大学本科以上学历比例</w:t>
            </w:r>
          </w:p>
        </w:tc>
        <w:tc>
          <w:tcPr>
            <w:tcW w:w="1732" w:type="dxa"/>
            <w:vAlign w:val="center"/>
          </w:tcPr>
          <w:p w14:paraId="5AE41327">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65%</w:t>
            </w:r>
            <w:r>
              <w:rPr>
                <w:rFonts w:hint="eastAsia" w:ascii="仿宋_GB2312" w:hAnsi="仿宋_GB2312" w:eastAsia="仿宋_GB2312" w:cs="仿宋_GB2312"/>
                <w:b w:val="0"/>
                <w:bCs/>
                <w:sz w:val="28"/>
                <w:szCs w:val="28"/>
                <w:lang w:eastAsia="zh-CN"/>
              </w:rPr>
              <w:t>以上</w:t>
            </w:r>
          </w:p>
        </w:tc>
      </w:tr>
      <w:tr w14:paraId="288E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14:paraId="7EDD804D">
            <w:pPr>
              <w:pStyle w:val="2"/>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sz w:val="28"/>
                <w:szCs w:val="28"/>
              </w:rPr>
            </w:pPr>
          </w:p>
        </w:tc>
        <w:tc>
          <w:tcPr>
            <w:tcW w:w="5076" w:type="dxa"/>
          </w:tcPr>
          <w:p w14:paraId="74632486">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硕士研究生以上学历比例</w:t>
            </w:r>
          </w:p>
        </w:tc>
        <w:tc>
          <w:tcPr>
            <w:tcW w:w="1732" w:type="dxa"/>
            <w:vAlign w:val="center"/>
          </w:tcPr>
          <w:p w14:paraId="1F5E5472">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15%</w:t>
            </w:r>
            <w:r>
              <w:rPr>
                <w:rFonts w:hint="eastAsia" w:ascii="仿宋_GB2312" w:hAnsi="仿宋_GB2312" w:eastAsia="仿宋_GB2312" w:cs="仿宋_GB2312"/>
                <w:b w:val="0"/>
                <w:bCs/>
                <w:sz w:val="28"/>
                <w:szCs w:val="28"/>
                <w:lang w:eastAsia="zh-CN"/>
              </w:rPr>
              <w:t>以上</w:t>
            </w:r>
          </w:p>
        </w:tc>
      </w:tr>
      <w:tr w14:paraId="225A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14:paraId="420155B3">
            <w:pPr>
              <w:pStyle w:val="2"/>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sz w:val="28"/>
                <w:szCs w:val="28"/>
              </w:rPr>
            </w:pPr>
          </w:p>
        </w:tc>
        <w:tc>
          <w:tcPr>
            <w:tcW w:w="5076" w:type="dxa"/>
          </w:tcPr>
          <w:p w14:paraId="5C9A9F87">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高级专业技术任职资格人员</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45岁以下</w:t>
            </w:r>
            <w:r>
              <w:rPr>
                <w:rFonts w:hint="eastAsia" w:ascii="仿宋_GB2312" w:hAnsi="仿宋_GB2312" w:eastAsia="仿宋_GB2312" w:cs="仿宋_GB2312"/>
                <w:b w:val="0"/>
                <w:bCs/>
                <w:sz w:val="28"/>
                <w:szCs w:val="28"/>
                <w:lang w:eastAsia="zh-CN"/>
              </w:rPr>
              <w:t>）</w:t>
            </w:r>
          </w:p>
        </w:tc>
        <w:tc>
          <w:tcPr>
            <w:tcW w:w="1732" w:type="dxa"/>
            <w:vAlign w:val="center"/>
          </w:tcPr>
          <w:p w14:paraId="28C21CBE">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20%</w:t>
            </w:r>
            <w:r>
              <w:rPr>
                <w:rFonts w:hint="eastAsia" w:ascii="仿宋_GB2312" w:hAnsi="仿宋_GB2312" w:eastAsia="仿宋_GB2312" w:cs="仿宋_GB2312"/>
                <w:b w:val="0"/>
                <w:bCs/>
                <w:sz w:val="28"/>
                <w:szCs w:val="28"/>
                <w:lang w:eastAsia="zh-CN"/>
              </w:rPr>
              <w:t>以上</w:t>
            </w:r>
          </w:p>
        </w:tc>
      </w:tr>
      <w:tr w14:paraId="332C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14:paraId="5DE950D5">
            <w:pPr>
              <w:pStyle w:val="2"/>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sz w:val="28"/>
                <w:szCs w:val="28"/>
              </w:rPr>
            </w:pPr>
          </w:p>
        </w:tc>
        <w:tc>
          <w:tcPr>
            <w:tcW w:w="5076" w:type="dxa"/>
          </w:tcPr>
          <w:p w14:paraId="273B9AEE">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培养</w:t>
            </w:r>
            <w:r>
              <w:rPr>
                <w:rFonts w:hint="eastAsia" w:ascii="仿宋_GB2312" w:hAnsi="仿宋_GB2312" w:eastAsia="仿宋_GB2312" w:cs="仿宋_GB2312"/>
                <w:b w:val="0"/>
                <w:bCs/>
                <w:sz w:val="28"/>
                <w:szCs w:val="28"/>
              </w:rPr>
              <w:t>优秀中青年专家</w:t>
            </w:r>
          </w:p>
        </w:tc>
        <w:tc>
          <w:tcPr>
            <w:tcW w:w="1732" w:type="dxa"/>
            <w:vAlign w:val="center"/>
          </w:tcPr>
          <w:p w14:paraId="041F06B6">
            <w:pPr>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15名</w:t>
            </w:r>
          </w:p>
        </w:tc>
      </w:tr>
      <w:tr w14:paraId="46CB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vMerge w:val="continue"/>
          </w:tcPr>
          <w:p w14:paraId="1FC14C0C">
            <w:pPr>
              <w:pStyle w:val="2"/>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 w:val="0"/>
                <w:bCs/>
                <w:sz w:val="28"/>
                <w:szCs w:val="28"/>
              </w:rPr>
            </w:pPr>
          </w:p>
        </w:tc>
        <w:tc>
          <w:tcPr>
            <w:tcW w:w="5076" w:type="dxa"/>
          </w:tcPr>
          <w:p w14:paraId="101D03F4">
            <w:pPr>
              <w:pStyle w:val="2"/>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培养</w:t>
            </w:r>
            <w:r>
              <w:rPr>
                <w:rFonts w:hint="eastAsia" w:ascii="仿宋_GB2312" w:hAnsi="仿宋_GB2312" w:eastAsia="仿宋_GB2312" w:cs="仿宋_GB2312"/>
                <w:b w:val="0"/>
                <w:bCs/>
                <w:sz w:val="28"/>
                <w:szCs w:val="28"/>
              </w:rPr>
              <w:t>基层专业技术骨干</w:t>
            </w:r>
          </w:p>
        </w:tc>
        <w:tc>
          <w:tcPr>
            <w:tcW w:w="1732" w:type="dxa"/>
            <w:vAlign w:val="center"/>
          </w:tcPr>
          <w:p w14:paraId="4FACF783">
            <w:pPr>
              <w:pStyle w:val="2"/>
              <w:pageBreakBefore w:val="0"/>
              <w:widowControl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25名</w:t>
            </w:r>
          </w:p>
        </w:tc>
      </w:tr>
    </w:tbl>
    <w:p w14:paraId="15A10719">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Style w:val="16"/>
          <w:rFonts w:ascii="黑体" w:hAnsi="黑体" w:eastAsia="黑体"/>
          <w:b w:val="0"/>
          <w:bCs/>
          <w:sz w:val="32"/>
          <w:szCs w:val="32"/>
          <w:shd w:val="clear" w:color="auto" w:fill="FFFFFF"/>
        </w:rPr>
      </w:pPr>
      <w:r>
        <w:rPr>
          <w:rStyle w:val="16"/>
          <w:rFonts w:hint="eastAsia" w:ascii="黑体" w:hAnsi="黑体" w:eastAsia="黑体"/>
          <w:b w:val="0"/>
          <w:bCs/>
          <w:sz w:val="32"/>
          <w:szCs w:val="32"/>
          <w:shd w:val="clear" w:color="auto" w:fill="FFFFFF"/>
        </w:rPr>
        <w:t>四</w:t>
      </w:r>
      <w:r>
        <w:rPr>
          <w:rStyle w:val="16"/>
          <w:rFonts w:ascii="黑体" w:hAnsi="黑体" w:eastAsia="黑体"/>
          <w:b w:val="0"/>
          <w:bCs/>
          <w:sz w:val="32"/>
          <w:szCs w:val="32"/>
          <w:shd w:val="clear" w:color="auto" w:fill="FFFFFF"/>
        </w:rPr>
        <w:t>、保障措施</w:t>
      </w:r>
    </w:p>
    <w:p w14:paraId="7818D8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shd w:val="clear" w:color="auto" w:fill="FFFFFF"/>
        </w:rPr>
      </w:pPr>
      <w:r>
        <w:rPr>
          <w:rStyle w:val="16"/>
          <w:rFonts w:hint="eastAsia" w:ascii="楷体_GB2312" w:hAnsi="Times New Roman" w:eastAsia="楷体_GB2312"/>
          <w:b w:val="0"/>
          <w:sz w:val="32"/>
          <w:szCs w:val="32"/>
          <w:shd w:val="clear" w:color="auto" w:fill="FFFFFF"/>
        </w:rPr>
        <w:t>加强组织领导。</w:t>
      </w:r>
      <w:r>
        <w:rPr>
          <w:rStyle w:val="16"/>
          <w:rFonts w:hint="eastAsia" w:ascii="仿宋_GB2312" w:hAnsi="Times New Roman" w:eastAsia="仿宋_GB2312"/>
          <w:b w:val="0"/>
          <w:sz w:val="32"/>
          <w:szCs w:val="32"/>
          <w:shd w:val="clear" w:color="auto" w:fill="FFFFFF"/>
        </w:rPr>
        <w:t>强化</w:t>
      </w:r>
      <w:r>
        <w:rPr>
          <w:rFonts w:ascii="Times New Roman" w:hAnsi="Times New Roman" w:eastAsia="仿宋_GB2312"/>
          <w:sz w:val="32"/>
          <w:szCs w:val="32"/>
          <w:shd w:val="clear" w:color="auto" w:fill="FFFFFF"/>
        </w:rPr>
        <w:t>党对市场监管事业的领导，把市场监管规划作为一项“管长远、打基础”的大事来抓，充分发挥党组织的领导核心作用，为实现“十四五”规划提供坚强保证。成立相应的工作机构，建立规划落实责任制，明确职责分工，按年度分解和落实工作目标，将规划实施管理所需的经费纳入预算予以保障。组织开展规划的宣传和解读工作，为规划实施营造良好的舆论氛围。</w:t>
      </w:r>
    </w:p>
    <w:p w14:paraId="7FC08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shd w:val="clear" w:color="auto" w:fill="FFFFFF"/>
        </w:rPr>
      </w:pPr>
      <w:r>
        <w:rPr>
          <w:rStyle w:val="16"/>
          <w:rFonts w:ascii="楷体_GB2312" w:hAnsi="Times New Roman" w:eastAsia="楷体_GB2312" w:cstheme="minorBidi"/>
          <w:b w:val="0"/>
          <w:kern w:val="2"/>
          <w:sz w:val="32"/>
          <w:szCs w:val="32"/>
          <w:shd w:val="clear" w:color="auto" w:fill="FFFFFF"/>
        </w:rPr>
        <w:t>统筹规划落实。</w:t>
      </w:r>
      <w:r>
        <w:rPr>
          <w:rFonts w:ascii="Times New Roman" w:hAnsi="Times New Roman" w:eastAsia="仿宋_GB2312"/>
          <w:sz w:val="32"/>
          <w:szCs w:val="32"/>
          <w:shd w:val="clear" w:color="auto" w:fill="FFFFFF"/>
        </w:rPr>
        <w:t>注重工作协调，积极争取各个方面的支持，积极探索、大胆创新、勇于改革，运用创新性思维、改革性举措，创造性地落实好规划任务。要强化责任意识，树立大局观念，按照职责分工，各司其职，密切配合，明确时间表、路线图，扎实推进规划的实施。</w:t>
      </w:r>
    </w:p>
    <w:p w14:paraId="7F2641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Style w:val="16"/>
          <w:rFonts w:ascii="楷体_GB2312" w:hAnsi="Times New Roman" w:eastAsia="楷体_GB2312" w:cstheme="minorBidi"/>
          <w:b w:val="0"/>
          <w:kern w:val="2"/>
          <w:sz w:val="32"/>
          <w:szCs w:val="32"/>
          <w:shd w:val="clear" w:color="auto" w:fill="FFFFFF"/>
        </w:rPr>
        <w:t>强化督查考核。</w:t>
      </w:r>
      <w:r>
        <w:rPr>
          <w:rFonts w:ascii="Times New Roman" w:hAnsi="Times New Roman" w:eastAsia="仿宋_GB2312"/>
          <w:sz w:val="32"/>
          <w:szCs w:val="32"/>
          <w:shd w:val="clear" w:color="auto" w:fill="FFFFFF"/>
        </w:rPr>
        <w:t>结合年度工作部署和绩效考核要求，将规划目标任务的核心内容和关键指标纳入绩效考核体系。加强对规划实施情况的跟踪问效，建立中期评估、总结评估制度，对实施情况及时进行督查考核，及时协调解决存在的问题，推进各项规划任务落到实处。</w:t>
      </w:r>
    </w:p>
    <w:sectPr>
      <w:footerReference r:id="rId4" w:type="default"/>
      <w:pgSz w:w="11906" w:h="16838"/>
      <w:pgMar w:top="1701" w:right="1474" w:bottom="1701" w:left="1474" w:header="851" w:footer="1417" w:gutter="0"/>
      <w:pgBorders>
        <w:top w:val="none" w:sz="0" w:space="0"/>
        <w:left w:val="none" w:sz="0" w:space="0"/>
        <w:bottom w:val="none" w:sz="0" w:space="0"/>
        <w:right w:val="none" w:sz="0" w:space="0"/>
      </w:pgBorders>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402E">
    <w:pPr>
      <w:pStyle w:val="8"/>
      <w:jc w:val="center"/>
    </w:pPr>
  </w:p>
  <w:p w14:paraId="277ECC8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608B">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C707D">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5C707D">
                    <w:pPr>
                      <w:pStyle w:val="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14:paraId="22D38544">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80"/>
    <w:rsid w:val="00001090"/>
    <w:rsid w:val="00001B9B"/>
    <w:rsid w:val="00002884"/>
    <w:rsid w:val="000037D5"/>
    <w:rsid w:val="000042BC"/>
    <w:rsid w:val="0000438E"/>
    <w:rsid w:val="00011359"/>
    <w:rsid w:val="00011F77"/>
    <w:rsid w:val="000124CF"/>
    <w:rsid w:val="00012ED6"/>
    <w:rsid w:val="00014EB4"/>
    <w:rsid w:val="00015100"/>
    <w:rsid w:val="00015CE3"/>
    <w:rsid w:val="000160A6"/>
    <w:rsid w:val="000167F2"/>
    <w:rsid w:val="00016A6E"/>
    <w:rsid w:val="00017C79"/>
    <w:rsid w:val="000204E3"/>
    <w:rsid w:val="0002069C"/>
    <w:rsid w:val="000209C0"/>
    <w:rsid w:val="00020A0A"/>
    <w:rsid w:val="00020AEB"/>
    <w:rsid w:val="00020FA6"/>
    <w:rsid w:val="000226C5"/>
    <w:rsid w:val="00023377"/>
    <w:rsid w:val="000243C2"/>
    <w:rsid w:val="00024C52"/>
    <w:rsid w:val="0002591B"/>
    <w:rsid w:val="000267A7"/>
    <w:rsid w:val="00027408"/>
    <w:rsid w:val="000276F3"/>
    <w:rsid w:val="00030694"/>
    <w:rsid w:val="000306B5"/>
    <w:rsid w:val="0003254F"/>
    <w:rsid w:val="00033145"/>
    <w:rsid w:val="00034526"/>
    <w:rsid w:val="0003565F"/>
    <w:rsid w:val="000360AF"/>
    <w:rsid w:val="000364A5"/>
    <w:rsid w:val="00036851"/>
    <w:rsid w:val="000370F4"/>
    <w:rsid w:val="0003737C"/>
    <w:rsid w:val="00037C84"/>
    <w:rsid w:val="000401C1"/>
    <w:rsid w:val="000425B5"/>
    <w:rsid w:val="00043982"/>
    <w:rsid w:val="000440F0"/>
    <w:rsid w:val="000444A6"/>
    <w:rsid w:val="0004500F"/>
    <w:rsid w:val="00045091"/>
    <w:rsid w:val="000470CD"/>
    <w:rsid w:val="00052514"/>
    <w:rsid w:val="0005363F"/>
    <w:rsid w:val="0005382E"/>
    <w:rsid w:val="000550B9"/>
    <w:rsid w:val="00056816"/>
    <w:rsid w:val="000568FF"/>
    <w:rsid w:val="000609B1"/>
    <w:rsid w:val="00060A50"/>
    <w:rsid w:val="00062DCD"/>
    <w:rsid w:val="000636A3"/>
    <w:rsid w:val="00064AD6"/>
    <w:rsid w:val="00070B85"/>
    <w:rsid w:val="00071489"/>
    <w:rsid w:val="00073AE8"/>
    <w:rsid w:val="000765CD"/>
    <w:rsid w:val="00077EE3"/>
    <w:rsid w:val="00081343"/>
    <w:rsid w:val="0008276E"/>
    <w:rsid w:val="00083514"/>
    <w:rsid w:val="00083A4A"/>
    <w:rsid w:val="000859C4"/>
    <w:rsid w:val="00085CF0"/>
    <w:rsid w:val="00085D43"/>
    <w:rsid w:val="00086269"/>
    <w:rsid w:val="000867E8"/>
    <w:rsid w:val="000873EA"/>
    <w:rsid w:val="00087919"/>
    <w:rsid w:val="00087A49"/>
    <w:rsid w:val="00090A87"/>
    <w:rsid w:val="00090B63"/>
    <w:rsid w:val="00090C0A"/>
    <w:rsid w:val="00090CB8"/>
    <w:rsid w:val="00092483"/>
    <w:rsid w:val="00093C48"/>
    <w:rsid w:val="00093DFD"/>
    <w:rsid w:val="00093FC5"/>
    <w:rsid w:val="000941C3"/>
    <w:rsid w:val="0009525B"/>
    <w:rsid w:val="000952F5"/>
    <w:rsid w:val="00097770"/>
    <w:rsid w:val="00097C60"/>
    <w:rsid w:val="000A22CA"/>
    <w:rsid w:val="000A2B6D"/>
    <w:rsid w:val="000A2C60"/>
    <w:rsid w:val="000A3305"/>
    <w:rsid w:val="000A3AD0"/>
    <w:rsid w:val="000A3FAD"/>
    <w:rsid w:val="000A5C4A"/>
    <w:rsid w:val="000A7302"/>
    <w:rsid w:val="000A7305"/>
    <w:rsid w:val="000B0988"/>
    <w:rsid w:val="000B0E0F"/>
    <w:rsid w:val="000B0E32"/>
    <w:rsid w:val="000B130A"/>
    <w:rsid w:val="000B3550"/>
    <w:rsid w:val="000B4F50"/>
    <w:rsid w:val="000B64F3"/>
    <w:rsid w:val="000C2ECD"/>
    <w:rsid w:val="000C33A7"/>
    <w:rsid w:val="000C4CB8"/>
    <w:rsid w:val="000C4E47"/>
    <w:rsid w:val="000C51F6"/>
    <w:rsid w:val="000C5746"/>
    <w:rsid w:val="000C601E"/>
    <w:rsid w:val="000C60FB"/>
    <w:rsid w:val="000C686E"/>
    <w:rsid w:val="000C6D57"/>
    <w:rsid w:val="000C6DCF"/>
    <w:rsid w:val="000D0A96"/>
    <w:rsid w:val="000D18FA"/>
    <w:rsid w:val="000D3206"/>
    <w:rsid w:val="000D6401"/>
    <w:rsid w:val="000D65B6"/>
    <w:rsid w:val="000D6C96"/>
    <w:rsid w:val="000D734D"/>
    <w:rsid w:val="000D7DDE"/>
    <w:rsid w:val="000E00FE"/>
    <w:rsid w:val="000E1200"/>
    <w:rsid w:val="000E1D2D"/>
    <w:rsid w:val="000E34F7"/>
    <w:rsid w:val="000E411B"/>
    <w:rsid w:val="000E51AA"/>
    <w:rsid w:val="000E5892"/>
    <w:rsid w:val="000E6B47"/>
    <w:rsid w:val="000F1142"/>
    <w:rsid w:val="000F1182"/>
    <w:rsid w:val="000F3459"/>
    <w:rsid w:val="000F4EA6"/>
    <w:rsid w:val="000F50F2"/>
    <w:rsid w:val="000F5EFB"/>
    <w:rsid w:val="000F67F1"/>
    <w:rsid w:val="00100066"/>
    <w:rsid w:val="00100C99"/>
    <w:rsid w:val="00100D2B"/>
    <w:rsid w:val="00101E68"/>
    <w:rsid w:val="00102437"/>
    <w:rsid w:val="00103CA9"/>
    <w:rsid w:val="00103E21"/>
    <w:rsid w:val="001042C8"/>
    <w:rsid w:val="0010486D"/>
    <w:rsid w:val="00104D0D"/>
    <w:rsid w:val="00110C7D"/>
    <w:rsid w:val="00110F64"/>
    <w:rsid w:val="001121FF"/>
    <w:rsid w:val="0011345F"/>
    <w:rsid w:val="001134A7"/>
    <w:rsid w:val="0011456E"/>
    <w:rsid w:val="0011544A"/>
    <w:rsid w:val="0011690A"/>
    <w:rsid w:val="001170AF"/>
    <w:rsid w:val="00117333"/>
    <w:rsid w:val="00120AC2"/>
    <w:rsid w:val="001228D2"/>
    <w:rsid w:val="00122E2A"/>
    <w:rsid w:val="00123CB3"/>
    <w:rsid w:val="00124012"/>
    <w:rsid w:val="0012582D"/>
    <w:rsid w:val="001261E8"/>
    <w:rsid w:val="00127B03"/>
    <w:rsid w:val="00131F9C"/>
    <w:rsid w:val="001329C8"/>
    <w:rsid w:val="00132CEF"/>
    <w:rsid w:val="00133C3D"/>
    <w:rsid w:val="0013566B"/>
    <w:rsid w:val="00135FBC"/>
    <w:rsid w:val="001364D3"/>
    <w:rsid w:val="001369AD"/>
    <w:rsid w:val="00137E56"/>
    <w:rsid w:val="0014082C"/>
    <w:rsid w:val="00141C15"/>
    <w:rsid w:val="00143E02"/>
    <w:rsid w:val="00145665"/>
    <w:rsid w:val="00145E1F"/>
    <w:rsid w:val="00145EF1"/>
    <w:rsid w:val="0014666E"/>
    <w:rsid w:val="001470B1"/>
    <w:rsid w:val="00150429"/>
    <w:rsid w:val="00150684"/>
    <w:rsid w:val="00150F96"/>
    <w:rsid w:val="00154130"/>
    <w:rsid w:val="00155382"/>
    <w:rsid w:val="001560BE"/>
    <w:rsid w:val="001570FC"/>
    <w:rsid w:val="00157E6A"/>
    <w:rsid w:val="001616AB"/>
    <w:rsid w:val="00163200"/>
    <w:rsid w:val="00163A03"/>
    <w:rsid w:val="00164079"/>
    <w:rsid w:val="0016609B"/>
    <w:rsid w:val="0017123C"/>
    <w:rsid w:val="00171779"/>
    <w:rsid w:val="00171DF5"/>
    <w:rsid w:val="00174503"/>
    <w:rsid w:val="001747BB"/>
    <w:rsid w:val="00175F77"/>
    <w:rsid w:val="00177247"/>
    <w:rsid w:val="00177B40"/>
    <w:rsid w:val="00180499"/>
    <w:rsid w:val="0018134A"/>
    <w:rsid w:val="00181A8E"/>
    <w:rsid w:val="001820C5"/>
    <w:rsid w:val="00182166"/>
    <w:rsid w:val="0018567E"/>
    <w:rsid w:val="001862A9"/>
    <w:rsid w:val="001868D0"/>
    <w:rsid w:val="00187833"/>
    <w:rsid w:val="00187A04"/>
    <w:rsid w:val="0019053E"/>
    <w:rsid w:val="00192492"/>
    <w:rsid w:val="00192511"/>
    <w:rsid w:val="0019403E"/>
    <w:rsid w:val="001947A7"/>
    <w:rsid w:val="00195D9A"/>
    <w:rsid w:val="00196111"/>
    <w:rsid w:val="00197C8F"/>
    <w:rsid w:val="00197FD4"/>
    <w:rsid w:val="001A1260"/>
    <w:rsid w:val="001A1D2E"/>
    <w:rsid w:val="001A22EB"/>
    <w:rsid w:val="001A35D6"/>
    <w:rsid w:val="001A3E6F"/>
    <w:rsid w:val="001A42D8"/>
    <w:rsid w:val="001A46D5"/>
    <w:rsid w:val="001A525C"/>
    <w:rsid w:val="001A6749"/>
    <w:rsid w:val="001A6D79"/>
    <w:rsid w:val="001A747A"/>
    <w:rsid w:val="001B0F76"/>
    <w:rsid w:val="001B1DA0"/>
    <w:rsid w:val="001B2DE3"/>
    <w:rsid w:val="001B6A3F"/>
    <w:rsid w:val="001B6F78"/>
    <w:rsid w:val="001C1488"/>
    <w:rsid w:val="001C247E"/>
    <w:rsid w:val="001C28BD"/>
    <w:rsid w:val="001C3D13"/>
    <w:rsid w:val="001C45C5"/>
    <w:rsid w:val="001C5010"/>
    <w:rsid w:val="001C5425"/>
    <w:rsid w:val="001C7539"/>
    <w:rsid w:val="001D037B"/>
    <w:rsid w:val="001D1624"/>
    <w:rsid w:val="001D222B"/>
    <w:rsid w:val="001D356E"/>
    <w:rsid w:val="001D3A89"/>
    <w:rsid w:val="001D3E7A"/>
    <w:rsid w:val="001D4EB9"/>
    <w:rsid w:val="001D6406"/>
    <w:rsid w:val="001D6710"/>
    <w:rsid w:val="001D7E2F"/>
    <w:rsid w:val="001E1F61"/>
    <w:rsid w:val="001E23B1"/>
    <w:rsid w:val="001E2614"/>
    <w:rsid w:val="001E3743"/>
    <w:rsid w:val="001E4B9D"/>
    <w:rsid w:val="001E5CA8"/>
    <w:rsid w:val="001E65C7"/>
    <w:rsid w:val="001E678B"/>
    <w:rsid w:val="001E69EA"/>
    <w:rsid w:val="001E7499"/>
    <w:rsid w:val="001F0ACF"/>
    <w:rsid w:val="001F260C"/>
    <w:rsid w:val="001F2B82"/>
    <w:rsid w:val="001F3C5C"/>
    <w:rsid w:val="001F3F39"/>
    <w:rsid w:val="001F436E"/>
    <w:rsid w:val="001F47E2"/>
    <w:rsid w:val="001F57A0"/>
    <w:rsid w:val="001F5804"/>
    <w:rsid w:val="001F7BF5"/>
    <w:rsid w:val="002001A8"/>
    <w:rsid w:val="00200C68"/>
    <w:rsid w:val="00201947"/>
    <w:rsid w:val="00201989"/>
    <w:rsid w:val="0020276B"/>
    <w:rsid w:val="00202CFF"/>
    <w:rsid w:val="00203385"/>
    <w:rsid w:val="00203C2F"/>
    <w:rsid w:val="00203EC0"/>
    <w:rsid w:val="0020556E"/>
    <w:rsid w:val="00205619"/>
    <w:rsid w:val="00206041"/>
    <w:rsid w:val="0020604F"/>
    <w:rsid w:val="002061E3"/>
    <w:rsid w:val="00206715"/>
    <w:rsid w:val="00206B7D"/>
    <w:rsid w:val="00207711"/>
    <w:rsid w:val="00207DBA"/>
    <w:rsid w:val="00207DFC"/>
    <w:rsid w:val="002138B6"/>
    <w:rsid w:val="002140AA"/>
    <w:rsid w:val="00214BB3"/>
    <w:rsid w:val="00215A0B"/>
    <w:rsid w:val="00215D73"/>
    <w:rsid w:val="00217296"/>
    <w:rsid w:val="00217AA1"/>
    <w:rsid w:val="00217BA3"/>
    <w:rsid w:val="00217F7E"/>
    <w:rsid w:val="002208CC"/>
    <w:rsid w:val="00222B4E"/>
    <w:rsid w:val="00223F02"/>
    <w:rsid w:val="00224721"/>
    <w:rsid w:val="00224E9A"/>
    <w:rsid w:val="00225B83"/>
    <w:rsid w:val="00225F7A"/>
    <w:rsid w:val="00227660"/>
    <w:rsid w:val="00230267"/>
    <w:rsid w:val="00230EEF"/>
    <w:rsid w:val="002324D3"/>
    <w:rsid w:val="00232D85"/>
    <w:rsid w:val="00232DC6"/>
    <w:rsid w:val="00233A3D"/>
    <w:rsid w:val="00233E2D"/>
    <w:rsid w:val="00233F4F"/>
    <w:rsid w:val="00234BA2"/>
    <w:rsid w:val="002350B7"/>
    <w:rsid w:val="002403C9"/>
    <w:rsid w:val="00241A14"/>
    <w:rsid w:val="0024216D"/>
    <w:rsid w:val="00244524"/>
    <w:rsid w:val="00244CEE"/>
    <w:rsid w:val="00245575"/>
    <w:rsid w:val="002467B0"/>
    <w:rsid w:val="00247937"/>
    <w:rsid w:val="002503D6"/>
    <w:rsid w:val="00251403"/>
    <w:rsid w:val="002527C5"/>
    <w:rsid w:val="002528B4"/>
    <w:rsid w:val="002537CC"/>
    <w:rsid w:val="002543B5"/>
    <w:rsid w:val="00254B20"/>
    <w:rsid w:val="00255120"/>
    <w:rsid w:val="00255DD3"/>
    <w:rsid w:val="00256214"/>
    <w:rsid w:val="002565AE"/>
    <w:rsid w:val="00256BF9"/>
    <w:rsid w:val="00257047"/>
    <w:rsid w:val="002570FB"/>
    <w:rsid w:val="002578E6"/>
    <w:rsid w:val="00257BF1"/>
    <w:rsid w:val="00260D2C"/>
    <w:rsid w:val="00260EDC"/>
    <w:rsid w:val="0026157C"/>
    <w:rsid w:val="00261744"/>
    <w:rsid w:val="00261862"/>
    <w:rsid w:val="002623F6"/>
    <w:rsid w:val="00262C57"/>
    <w:rsid w:val="00264396"/>
    <w:rsid w:val="00265CDC"/>
    <w:rsid w:val="0026708C"/>
    <w:rsid w:val="0027009D"/>
    <w:rsid w:val="002718EC"/>
    <w:rsid w:val="00271F16"/>
    <w:rsid w:val="00272BD7"/>
    <w:rsid w:val="0027382F"/>
    <w:rsid w:val="00273EF2"/>
    <w:rsid w:val="002765F6"/>
    <w:rsid w:val="00277CCB"/>
    <w:rsid w:val="002815BC"/>
    <w:rsid w:val="002819E6"/>
    <w:rsid w:val="00282171"/>
    <w:rsid w:val="002823C2"/>
    <w:rsid w:val="00284167"/>
    <w:rsid w:val="0028429D"/>
    <w:rsid w:val="0028596C"/>
    <w:rsid w:val="00286EE1"/>
    <w:rsid w:val="00287006"/>
    <w:rsid w:val="002871BB"/>
    <w:rsid w:val="00287CF2"/>
    <w:rsid w:val="00287DC0"/>
    <w:rsid w:val="0029285A"/>
    <w:rsid w:val="00292A2D"/>
    <w:rsid w:val="00292FC8"/>
    <w:rsid w:val="00294287"/>
    <w:rsid w:val="00294470"/>
    <w:rsid w:val="00295470"/>
    <w:rsid w:val="00295E08"/>
    <w:rsid w:val="002962B8"/>
    <w:rsid w:val="002967EB"/>
    <w:rsid w:val="0029740A"/>
    <w:rsid w:val="00297BC0"/>
    <w:rsid w:val="002A05AB"/>
    <w:rsid w:val="002A0F55"/>
    <w:rsid w:val="002A1EEB"/>
    <w:rsid w:val="002A2FC6"/>
    <w:rsid w:val="002A43F3"/>
    <w:rsid w:val="002A5108"/>
    <w:rsid w:val="002A54B4"/>
    <w:rsid w:val="002A72FA"/>
    <w:rsid w:val="002A7A6A"/>
    <w:rsid w:val="002B05A6"/>
    <w:rsid w:val="002B1641"/>
    <w:rsid w:val="002B17F3"/>
    <w:rsid w:val="002B1802"/>
    <w:rsid w:val="002B1A66"/>
    <w:rsid w:val="002B2BE3"/>
    <w:rsid w:val="002B39BC"/>
    <w:rsid w:val="002B3DB6"/>
    <w:rsid w:val="002B5FD3"/>
    <w:rsid w:val="002B61E4"/>
    <w:rsid w:val="002B6816"/>
    <w:rsid w:val="002B7FE3"/>
    <w:rsid w:val="002C0A72"/>
    <w:rsid w:val="002C0B2F"/>
    <w:rsid w:val="002C10D6"/>
    <w:rsid w:val="002C1C8D"/>
    <w:rsid w:val="002C37C5"/>
    <w:rsid w:val="002C427B"/>
    <w:rsid w:val="002C4368"/>
    <w:rsid w:val="002C4832"/>
    <w:rsid w:val="002C4A6C"/>
    <w:rsid w:val="002C5AB1"/>
    <w:rsid w:val="002C64F0"/>
    <w:rsid w:val="002C65FC"/>
    <w:rsid w:val="002C67EF"/>
    <w:rsid w:val="002C73B6"/>
    <w:rsid w:val="002D119F"/>
    <w:rsid w:val="002D2F17"/>
    <w:rsid w:val="002D3717"/>
    <w:rsid w:val="002D3895"/>
    <w:rsid w:val="002D55C5"/>
    <w:rsid w:val="002D5A84"/>
    <w:rsid w:val="002D5F69"/>
    <w:rsid w:val="002D618C"/>
    <w:rsid w:val="002D6A4D"/>
    <w:rsid w:val="002D6AA0"/>
    <w:rsid w:val="002E02F1"/>
    <w:rsid w:val="002E0512"/>
    <w:rsid w:val="002E0CA7"/>
    <w:rsid w:val="002E1410"/>
    <w:rsid w:val="002E1B65"/>
    <w:rsid w:val="002E1D6D"/>
    <w:rsid w:val="002E297F"/>
    <w:rsid w:val="002E2BF7"/>
    <w:rsid w:val="002E2E20"/>
    <w:rsid w:val="002E2F6D"/>
    <w:rsid w:val="002E3664"/>
    <w:rsid w:val="002E6430"/>
    <w:rsid w:val="002E7228"/>
    <w:rsid w:val="002F0211"/>
    <w:rsid w:val="002F1018"/>
    <w:rsid w:val="002F1A11"/>
    <w:rsid w:val="002F3C91"/>
    <w:rsid w:val="002F458A"/>
    <w:rsid w:val="002F6171"/>
    <w:rsid w:val="002F684F"/>
    <w:rsid w:val="002F7A30"/>
    <w:rsid w:val="00301AD5"/>
    <w:rsid w:val="00303632"/>
    <w:rsid w:val="00303A5B"/>
    <w:rsid w:val="00303BC0"/>
    <w:rsid w:val="00305068"/>
    <w:rsid w:val="003063D8"/>
    <w:rsid w:val="00306D79"/>
    <w:rsid w:val="00306F10"/>
    <w:rsid w:val="00306F52"/>
    <w:rsid w:val="00307931"/>
    <w:rsid w:val="00307E79"/>
    <w:rsid w:val="00310024"/>
    <w:rsid w:val="00313009"/>
    <w:rsid w:val="00314060"/>
    <w:rsid w:val="0031459F"/>
    <w:rsid w:val="00314990"/>
    <w:rsid w:val="00314A83"/>
    <w:rsid w:val="0031503F"/>
    <w:rsid w:val="00315CEC"/>
    <w:rsid w:val="00316607"/>
    <w:rsid w:val="00316F0D"/>
    <w:rsid w:val="00322540"/>
    <w:rsid w:val="0032370B"/>
    <w:rsid w:val="00324296"/>
    <w:rsid w:val="00324475"/>
    <w:rsid w:val="00325631"/>
    <w:rsid w:val="00325DAE"/>
    <w:rsid w:val="00327AEE"/>
    <w:rsid w:val="003304B7"/>
    <w:rsid w:val="0033064D"/>
    <w:rsid w:val="00330666"/>
    <w:rsid w:val="00330701"/>
    <w:rsid w:val="00330982"/>
    <w:rsid w:val="00331866"/>
    <w:rsid w:val="003323CD"/>
    <w:rsid w:val="00332CF1"/>
    <w:rsid w:val="00334049"/>
    <w:rsid w:val="003345C2"/>
    <w:rsid w:val="00334D83"/>
    <w:rsid w:val="00335A5F"/>
    <w:rsid w:val="00336E45"/>
    <w:rsid w:val="003373BF"/>
    <w:rsid w:val="003402AA"/>
    <w:rsid w:val="003405B2"/>
    <w:rsid w:val="0034065E"/>
    <w:rsid w:val="00340F50"/>
    <w:rsid w:val="003416C6"/>
    <w:rsid w:val="0034239F"/>
    <w:rsid w:val="00342508"/>
    <w:rsid w:val="003426BD"/>
    <w:rsid w:val="00342D9D"/>
    <w:rsid w:val="00343A48"/>
    <w:rsid w:val="00344119"/>
    <w:rsid w:val="00346537"/>
    <w:rsid w:val="00346737"/>
    <w:rsid w:val="00346DAC"/>
    <w:rsid w:val="0034706A"/>
    <w:rsid w:val="0034793C"/>
    <w:rsid w:val="00347F82"/>
    <w:rsid w:val="00350EBF"/>
    <w:rsid w:val="00350FAF"/>
    <w:rsid w:val="00351690"/>
    <w:rsid w:val="0035184F"/>
    <w:rsid w:val="00351C9D"/>
    <w:rsid w:val="00353633"/>
    <w:rsid w:val="0035381E"/>
    <w:rsid w:val="00354E31"/>
    <w:rsid w:val="0035752D"/>
    <w:rsid w:val="00357E75"/>
    <w:rsid w:val="00360305"/>
    <w:rsid w:val="003605FA"/>
    <w:rsid w:val="003607C2"/>
    <w:rsid w:val="00360E12"/>
    <w:rsid w:val="00360FDF"/>
    <w:rsid w:val="00361571"/>
    <w:rsid w:val="0036168D"/>
    <w:rsid w:val="0036179B"/>
    <w:rsid w:val="00361EF8"/>
    <w:rsid w:val="0036203F"/>
    <w:rsid w:val="00362438"/>
    <w:rsid w:val="00362CEB"/>
    <w:rsid w:val="00363D52"/>
    <w:rsid w:val="003645F8"/>
    <w:rsid w:val="00365017"/>
    <w:rsid w:val="003654B3"/>
    <w:rsid w:val="0036552C"/>
    <w:rsid w:val="00366014"/>
    <w:rsid w:val="00366115"/>
    <w:rsid w:val="00367456"/>
    <w:rsid w:val="00367705"/>
    <w:rsid w:val="00367F2C"/>
    <w:rsid w:val="00371229"/>
    <w:rsid w:val="003717CF"/>
    <w:rsid w:val="00372C5C"/>
    <w:rsid w:val="00372DF0"/>
    <w:rsid w:val="00374C7F"/>
    <w:rsid w:val="00374E91"/>
    <w:rsid w:val="00375BB5"/>
    <w:rsid w:val="00377028"/>
    <w:rsid w:val="00377146"/>
    <w:rsid w:val="00377806"/>
    <w:rsid w:val="003778EA"/>
    <w:rsid w:val="00377EEC"/>
    <w:rsid w:val="003803A9"/>
    <w:rsid w:val="003812A3"/>
    <w:rsid w:val="00381FFB"/>
    <w:rsid w:val="003833DC"/>
    <w:rsid w:val="003852A0"/>
    <w:rsid w:val="00385468"/>
    <w:rsid w:val="003869F7"/>
    <w:rsid w:val="00386A71"/>
    <w:rsid w:val="00386E61"/>
    <w:rsid w:val="003916DB"/>
    <w:rsid w:val="003930D4"/>
    <w:rsid w:val="0039344C"/>
    <w:rsid w:val="0039399F"/>
    <w:rsid w:val="00394E7F"/>
    <w:rsid w:val="00395CBF"/>
    <w:rsid w:val="0039655F"/>
    <w:rsid w:val="00397D14"/>
    <w:rsid w:val="003A0955"/>
    <w:rsid w:val="003A12C6"/>
    <w:rsid w:val="003A1C25"/>
    <w:rsid w:val="003A2916"/>
    <w:rsid w:val="003A31AC"/>
    <w:rsid w:val="003A4AF0"/>
    <w:rsid w:val="003A5034"/>
    <w:rsid w:val="003A57DD"/>
    <w:rsid w:val="003A582A"/>
    <w:rsid w:val="003A5B1A"/>
    <w:rsid w:val="003A5F2C"/>
    <w:rsid w:val="003A6739"/>
    <w:rsid w:val="003A7234"/>
    <w:rsid w:val="003A7B48"/>
    <w:rsid w:val="003B0579"/>
    <w:rsid w:val="003B07D1"/>
    <w:rsid w:val="003B0C17"/>
    <w:rsid w:val="003B1CE8"/>
    <w:rsid w:val="003B1D32"/>
    <w:rsid w:val="003B294A"/>
    <w:rsid w:val="003B3278"/>
    <w:rsid w:val="003B3E9A"/>
    <w:rsid w:val="003B491C"/>
    <w:rsid w:val="003B5084"/>
    <w:rsid w:val="003B55B3"/>
    <w:rsid w:val="003B5856"/>
    <w:rsid w:val="003B63C8"/>
    <w:rsid w:val="003B682F"/>
    <w:rsid w:val="003B6E85"/>
    <w:rsid w:val="003C2FF4"/>
    <w:rsid w:val="003C530D"/>
    <w:rsid w:val="003C574D"/>
    <w:rsid w:val="003C64FD"/>
    <w:rsid w:val="003C7770"/>
    <w:rsid w:val="003D177D"/>
    <w:rsid w:val="003D1C78"/>
    <w:rsid w:val="003D280B"/>
    <w:rsid w:val="003D2BB3"/>
    <w:rsid w:val="003D30A5"/>
    <w:rsid w:val="003D43D3"/>
    <w:rsid w:val="003D67A0"/>
    <w:rsid w:val="003D7769"/>
    <w:rsid w:val="003D7892"/>
    <w:rsid w:val="003E05C0"/>
    <w:rsid w:val="003E0CD7"/>
    <w:rsid w:val="003E0D78"/>
    <w:rsid w:val="003E0F7C"/>
    <w:rsid w:val="003E2246"/>
    <w:rsid w:val="003E3318"/>
    <w:rsid w:val="003E48CB"/>
    <w:rsid w:val="003E4D4B"/>
    <w:rsid w:val="003E510C"/>
    <w:rsid w:val="003E6D8A"/>
    <w:rsid w:val="003E6EBC"/>
    <w:rsid w:val="003E7022"/>
    <w:rsid w:val="003E7612"/>
    <w:rsid w:val="003E7F64"/>
    <w:rsid w:val="003F2123"/>
    <w:rsid w:val="003F28F4"/>
    <w:rsid w:val="003F4C29"/>
    <w:rsid w:val="003F5896"/>
    <w:rsid w:val="003F5CBD"/>
    <w:rsid w:val="003F68C1"/>
    <w:rsid w:val="00401235"/>
    <w:rsid w:val="00401330"/>
    <w:rsid w:val="0040185B"/>
    <w:rsid w:val="00401E16"/>
    <w:rsid w:val="00402D9C"/>
    <w:rsid w:val="00404688"/>
    <w:rsid w:val="004063D7"/>
    <w:rsid w:val="00406E92"/>
    <w:rsid w:val="00411D24"/>
    <w:rsid w:val="0041262B"/>
    <w:rsid w:val="004127A7"/>
    <w:rsid w:val="00415351"/>
    <w:rsid w:val="00416060"/>
    <w:rsid w:val="00416D2C"/>
    <w:rsid w:val="00426B54"/>
    <w:rsid w:val="00426CF9"/>
    <w:rsid w:val="00427B8D"/>
    <w:rsid w:val="00430278"/>
    <w:rsid w:val="004308A1"/>
    <w:rsid w:val="00430FB6"/>
    <w:rsid w:val="004321D2"/>
    <w:rsid w:val="004326C2"/>
    <w:rsid w:val="00433ECF"/>
    <w:rsid w:val="0043439F"/>
    <w:rsid w:val="00434846"/>
    <w:rsid w:val="00434866"/>
    <w:rsid w:val="0043552E"/>
    <w:rsid w:val="00436933"/>
    <w:rsid w:val="00441030"/>
    <w:rsid w:val="00441C62"/>
    <w:rsid w:val="0044243F"/>
    <w:rsid w:val="004426D3"/>
    <w:rsid w:val="00443F74"/>
    <w:rsid w:val="00443F80"/>
    <w:rsid w:val="00444A05"/>
    <w:rsid w:val="004455D9"/>
    <w:rsid w:val="00446B51"/>
    <w:rsid w:val="00447432"/>
    <w:rsid w:val="00447B8C"/>
    <w:rsid w:val="004509D0"/>
    <w:rsid w:val="00450E4A"/>
    <w:rsid w:val="004510F5"/>
    <w:rsid w:val="0045154F"/>
    <w:rsid w:val="00452E5C"/>
    <w:rsid w:val="00456D51"/>
    <w:rsid w:val="00457577"/>
    <w:rsid w:val="00463F3D"/>
    <w:rsid w:val="004640CA"/>
    <w:rsid w:val="00464D38"/>
    <w:rsid w:val="004666D6"/>
    <w:rsid w:val="004700F9"/>
    <w:rsid w:val="00470295"/>
    <w:rsid w:val="004710E4"/>
    <w:rsid w:val="00471451"/>
    <w:rsid w:val="00471789"/>
    <w:rsid w:val="004719D1"/>
    <w:rsid w:val="00471E74"/>
    <w:rsid w:val="00472BF0"/>
    <w:rsid w:val="00472C16"/>
    <w:rsid w:val="00472CB9"/>
    <w:rsid w:val="00472CE2"/>
    <w:rsid w:val="00473D97"/>
    <w:rsid w:val="004750E0"/>
    <w:rsid w:val="004756EE"/>
    <w:rsid w:val="00476367"/>
    <w:rsid w:val="00476937"/>
    <w:rsid w:val="00480375"/>
    <w:rsid w:val="00481117"/>
    <w:rsid w:val="0048182D"/>
    <w:rsid w:val="0048196E"/>
    <w:rsid w:val="004831EA"/>
    <w:rsid w:val="00484AA1"/>
    <w:rsid w:val="00484F07"/>
    <w:rsid w:val="0048630D"/>
    <w:rsid w:val="00490293"/>
    <w:rsid w:val="00490DFB"/>
    <w:rsid w:val="00492EDE"/>
    <w:rsid w:val="00493578"/>
    <w:rsid w:val="004953CB"/>
    <w:rsid w:val="004975DC"/>
    <w:rsid w:val="004A0F68"/>
    <w:rsid w:val="004A209C"/>
    <w:rsid w:val="004A3E63"/>
    <w:rsid w:val="004A4C25"/>
    <w:rsid w:val="004A4F63"/>
    <w:rsid w:val="004A53D2"/>
    <w:rsid w:val="004A5600"/>
    <w:rsid w:val="004A79A2"/>
    <w:rsid w:val="004B0F23"/>
    <w:rsid w:val="004B1555"/>
    <w:rsid w:val="004B291E"/>
    <w:rsid w:val="004B4352"/>
    <w:rsid w:val="004B46AC"/>
    <w:rsid w:val="004B496A"/>
    <w:rsid w:val="004B4FBD"/>
    <w:rsid w:val="004B55D5"/>
    <w:rsid w:val="004B69DC"/>
    <w:rsid w:val="004C1478"/>
    <w:rsid w:val="004C1FC1"/>
    <w:rsid w:val="004C221F"/>
    <w:rsid w:val="004C4FA3"/>
    <w:rsid w:val="004C6149"/>
    <w:rsid w:val="004C6A8E"/>
    <w:rsid w:val="004C79EB"/>
    <w:rsid w:val="004C7B9B"/>
    <w:rsid w:val="004D002A"/>
    <w:rsid w:val="004D1B5E"/>
    <w:rsid w:val="004D1DC1"/>
    <w:rsid w:val="004D54D8"/>
    <w:rsid w:val="004D5FF1"/>
    <w:rsid w:val="004D6135"/>
    <w:rsid w:val="004D7636"/>
    <w:rsid w:val="004D79F4"/>
    <w:rsid w:val="004E24AF"/>
    <w:rsid w:val="004E347D"/>
    <w:rsid w:val="004E6DF2"/>
    <w:rsid w:val="004E76CF"/>
    <w:rsid w:val="004F0762"/>
    <w:rsid w:val="004F2319"/>
    <w:rsid w:val="004F2B89"/>
    <w:rsid w:val="004F4396"/>
    <w:rsid w:val="004F4FAA"/>
    <w:rsid w:val="004F708F"/>
    <w:rsid w:val="004F788B"/>
    <w:rsid w:val="00500AA1"/>
    <w:rsid w:val="00501C18"/>
    <w:rsid w:val="00501F47"/>
    <w:rsid w:val="005025FA"/>
    <w:rsid w:val="00503398"/>
    <w:rsid w:val="00503B85"/>
    <w:rsid w:val="0050569F"/>
    <w:rsid w:val="00505A99"/>
    <w:rsid w:val="00507451"/>
    <w:rsid w:val="00507D0D"/>
    <w:rsid w:val="00507DA2"/>
    <w:rsid w:val="00510643"/>
    <w:rsid w:val="00511490"/>
    <w:rsid w:val="00511727"/>
    <w:rsid w:val="0051211D"/>
    <w:rsid w:val="00512702"/>
    <w:rsid w:val="00512BFC"/>
    <w:rsid w:val="005138D4"/>
    <w:rsid w:val="00513D82"/>
    <w:rsid w:val="0051486E"/>
    <w:rsid w:val="00514ED3"/>
    <w:rsid w:val="00515CE5"/>
    <w:rsid w:val="00515E81"/>
    <w:rsid w:val="00516978"/>
    <w:rsid w:val="00521A58"/>
    <w:rsid w:val="0052305D"/>
    <w:rsid w:val="005248FF"/>
    <w:rsid w:val="00527359"/>
    <w:rsid w:val="00530449"/>
    <w:rsid w:val="00530F72"/>
    <w:rsid w:val="00531F41"/>
    <w:rsid w:val="00532440"/>
    <w:rsid w:val="00534006"/>
    <w:rsid w:val="00534074"/>
    <w:rsid w:val="00534C08"/>
    <w:rsid w:val="005352F5"/>
    <w:rsid w:val="00535DAF"/>
    <w:rsid w:val="00536867"/>
    <w:rsid w:val="00536B56"/>
    <w:rsid w:val="005373B9"/>
    <w:rsid w:val="0054051E"/>
    <w:rsid w:val="005435E8"/>
    <w:rsid w:val="00544237"/>
    <w:rsid w:val="00545550"/>
    <w:rsid w:val="00545646"/>
    <w:rsid w:val="005457A9"/>
    <w:rsid w:val="00545895"/>
    <w:rsid w:val="00547922"/>
    <w:rsid w:val="00547A15"/>
    <w:rsid w:val="00547C60"/>
    <w:rsid w:val="0055006A"/>
    <w:rsid w:val="00551431"/>
    <w:rsid w:val="00552487"/>
    <w:rsid w:val="00552718"/>
    <w:rsid w:val="0055325E"/>
    <w:rsid w:val="00553929"/>
    <w:rsid w:val="00553CAB"/>
    <w:rsid w:val="005540F2"/>
    <w:rsid w:val="005542C4"/>
    <w:rsid w:val="005547AE"/>
    <w:rsid w:val="00554CDC"/>
    <w:rsid w:val="00554EAC"/>
    <w:rsid w:val="00555541"/>
    <w:rsid w:val="0055627D"/>
    <w:rsid w:val="0055695D"/>
    <w:rsid w:val="00557D7D"/>
    <w:rsid w:val="005600B7"/>
    <w:rsid w:val="00560CDF"/>
    <w:rsid w:val="00562A0D"/>
    <w:rsid w:val="005662A9"/>
    <w:rsid w:val="00566AF7"/>
    <w:rsid w:val="00566EFA"/>
    <w:rsid w:val="00566F83"/>
    <w:rsid w:val="005679CA"/>
    <w:rsid w:val="00567B55"/>
    <w:rsid w:val="00570449"/>
    <w:rsid w:val="00570CAC"/>
    <w:rsid w:val="005715E1"/>
    <w:rsid w:val="00572C04"/>
    <w:rsid w:val="00572D68"/>
    <w:rsid w:val="00573201"/>
    <w:rsid w:val="005735E1"/>
    <w:rsid w:val="00573BC5"/>
    <w:rsid w:val="00574B5A"/>
    <w:rsid w:val="00576AA9"/>
    <w:rsid w:val="00577CFB"/>
    <w:rsid w:val="0058071F"/>
    <w:rsid w:val="00580EFD"/>
    <w:rsid w:val="00582287"/>
    <w:rsid w:val="00582803"/>
    <w:rsid w:val="005830F1"/>
    <w:rsid w:val="00583312"/>
    <w:rsid w:val="00583539"/>
    <w:rsid w:val="005838B5"/>
    <w:rsid w:val="00584863"/>
    <w:rsid w:val="00584F67"/>
    <w:rsid w:val="005869CE"/>
    <w:rsid w:val="005871FE"/>
    <w:rsid w:val="00587607"/>
    <w:rsid w:val="00587B6E"/>
    <w:rsid w:val="00590E02"/>
    <w:rsid w:val="005920E2"/>
    <w:rsid w:val="005925A6"/>
    <w:rsid w:val="005939C4"/>
    <w:rsid w:val="00593E05"/>
    <w:rsid w:val="00594B4B"/>
    <w:rsid w:val="00596995"/>
    <w:rsid w:val="00597FDA"/>
    <w:rsid w:val="005A06FB"/>
    <w:rsid w:val="005A1250"/>
    <w:rsid w:val="005A1E2E"/>
    <w:rsid w:val="005A1F2E"/>
    <w:rsid w:val="005A2AD5"/>
    <w:rsid w:val="005A4760"/>
    <w:rsid w:val="005A4B0A"/>
    <w:rsid w:val="005A66CE"/>
    <w:rsid w:val="005A6F4A"/>
    <w:rsid w:val="005B14D5"/>
    <w:rsid w:val="005B259F"/>
    <w:rsid w:val="005B3805"/>
    <w:rsid w:val="005B4432"/>
    <w:rsid w:val="005B4469"/>
    <w:rsid w:val="005B4544"/>
    <w:rsid w:val="005B4883"/>
    <w:rsid w:val="005B49D1"/>
    <w:rsid w:val="005B4A59"/>
    <w:rsid w:val="005B4C2F"/>
    <w:rsid w:val="005B4ED5"/>
    <w:rsid w:val="005B5CFC"/>
    <w:rsid w:val="005B6D7B"/>
    <w:rsid w:val="005C0AB3"/>
    <w:rsid w:val="005C2393"/>
    <w:rsid w:val="005C3DF1"/>
    <w:rsid w:val="005C4144"/>
    <w:rsid w:val="005C4585"/>
    <w:rsid w:val="005C5377"/>
    <w:rsid w:val="005C5DC0"/>
    <w:rsid w:val="005C6E8F"/>
    <w:rsid w:val="005C6FEE"/>
    <w:rsid w:val="005C7185"/>
    <w:rsid w:val="005C7202"/>
    <w:rsid w:val="005D12FB"/>
    <w:rsid w:val="005D16CE"/>
    <w:rsid w:val="005D1F65"/>
    <w:rsid w:val="005D3612"/>
    <w:rsid w:val="005D426F"/>
    <w:rsid w:val="005D667E"/>
    <w:rsid w:val="005E0A7C"/>
    <w:rsid w:val="005E0D9A"/>
    <w:rsid w:val="005E21B1"/>
    <w:rsid w:val="005E25CA"/>
    <w:rsid w:val="005E3999"/>
    <w:rsid w:val="005E3E9B"/>
    <w:rsid w:val="005E42AB"/>
    <w:rsid w:val="005E4792"/>
    <w:rsid w:val="005E5AFD"/>
    <w:rsid w:val="005E5D57"/>
    <w:rsid w:val="005F0B35"/>
    <w:rsid w:val="005F1D5F"/>
    <w:rsid w:val="005F2015"/>
    <w:rsid w:val="005F4906"/>
    <w:rsid w:val="005F556F"/>
    <w:rsid w:val="005F577A"/>
    <w:rsid w:val="005F5BED"/>
    <w:rsid w:val="005F630B"/>
    <w:rsid w:val="005F6D0C"/>
    <w:rsid w:val="006008D4"/>
    <w:rsid w:val="00601651"/>
    <w:rsid w:val="00601B41"/>
    <w:rsid w:val="006026C7"/>
    <w:rsid w:val="0060296E"/>
    <w:rsid w:val="00602E6C"/>
    <w:rsid w:val="006030FD"/>
    <w:rsid w:val="00603AEA"/>
    <w:rsid w:val="00604244"/>
    <w:rsid w:val="006048B7"/>
    <w:rsid w:val="006063B9"/>
    <w:rsid w:val="00606558"/>
    <w:rsid w:val="00606629"/>
    <w:rsid w:val="00606A81"/>
    <w:rsid w:val="00610823"/>
    <w:rsid w:val="0061116E"/>
    <w:rsid w:val="00611A08"/>
    <w:rsid w:val="00612BDC"/>
    <w:rsid w:val="006138FB"/>
    <w:rsid w:val="00614EDF"/>
    <w:rsid w:val="00616657"/>
    <w:rsid w:val="00617658"/>
    <w:rsid w:val="0062182A"/>
    <w:rsid w:val="006232E5"/>
    <w:rsid w:val="00624E9E"/>
    <w:rsid w:val="006250CF"/>
    <w:rsid w:val="00625220"/>
    <w:rsid w:val="006255CF"/>
    <w:rsid w:val="00626B4F"/>
    <w:rsid w:val="00627532"/>
    <w:rsid w:val="00627C29"/>
    <w:rsid w:val="00627F0A"/>
    <w:rsid w:val="006305BD"/>
    <w:rsid w:val="006308C0"/>
    <w:rsid w:val="006314DA"/>
    <w:rsid w:val="00632CA1"/>
    <w:rsid w:val="006336B7"/>
    <w:rsid w:val="00634253"/>
    <w:rsid w:val="006371F5"/>
    <w:rsid w:val="0064015D"/>
    <w:rsid w:val="00640C3A"/>
    <w:rsid w:val="0064233E"/>
    <w:rsid w:val="00642651"/>
    <w:rsid w:val="0064276A"/>
    <w:rsid w:val="00643A4F"/>
    <w:rsid w:val="00643E46"/>
    <w:rsid w:val="00643EA0"/>
    <w:rsid w:val="00647AA4"/>
    <w:rsid w:val="0065182F"/>
    <w:rsid w:val="00652982"/>
    <w:rsid w:val="006537F8"/>
    <w:rsid w:val="00654404"/>
    <w:rsid w:val="0065501D"/>
    <w:rsid w:val="00655D6B"/>
    <w:rsid w:val="006566ED"/>
    <w:rsid w:val="00656921"/>
    <w:rsid w:val="00657591"/>
    <w:rsid w:val="006602D9"/>
    <w:rsid w:val="00660804"/>
    <w:rsid w:val="006608A1"/>
    <w:rsid w:val="00660AAB"/>
    <w:rsid w:val="00660BC1"/>
    <w:rsid w:val="00661D8C"/>
    <w:rsid w:val="00662B88"/>
    <w:rsid w:val="00663447"/>
    <w:rsid w:val="00663823"/>
    <w:rsid w:val="00663C77"/>
    <w:rsid w:val="006640B5"/>
    <w:rsid w:val="00664AEE"/>
    <w:rsid w:val="00664D01"/>
    <w:rsid w:val="00664DA2"/>
    <w:rsid w:val="00666997"/>
    <w:rsid w:val="00667CE1"/>
    <w:rsid w:val="00670455"/>
    <w:rsid w:val="00670DFC"/>
    <w:rsid w:val="00671803"/>
    <w:rsid w:val="00673315"/>
    <w:rsid w:val="0067470D"/>
    <w:rsid w:val="00675DD5"/>
    <w:rsid w:val="0067633A"/>
    <w:rsid w:val="00680D79"/>
    <w:rsid w:val="00681A4B"/>
    <w:rsid w:val="00681D4A"/>
    <w:rsid w:val="00682176"/>
    <w:rsid w:val="0068283F"/>
    <w:rsid w:val="00682DC3"/>
    <w:rsid w:val="0068411B"/>
    <w:rsid w:val="00685B1B"/>
    <w:rsid w:val="00686646"/>
    <w:rsid w:val="00691AB2"/>
    <w:rsid w:val="0069213B"/>
    <w:rsid w:val="0069241B"/>
    <w:rsid w:val="0069298A"/>
    <w:rsid w:val="006935DE"/>
    <w:rsid w:val="00693C58"/>
    <w:rsid w:val="006960C6"/>
    <w:rsid w:val="006A0128"/>
    <w:rsid w:val="006A11BD"/>
    <w:rsid w:val="006A3AB5"/>
    <w:rsid w:val="006A40CD"/>
    <w:rsid w:val="006A449D"/>
    <w:rsid w:val="006A5437"/>
    <w:rsid w:val="006A69F9"/>
    <w:rsid w:val="006A7A9B"/>
    <w:rsid w:val="006B0D36"/>
    <w:rsid w:val="006B0D43"/>
    <w:rsid w:val="006B101E"/>
    <w:rsid w:val="006B1395"/>
    <w:rsid w:val="006B15D9"/>
    <w:rsid w:val="006B1656"/>
    <w:rsid w:val="006B1880"/>
    <w:rsid w:val="006B5739"/>
    <w:rsid w:val="006B59D7"/>
    <w:rsid w:val="006B68AB"/>
    <w:rsid w:val="006B7B43"/>
    <w:rsid w:val="006B7C7E"/>
    <w:rsid w:val="006C0209"/>
    <w:rsid w:val="006C0F66"/>
    <w:rsid w:val="006C23E6"/>
    <w:rsid w:val="006C265B"/>
    <w:rsid w:val="006C2BDD"/>
    <w:rsid w:val="006C4322"/>
    <w:rsid w:val="006C556A"/>
    <w:rsid w:val="006C5993"/>
    <w:rsid w:val="006C5A2D"/>
    <w:rsid w:val="006C6002"/>
    <w:rsid w:val="006D1444"/>
    <w:rsid w:val="006D19DE"/>
    <w:rsid w:val="006D1D9B"/>
    <w:rsid w:val="006D2E73"/>
    <w:rsid w:val="006D51E0"/>
    <w:rsid w:val="006D7B2C"/>
    <w:rsid w:val="006D7BE8"/>
    <w:rsid w:val="006D7F94"/>
    <w:rsid w:val="006E0152"/>
    <w:rsid w:val="006E0469"/>
    <w:rsid w:val="006E1838"/>
    <w:rsid w:val="006E1F3E"/>
    <w:rsid w:val="006E24AB"/>
    <w:rsid w:val="006E277D"/>
    <w:rsid w:val="006E307F"/>
    <w:rsid w:val="006E3938"/>
    <w:rsid w:val="006E4CC7"/>
    <w:rsid w:val="006E511D"/>
    <w:rsid w:val="006E527B"/>
    <w:rsid w:val="006E54B5"/>
    <w:rsid w:val="006E5EE0"/>
    <w:rsid w:val="006E73C5"/>
    <w:rsid w:val="006F0A88"/>
    <w:rsid w:val="006F0B42"/>
    <w:rsid w:val="006F1BA1"/>
    <w:rsid w:val="006F1CAA"/>
    <w:rsid w:val="006F4275"/>
    <w:rsid w:val="006F5D4C"/>
    <w:rsid w:val="006F61D7"/>
    <w:rsid w:val="006F6835"/>
    <w:rsid w:val="006F71CA"/>
    <w:rsid w:val="006F7D7D"/>
    <w:rsid w:val="007014DE"/>
    <w:rsid w:val="00702AEB"/>
    <w:rsid w:val="00704C78"/>
    <w:rsid w:val="00705875"/>
    <w:rsid w:val="00706715"/>
    <w:rsid w:val="0070675B"/>
    <w:rsid w:val="007072D0"/>
    <w:rsid w:val="00711C2F"/>
    <w:rsid w:val="007125DB"/>
    <w:rsid w:val="00714263"/>
    <w:rsid w:val="0071471B"/>
    <w:rsid w:val="007156F3"/>
    <w:rsid w:val="00715A0E"/>
    <w:rsid w:val="007212ED"/>
    <w:rsid w:val="00721A28"/>
    <w:rsid w:val="00721A72"/>
    <w:rsid w:val="00726D7A"/>
    <w:rsid w:val="00730558"/>
    <w:rsid w:val="007306B7"/>
    <w:rsid w:val="007306D2"/>
    <w:rsid w:val="007314B0"/>
    <w:rsid w:val="0073227F"/>
    <w:rsid w:val="00732733"/>
    <w:rsid w:val="00733002"/>
    <w:rsid w:val="00733085"/>
    <w:rsid w:val="007340F2"/>
    <w:rsid w:val="00734212"/>
    <w:rsid w:val="00734AC1"/>
    <w:rsid w:val="00735F92"/>
    <w:rsid w:val="007361FB"/>
    <w:rsid w:val="00737215"/>
    <w:rsid w:val="00737D57"/>
    <w:rsid w:val="0074047F"/>
    <w:rsid w:val="00740F10"/>
    <w:rsid w:val="00741E11"/>
    <w:rsid w:val="0074237D"/>
    <w:rsid w:val="007432F1"/>
    <w:rsid w:val="00743660"/>
    <w:rsid w:val="007455F8"/>
    <w:rsid w:val="00745E12"/>
    <w:rsid w:val="007464E0"/>
    <w:rsid w:val="0075177F"/>
    <w:rsid w:val="00751CE7"/>
    <w:rsid w:val="00753EC5"/>
    <w:rsid w:val="00754EE4"/>
    <w:rsid w:val="007555A7"/>
    <w:rsid w:val="0075564F"/>
    <w:rsid w:val="00755DBE"/>
    <w:rsid w:val="00756164"/>
    <w:rsid w:val="00756666"/>
    <w:rsid w:val="00756F82"/>
    <w:rsid w:val="00761148"/>
    <w:rsid w:val="007615AC"/>
    <w:rsid w:val="007624D8"/>
    <w:rsid w:val="00762FE3"/>
    <w:rsid w:val="00764816"/>
    <w:rsid w:val="0076527C"/>
    <w:rsid w:val="0076569B"/>
    <w:rsid w:val="00767349"/>
    <w:rsid w:val="0076750F"/>
    <w:rsid w:val="00770290"/>
    <w:rsid w:val="00770581"/>
    <w:rsid w:val="0077221D"/>
    <w:rsid w:val="007723E3"/>
    <w:rsid w:val="0077555B"/>
    <w:rsid w:val="0077668D"/>
    <w:rsid w:val="007770E9"/>
    <w:rsid w:val="00780584"/>
    <w:rsid w:val="00780993"/>
    <w:rsid w:val="00780A14"/>
    <w:rsid w:val="007860A3"/>
    <w:rsid w:val="00787A69"/>
    <w:rsid w:val="00787D71"/>
    <w:rsid w:val="0079347A"/>
    <w:rsid w:val="00793BFF"/>
    <w:rsid w:val="00797035"/>
    <w:rsid w:val="0079749A"/>
    <w:rsid w:val="007A0297"/>
    <w:rsid w:val="007A090C"/>
    <w:rsid w:val="007A0F7C"/>
    <w:rsid w:val="007A10EC"/>
    <w:rsid w:val="007A1273"/>
    <w:rsid w:val="007A1E08"/>
    <w:rsid w:val="007A372F"/>
    <w:rsid w:val="007A3AE9"/>
    <w:rsid w:val="007A3B03"/>
    <w:rsid w:val="007A41AF"/>
    <w:rsid w:val="007A56E9"/>
    <w:rsid w:val="007A636C"/>
    <w:rsid w:val="007A72FD"/>
    <w:rsid w:val="007B02BD"/>
    <w:rsid w:val="007B0DD4"/>
    <w:rsid w:val="007B1686"/>
    <w:rsid w:val="007B1B6F"/>
    <w:rsid w:val="007B2A5E"/>
    <w:rsid w:val="007B2A77"/>
    <w:rsid w:val="007B2D42"/>
    <w:rsid w:val="007B2F40"/>
    <w:rsid w:val="007B5566"/>
    <w:rsid w:val="007C0E92"/>
    <w:rsid w:val="007C1ED3"/>
    <w:rsid w:val="007C217B"/>
    <w:rsid w:val="007C2330"/>
    <w:rsid w:val="007C2D58"/>
    <w:rsid w:val="007C3591"/>
    <w:rsid w:val="007C4A01"/>
    <w:rsid w:val="007C4B71"/>
    <w:rsid w:val="007C50B0"/>
    <w:rsid w:val="007C6375"/>
    <w:rsid w:val="007C7E29"/>
    <w:rsid w:val="007D0077"/>
    <w:rsid w:val="007D16E9"/>
    <w:rsid w:val="007D2269"/>
    <w:rsid w:val="007D2C53"/>
    <w:rsid w:val="007D4A04"/>
    <w:rsid w:val="007D4E97"/>
    <w:rsid w:val="007D56AE"/>
    <w:rsid w:val="007D688F"/>
    <w:rsid w:val="007D7596"/>
    <w:rsid w:val="007D7AE6"/>
    <w:rsid w:val="007E067F"/>
    <w:rsid w:val="007E103E"/>
    <w:rsid w:val="007E18CA"/>
    <w:rsid w:val="007E1B13"/>
    <w:rsid w:val="007E1B1D"/>
    <w:rsid w:val="007E25A2"/>
    <w:rsid w:val="007E4766"/>
    <w:rsid w:val="007E51B3"/>
    <w:rsid w:val="007E5F08"/>
    <w:rsid w:val="007E67C6"/>
    <w:rsid w:val="007E79C4"/>
    <w:rsid w:val="007F0D2D"/>
    <w:rsid w:val="007F0F6A"/>
    <w:rsid w:val="007F116A"/>
    <w:rsid w:val="007F1A43"/>
    <w:rsid w:val="007F1C6B"/>
    <w:rsid w:val="007F21D1"/>
    <w:rsid w:val="007F319B"/>
    <w:rsid w:val="007F369B"/>
    <w:rsid w:val="007F3FFF"/>
    <w:rsid w:val="007F422D"/>
    <w:rsid w:val="007F508B"/>
    <w:rsid w:val="007F59E7"/>
    <w:rsid w:val="007F5C15"/>
    <w:rsid w:val="007F6714"/>
    <w:rsid w:val="007F6732"/>
    <w:rsid w:val="007F721D"/>
    <w:rsid w:val="00800C71"/>
    <w:rsid w:val="0080224B"/>
    <w:rsid w:val="00802ED8"/>
    <w:rsid w:val="008033F8"/>
    <w:rsid w:val="008038FD"/>
    <w:rsid w:val="00804447"/>
    <w:rsid w:val="00804731"/>
    <w:rsid w:val="00804761"/>
    <w:rsid w:val="00804914"/>
    <w:rsid w:val="008056E6"/>
    <w:rsid w:val="0081023A"/>
    <w:rsid w:val="00811197"/>
    <w:rsid w:val="00811E4B"/>
    <w:rsid w:val="00812DC6"/>
    <w:rsid w:val="00813418"/>
    <w:rsid w:val="00813784"/>
    <w:rsid w:val="00814E88"/>
    <w:rsid w:val="00814FE0"/>
    <w:rsid w:val="00815C5C"/>
    <w:rsid w:val="0081678B"/>
    <w:rsid w:val="00816E3F"/>
    <w:rsid w:val="00817061"/>
    <w:rsid w:val="0081716A"/>
    <w:rsid w:val="00817179"/>
    <w:rsid w:val="0081726D"/>
    <w:rsid w:val="00817372"/>
    <w:rsid w:val="00817789"/>
    <w:rsid w:val="008178C7"/>
    <w:rsid w:val="008203A2"/>
    <w:rsid w:val="00820611"/>
    <w:rsid w:val="0082156E"/>
    <w:rsid w:val="008215AF"/>
    <w:rsid w:val="00821CA4"/>
    <w:rsid w:val="00822775"/>
    <w:rsid w:val="0082435B"/>
    <w:rsid w:val="00825824"/>
    <w:rsid w:val="00825BDF"/>
    <w:rsid w:val="00826677"/>
    <w:rsid w:val="008268AD"/>
    <w:rsid w:val="008269B3"/>
    <w:rsid w:val="00826E1A"/>
    <w:rsid w:val="00827391"/>
    <w:rsid w:val="008274E2"/>
    <w:rsid w:val="008311DB"/>
    <w:rsid w:val="008320BC"/>
    <w:rsid w:val="00832B0A"/>
    <w:rsid w:val="00832DBA"/>
    <w:rsid w:val="00833063"/>
    <w:rsid w:val="00833440"/>
    <w:rsid w:val="00833ECD"/>
    <w:rsid w:val="00834DEE"/>
    <w:rsid w:val="008370A6"/>
    <w:rsid w:val="0083744B"/>
    <w:rsid w:val="00837829"/>
    <w:rsid w:val="008409E5"/>
    <w:rsid w:val="0084110C"/>
    <w:rsid w:val="00841C00"/>
    <w:rsid w:val="00841E48"/>
    <w:rsid w:val="00842255"/>
    <w:rsid w:val="008425DB"/>
    <w:rsid w:val="00842E65"/>
    <w:rsid w:val="00843137"/>
    <w:rsid w:val="008436FA"/>
    <w:rsid w:val="00843B1D"/>
    <w:rsid w:val="0084513F"/>
    <w:rsid w:val="00845BD5"/>
    <w:rsid w:val="00846C8D"/>
    <w:rsid w:val="008508EA"/>
    <w:rsid w:val="00850AF5"/>
    <w:rsid w:val="00850C20"/>
    <w:rsid w:val="00850F49"/>
    <w:rsid w:val="00851650"/>
    <w:rsid w:val="00852668"/>
    <w:rsid w:val="00852D50"/>
    <w:rsid w:val="00853A0E"/>
    <w:rsid w:val="00853EC0"/>
    <w:rsid w:val="008544EE"/>
    <w:rsid w:val="008570AF"/>
    <w:rsid w:val="00857B8D"/>
    <w:rsid w:val="008602C1"/>
    <w:rsid w:val="008603DA"/>
    <w:rsid w:val="008607A0"/>
    <w:rsid w:val="00860E10"/>
    <w:rsid w:val="00861815"/>
    <w:rsid w:val="0086277E"/>
    <w:rsid w:val="008629B6"/>
    <w:rsid w:val="00862DB0"/>
    <w:rsid w:val="008635E1"/>
    <w:rsid w:val="008638BC"/>
    <w:rsid w:val="00863A3D"/>
    <w:rsid w:val="008643E8"/>
    <w:rsid w:val="00864921"/>
    <w:rsid w:val="00864A5D"/>
    <w:rsid w:val="00864FB1"/>
    <w:rsid w:val="0086547A"/>
    <w:rsid w:val="00866033"/>
    <w:rsid w:val="00866899"/>
    <w:rsid w:val="00866FE5"/>
    <w:rsid w:val="00867942"/>
    <w:rsid w:val="008702D1"/>
    <w:rsid w:val="00870E03"/>
    <w:rsid w:val="00871EE8"/>
    <w:rsid w:val="0087238C"/>
    <w:rsid w:val="00872970"/>
    <w:rsid w:val="00873AA7"/>
    <w:rsid w:val="00875F89"/>
    <w:rsid w:val="0087601F"/>
    <w:rsid w:val="008762A4"/>
    <w:rsid w:val="008762D0"/>
    <w:rsid w:val="008778EF"/>
    <w:rsid w:val="008814A4"/>
    <w:rsid w:val="00881ABB"/>
    <w:rsid w:val="00881AC0"/>
    <w:rsid w:val="00883190"/>
    <w:rsid w:val="008843C6"/>
    <w:rsid w:val="0088449B"/>
    <w:rsid w:val="008849AB"/>
    <w:rsid w:val="008868DD"/>
    <w:rsid w:val="00886948"/>
    <w:rsid w:val="00886BDC"/>
    <w:rsid w:val="00890351"/>
    <w:rsid w:val="00892D63"/>
    <w:rsid w:val="00893807"/>
    <w:rsid w:val="00894D5C"/>
    <w:rsid w:val="008956FC"/>
    <w:rsid w:val="008958B7"/>
    <w:rsid w:val="0089650B"/>
    <w:rsid w:val="00896A9D"/>
    <w:rsid w:val="00896AEB"/>
    <w:rsid w:val="00896DE0"/>
    <w:rsid w:val="008A0040"/>
    <w:rsid w:val="008A0477"/>
    <w:rsid w:val="008A0DA5"/>
    <w:rsid w:val="008A1DE8"/>
    <w:rsid w:val="008A210A"/>
    <w:rsid w:val="008A3780"/>
    <w:rsid w:val="008A462E"/>
    <w:rsid w:val="008A4BB2"/>
    <w:rsid w:val="008A53B7"/>
    <w:rsid w:val="008A6B7A"/>
    <w:rsid w:val="008A6CD5"/>
    <w:rsid w:val="008A7BBE"/>
    <w:rsid w:val="008A7F1D"/>
    <w:rsid w:val="008B0253"/>
    <w:rsid w:val="008B09D5"/>
    <w:rsid w:val="008B2228"/>
    <w:rsid w:val="008B378A"/>
    <w:rsid w:val="008B394B"/>
    <w:rsid w:val="008B56F5"/>
    <w:rsid w:val="008B5A3F"/>
    <w:rsid w:val="008B6AF0"/>
    <w:rsid w:val="008C024D"/>
    <w:rsid w:val="008C2325"/>
    <w:rsid w:val="008C4EDE"/>
    <w:rsid w:val="008C6116"/>
    <w:rsid w:val="008C649B"/>
    <w:rsid w:val="008C66E7"/>
    <w:rsid w:val="008C7C65"/>
    <w:rsid w:val="008D1E3D"/>
    <w:rsid w:val="008D2093"/>
    <w:rsid w:val="008D2741"/>
    <w:rsid w:val="008D2F0C"/>
    <w:rsid w:val="008D2F24"/>
    <w:rsid w:val="008D4A0D"/>
    <w:rsid w:val="008D5628"/>
    <w:rsid w:val="008D73E2"/>
    <w:rsid w:val="008E05F2"/>
    <w:rsid w:val="008E073B"/>
    <w:rsid w:val="008E2590"/>
    <w:rsid w:val="008E2DC0"/>
    <w:rsid w:val="008E2ECE"/>
    <w:rsid w:val="008E464F"/>
    <w:rsid w:val="008E4D7F"/>
    <w:rsid w:val="008E57AD"/>
    <w:rsid w:val="008E6026"/>
    <w:rsid w:val="008E6914"/>
    <w:rsid w:val="008E7E6F"/>
    <w:rsid w:val="008E7F80"/>
    <w:rsid w:val="008F0EEB"/>
    <w:rsid w:val="008F0F0E"/>
    <w:rsid w:val="008F1F75"/>
    <w:rsid w:val="008F366D"/>
    <w:rsid w:val="008F3978"/>
    <w:rsid w:val="008F3C6E"/>
    <w:rsid w:val="008F3F4E"/>
    <w:rsid w:val="008F520F"/>
    <w:rsid w:val="008F5CEC"/>
    <w:rsid w:val="008F696B"/>
    <w:rsid w:val="008F7062"/>
    <w:rsid w:val="008F7114"/>
    <w:rsid w:val="009001DE"/>
    <w:rsid w:val="0090102B"/>
    <w:rsid w:val="00901EF0"/>
    <w:rsid w:val="009028C5"/>
    <w:rsid w:val="00904470"/>
    <w:rsid w:val="00904AF8"/>
    <w:rsid w:val="00904C4C"/>
    <w:rsid w:val="0090544D"/>
    <w:rsid w:val="009056FD"/>
    <w:rsid w:val="009062FB"/>
    <w:rsid w:val="00906F05"/>
    <w:rsid w:val="00906FC4"/>
    <w:rsid w:val="00907ABF"/>
    <w:rsid w:val="00910CD2"/>
    <w:rsid w:val="0091109C"/>
    <w:rsid w:val="009113B9"/>
    <w:rsid w:val="00911E75"/>
    <w:rsid w:val="00912318"/>
    <w:rsid w:val="0091270C"/>
    <w:rsid w:val="0091339A"/>
    <w:rsid w:val="00916954"/>
    <w:rsid w:val="0091729D"/>
    <w:rsid w:val="00917AD6"/>
    <w:rsid w:val="00920AD8"/>
    <w:rsid w:val="00920BA1"/>
    <w:rsid w:val="009224D1"/>
    <w:rsid w:val="0092703C"/>
    <w:rsid w:val="00927C96"/>
    <w:rsid w:val="00927E05"/>
    <w:rsid w:val="00930150"/>
    <w:rsid w:val="009304A0"/>
    <w:rsid w:val="00930573"/>
    <w:rsid w:val="009320A3"/>
    <w:rsid w:val="009325B2"/>
    <w:rsid w:val="00934349"/>
    <w:rsid w:val="009349E3"/>
    <w:rsid w:val="0093520B"/>
    <w:rsid w:val="00935346"/>
    <w:rsid w:val="0093607F"/>
    <w:rsid w:val="009360A8"/>
    <w:rsid w:val="009364B5"/>
    <w:rsid w:val="00940B14"/>
    <w:rsid w:val="0094163D"/>
    <w:rsid w:val="00942819"/>
    <w:rsid w:val="009428BC"/>
    <w:rsid w:val="009438C0"/>
    <w:rsid w:val="00943E91"/>
    <w:rsid w:val="00944013"/>
    <w:rsid w:val="00944BC0"/>
    <w:rsid w:val="00944EA2"/>
    <w:rsid w:val="009452C1"/>
    <w:rsid w:val="00946878"/>
    <w:rsid w:val="00946914"/>
    <w:rsid w:val="00946C13"/>
    <w:rsid w:val="00947269"/>
    <w:rsid w:val="00947BA6"/>
    <w:rsid w:val="009504BA"/>
    <w:rsid w:val="00951160"/>
    <w:rsid w:val="00951CE6"/>
    <w:rsid w:val="00952990"/>
    <w:rsid w:val="00952D95"/>
    <w:rsid w:val="00953BED"/>
    <w:rsid w:val="00953CB3"/>
    <w:rsid w:val="00954E5D"/>
    <w:rsid w:val="009563E7"/>
    <w:rsid w:val="0095650C"/>
    <w:rsid w:val="00956C88"/>
    <w:rsid w:val="009579D8"/>
    <w:rsid w:val="00957FB8"/>
    <w:rsid w:val="00960391"/>
    <w:rsid w:val="0096086D"/>
    <w:rsid w:val="00960AE2"/>
    <w:rsid w:val="00961A28"/>
    <w:rsid w:val="00962A99"/>
    <w:rsid w:val="00962E74"/>
    <w:rsid w:val="00962FAA"/>
    <w:rsid w:val="00965476"/>
    <w:rsid w:val="00965E7D"/>
    <w:rsid w:val="00966739"/>
    <w:rsid w:val="00966C7F"/>
    <w:rsid w:val="009674BA"/>
    <w:rsid w:val="00971F26"/>
    <w:rsid w:val="009739B6"/>
    <w:rsid w:val="00973A60"/>
    <w:rsid w:val="00974C99"/>
    <w:rsid w:val="00975796"/>
    <w:rsid w:val="00975B86"/>
    <w:rsid w:val="00977BDC"/>
    <w:rsid w:val="009821BC"/>
    <w:rsid w:val="00983305"/>
    <w:rsid w:val="009833AD"/>
    <w:rsid w:val="00983BA0"/>
    <w:rsid w:val="00983C32"/>
    <w:rsid w:val="00983DA6"/>
    <w:rsid w:val="009840E6"/>
    <w:rsid w:val="0098425C"/>
    <w:rsid w:val="00986A5F"/>
    <w:rsid w:val="00987132"/>
    <w:rsid w:val="00987648"/>
    <w:rsid w:val="00987BA3"/>
    <w:rsid w:val="0099130D"/>
    <w:rsid w:val="00992837"/>
    <w:rsid w:val="00992931"/>
    <w:rsid w:val="00992BD0"/>
    <w:rsid w:val="00993733"/>
    <w:rsid w:val="0099424D"/>
    <w:rsid w:val="00994810"/>
    <w:rsid w:val="00995177"/>
    <w:rsid w:val="00995E18"/>
    <w:rsid w:val="00996DC8"/>
    <w:rsid w:val="009A08F5"/>
    <w:rsid w:val="009A1472"/>
    <w:rsid w:val="009A1D12"/>
    <w:rsid w:val="009A35AA"/>
    <w:rsid w:val="009A3BC8"/>
    <w:rsid w:val="009A4F3D"/>
    <w:rsid w:val="009A50DD"/>
    <w:rsid w:val="009A52CE"/>
    <w:rsid w:val="009A757D"/>
    <w:rsid w:val="009A75E7"/>
    <w:rsid w:val="009B036B"/>
    <w:rsid w:val="009B0BE9"/>
    <w:rsid w:val="009B1726"/>
    <w:rsid w:val="009B3700"/>
    <w:rsid w:val="009B38F0"/>
    <w:rsid w:val="009B3E5C"/>
    <w:rsid w:val="009B43FB"/>
    <w:rsid w:val="009B44E5"/>
    <w:rsid w:val="009B507D"/>
    <w:rsid w:val="009B5D15"/>
    <w:rsid w:val="009B5F17"/>
    <w:rsid w:val="009B5F3C"/>
    <w:rsid w:val="009B7685"/>
    <w:rsid w:val="009B7E21"/>
    <w:rsid w:val="009B7F7A"/>
    <w:rsid w:val="009C0945"/>
    <w:rsid w:val="009C0B66"/>
    <w:rsid w:val="009C1EB5"/>
    <w:rsid w:val="009C2783"/>
    <w:rsid w:val="009C2903"/>
    <w:rsid w:val="009C35BE"/>
    <w:rsid w:val="009C56D8"/>
    <w:rsid w:val="009C6BC8"/>
    <w:rsid w:val="009C72DD"/>
    <w:rsid w:val="009C7DCB"/>
    <w:rsid w:val="009D00FB"/>
    <w:rsid w:val="009D04F1"/>
    <w:rsid w:val="009D170F"/>
    <w:rsid w:val="009D2CFF"/>
    <w:rsid w:val="009D2D7F"/>
    <w:rsid w:val="009D2D94"/>
    <w:rsid w:val="009D556F"/>
    <w:rsid w:val="009D6130"/>
    <w:rsid w:val="009D6ACE"/>
    <w:rsid w:val="009D780A"/>
    <w:rsid w:val="009D79FA"/>
    <w:rsid w:val="009D7B3D"/>
    <w:rsid w:val="009E0854"/>
    <w:rsid w:val="009E0AAE"/>
    <w:rsid w:val="009E0BF8"/>
    <w:rsid w:val="009E16BF"/>
    <w:rsid w:val="009E29C3"/>
    <w:rsid w:val="009E3310"/>
    <w:rsid w:val="009E3F97"/>
    <w:rsid w:val="009E459A"/>
    <w:rsid w:val="009E61E5"/>
    <w:rsid w:val="009E64B0"/>
    <w:rsid w:val="009E66A2"/>
    <w:rsid w:val="009E72E0"/>
    <w:rsid w:val="009E7C58"/>
    <w:rsid w:val="009F08ED"/>
    <w:rsid w:val="009F1197"/>
    <w:rsid w:val="009F1A4B"/>
    <w:rsid w:val="009F3173"/>
    <w:rsid w:val="009F4367"/>
    <w:rsid w:val="009F7C07"/>
    <w:rsid w:val="00A01445"/>
    <w:rsid w:val="00A0168E"/>
    <w:rsid w:val="00A01C69"/>
    <w:rsid w:val="00A02740"/>
    <w:rsid w:val="00A04B73"/>
    <w:rsid w:val="00A06C96"/>
    <w:rsid w:val="00A07A61"/>
    <w:rsid w:val="00A1019A"/>
    <w:rsid w:val="00A1087D"/>
    <w:rsid w:val="00A1240A"/>
    <w:rsid w:val="00A12BF8"/>
    <w:rsid w:val="00A14203"/>
    <w:rsid w:val="00A1540F"/>
    <w:rsid w:val="00A16389"/>
    <w:rsid w:val="00A179F4"/>
    <w:rsid w:val="00A20179"/>
    <w:rsid w:val="00A2045A"/>
    <w:rsid w:val="00A20DA9"/>
    <w:rsid w:val="00A2200E"/>
    <w:rsid w:val="00A2264F"/>
    <w:rsid w:val="00A22D1E"/>
    <w:rsid w:val="00A231D9"/>
    <w:rsid w:val="00A2328E"/>
    <w:rsid w:val="00A24670"/>
    <w:rsid w:val="00A24C5A"/>
    <w:rsid w:val="00A2598E"/>
    <w:rsid w:val="00A26EF0"/>
    <w:rsid w:val="00A27851"/>
    <w:rsid w:val="00A3146A"/>
    <w:rsid w:val="00A323E1"/>
    <w:rsid w:val="00A3291C"/>
    <w:rsid w:val="00A332BE"/>
    <w:rsid w:val="00A341DC"/>
    <w:rsid w:val="00A3434A"/>
    <w:rsid w:val="00A350CA"/>
    <w:rsid w:val="00A351AD"/>
    <w:rsid w:val="00A353BD"/>
    <w:rsid w:val="00A357F2"/>
    <w:rsid w:val="00A367E2"/>
    <w:rsid w:val="00A36A0D"/>
    <w:rsid w:val="00A3771C"/>
    <w:rsid w:val="00A40E28"/>
    <w:rsid w:val="00A41C7A"/>
    <w:rsid w:val="00A41F1B"/>
    <w:rsid w:val="00A42BBA"/>
    <w:rsid w:val="00A444AE"/>
    <w:rsid w:val="00A46CB8"/>
    <w:rsid w:val="00A477C2"/>
    <w:rsid w:val="00A47D39"/>
    <w:rsid w:val="00A502FA"/>
    <w:rsid w:val="00A50E1C"/>
    <w:rsid w:val="00A51F8E"/>
    <w:rsid w:val="00A527F3"/>
    <w:rsid w:val="00A53179"/>
    <w:rsid w:val="00A54CB4"/>
    <w:rsid w:val="00A561BD"/>
    <w:rsid w:val="00A570C4"/>
    <w:rsid w:val="00A57FBE"/>
    <w:rsid w:val="00A60A0D"/>
    <w:rsid w:val="00A60D5F"/>
    <w:rsid w:val="00A6147C"/>
    <w:rsid w:val="00A625F9"/>
    <w:rsid w:val="00A62B0B"/>
    <w:rsid w:val="00A62EF3"/>
    <w:rsid w:val="00A63018"/>
    <w:rsid w:val="00A6354A"/>
    <w:rsid w:val="00A63A93"/>
    <w:rsid w:val="00A65DD1"/>
    <w:rsid w:val="00A6631A"/>
    <w:rsid w:val="00A66699"/>
    <w:rsid w:val="00A6673F"/>
    <w:rsid w:val="00A66927"/>
    <w:rsid w:val="00A67819"/>
    <w:rsid w:val="00A67E76"/>
    <w:rsid w:val="00A67E83"/>
    <w:rsid w:val="00A7020B"/>
    <w:rsid w:val="00A71D3A"/>
    <w:rsid w:val="00A72A19"/>
    <w:rsid w:val="00A72D3F"/>
    <w:rsid w:val="00A7395E"/>
    <w:rsid w:val="00A813B1"/>
    <w:rsid w:val="00A8209B"/>
    <w:rsid w:val="00A83B4B"/>
    <w:rsid w:val="00A84553"/>
    <w:rsid w:val="00A84834"/>
    <w:rsid w:val="00A87D31"/>
    <w:rsid w:val="00A91A71"/>
    <w:rsid w:val="00A92A33"/>
    <w:rsid w:val="00A92D44"/>
    <w:rsid w:val="00A938CB"/>
    <w:rsid w:val="00A94493"/>
    <w:rsid w:val="00A954A3"/>
    <w:rsid w:val="00A95D8B"/>
    <w:rsid w:val="00A96B3C"/>
    <w:rsid w:val="00A97C5A"/>
    <w:rsid w:val="00AA0B20"/>
    <w:rsid w:val="00AA16B3"/>
    <w:rsid w:val="00AA1AE9"/>
    <w:rsid w:val="00AA221A"/>
    <w:rsid w:val="00AA2B0B"/>
    <w:rsid w:val="00AA3858"/>
    <w:rsid w:val="00AA50E9"/>
    <w:rsid w:val="00AA5183"/>
    <w:rsid w:val="00AA5676"/>
    <w:rsid w:val="00AA5707"/>
    <w:rsid w:val="00AA7F7E"/>
    <w:rsid w:val="00AB2725"/>
    <w:rsid w:val="00AB3017"/>
    <w:rsid w:val="00AB4FC6"/>
    <w:rsid w:val="00AB5DD0"/>
    <w:rsid w:val="00AB60CF"/>
    <w:rsid w:val="00AC1256"/>
    <w:rsid w:val="00AC1D6D"/>
    <w:rsid w:val="00AC2A5B"/>
    <w:rsid w:val="00AC3F6C"/>
    <w:rsid w:val="00AC401B"/>
    <w:rsid w:val="00AC4C8B"/>
    <w:rsid w:val="00AC75F0"/>
    <w:rsid w:val="00AD0431"/>
    <w:rsid w:val="00AD2291"/>
    <w:rsid w:val="00AD3A30"/>
    <w:rsid w:val="00AD3B49"/>
    <w:rsid w:val="00AD417B"/>
    <w:rsid w:val="00AD4315"/>
    <w:rsid w:val="00AD4402"/>
    <w:rsid w:val="00AD5461"/>
    <w:rsid w:val="00AD60AF"/>
    <w:rsid w:val="00AD6A12"/>
    <w:rsid w:val="00AD7100"/>
    <w:rsid w:val="00AE22F4"/>
    <w:rsid w:val="00AE2992"/>
    <w:rsid w:val="00AE2A19"/>
    <w:rsid w:val="00AE2EC4"/>
    <w:rsid w:val="00AE566D"/>
    <w:rsid w:val="00AE6293"/>
    <w:rsid w:val="00AE6D5C"/>
    <w:rsid w:val="00AE6E54"/>
    <w:rsid w:val="00AE75A6"/>
    <w:rsid w:val="00AF18BB"/>
    <w:rsid w:val="00AF322E"/>
    <w:rsid w:val="00AF326A"/>
    <w:rsid w:val="00AF33C4"/>
    <w:rsid w:val="00AF57DF"/>
    <w:rsid w:val="00AF5BCD"/>
    <w:rsid w:val="00AF6116"/>
    <w:rsid w:val="00AF6744"/>
    <w:rsid w:val="00AF715A"/>
    <w:rsid w:val="00B00489"/>
    <w:rsid w:val="00B00E1F"/>
    <w:rsid w:val="00B01375"/>
    <w:rsid w:val="00B01CEA"/>
    <w:rsid w:val="00B02D62"/>
    <w:rsid w:val="00B0460B"/>
    <w:rsid w:val="00B05DA4"/>
    <w:rsid w:val="00B05EB5"/>
    <w:rsid w:val="00B062BF"/>
    <w:rsid w:val="00B06530"/>
    <w:rsid w:val="00B07BF8"/>
    <w:rsid w:val="00B07E56"/>
    <w:rsid w:val="00B108BE"/>
    <w:rsid w:val="00B11606"/>
    <w:rsid w:val="00B13150"/>
    <w:rsid w:val="00B1348F"/>
    <w:rsid w:val="00B1369D"/>
    <w:rsid w:val="00B138F9"/>
    <w:rsid w:val="00B13AC5"/>
    <w:rsid w:val="00B13BFB"/>
    <w:rsid w:val="00B13F4F"/>
    <w:rsid w:val="00B14A70"/>
    <w:rsid w:val="00B15C95"/>
    <w:rsid w:val="00B15F7F"/>
    <w:rsid w:val="00B219FE"/>
    <w:rsid w:val="00B22278"/>
    <w:rsid w:val="00B2425F"/>
    <w:rsid w:val="00B24EA6"/>
    <w:rsid w:val="00B25026"/>
    <w:rsid w:val="00B25072"/>
    <w:rsid w:val="00B26E42"/>
    <w:rsid w:val="00B278BB"/>
    <w:rsid w:val="00B300D2"/>
    <w:rsid w:val="00B30177"/>
    <w:rsid w:val="00B31EB8"/>
    <w:rsid w:val="00B32477"/>
    <w:rsid w:val="00B33510"/>
    <w:rsid w:val="00B37458"/>
    <w:rsid w:val="00B37C32"/>
    <w:rsid w:val="00B4058E"/>
    <w:rsid w:val="00B4149B"/>
    <w:rsid w:val="00B42513"/>
    <w:rsid w:val="00B4274C"/>
    <w:rsid w:val="00B4279B"/>
    <w:rsid w:val="00B43395"/>
    <w:rsid w:val="00B43883"/>
    <w:rsid w:val="00B46F13"/>
    <w:rsid w:val="00B4791F"/>
    <w:rsid w:val="00B505E7"/>
    <w:rsid w:val="00B5136F"/>
    <w:rsid w:val="00B54A27"/>
    <w:rsid w:val="00B552CE"/>
    <w:rsid w:val="00B5534F"/>
    <w:rsid w:val="00B56BA7"/>
    <w:rsid w:val="00B575A6"/>
    <w:rsid w:val="00B575DD"/>
    <w:rsid w:val="00B60F54"/>
    <w:rsid w:val="00B6105E"/>
    <w:rsid w:val="00B614B5"/>
    <w:rsid w:val="00B6168E"/>
    <w:rsid w:val="00B62C8C"/>
    <w:rsid w:val="00B63C9E"/>
    <w:rsid w:val="00B64133"/>
    <w:rsid w:val="00B6488F"/>
    <w:rsid w:val="00B65B6C"/>
    <w:rsid w:val="00B66F3A"/>
    <w:rsid w:val="00B6737F"/>
    <w:rsid w:val="00B6767D"/>
    <w:rsid w:val="00B6779F"/>
    <w:rsid w:val="00B6796F"/>
    <w:rsid w:val="00B67D37"/>
    <w:rsid w:val="00B67E8E"/>
    <w:rsid w:val="00B70E95"/>
    <w:rsid w:val="00B72015"/>
    <w:rsid w:val="00B72C7C"/>
    <w:rsid w:val="00B73101"/>
    <w:rsid w:val="00B731E7"/>
    <w:rsid w:val="00B73339"/>
    <w:rsid w:val="00B73627"/>
    <w:rsid w:val="00B73946"/>
    <w:rsid w:val="00B7445E"/>
    <w:rsid w:val="00B74E30"/>
    <w:rsid w:val="00B75959"/>
    <w:rsid w:val="00B75C03"/>
    <w:rsid w:val="00B75D48"/>
    <w:rsid w:val="00B7619D"/>
    <w:rsid w:val="00B8004A"/>
    <w:rsid w:val="00B80102"/>
    <w:rsid w:val="00B80D2E"/>
    <w:rsid w:val="00B81919"/>
    <w:rsid w:val="00B819D4"/>
    <w:rsid w:val="00B81E0C"/>
    <w:rsid w:val="00B829CD"/>
    <w:rsid w:val="00B842F1"/>
    <w:rsid w:val="00B84754"/>
    <w:rsid w:val="00B847F2"/>
    <w:rsid w:val="00B84811"/>
    <w:rsid w:val="00B85F82"/>
    <w:rsid w:val="00B8739E"/>
    <w:rsid w:val="00B9034F"/>
    <w:rsid w:val="00B9069D"/>
    <w:rsid w:val="00B93780"/>
    <w:rsid w:val="00B93C97"/>
    <w:rsid w:val="00B93DC9"/>
    <w:rsid w:val="00B942CC"/>
    <w:rsid w:val="00B94737"/>
    <w:rsid w:val="00B94947"/>
    <w:rsid w:val="00B94D30"/>
    <w:rsid w:val="00B94E3A"/>
    <w:rsid w:val="00B955AF"/>
    <w:rsid w:val="00B959DE"/>
    <w:rsid w:val="00B96A46"/>
    <w:rsid w:val="00BA079C"/>
    <w:rsid w:val="00BA15C0"/>
    <w:rsid w:val="00BA16B4"/>
    <w:rsid w:val="00BA24DE"/>
    <w:rsid w:val="00BA3E1E"/>
    <w:rsid w:val="00BA3F6C"/>
    <w:rsid w:val="00BA53CC"/>
    <w:rsid w:val="00BA5DBB"/>
    <w:rsid w:val="00BA6237"/>
    <w:rsid w:val="00BA6C9B"/>
    <w:rsid w:val="00BA6F6E"/>
    <w:rsid w:val="00BA7A2F"/>
    <w:rsid w:val="00BB2024"/>
    <w:rsid w:val="00BB2632"/>
    <w:rsid w:val="00BB304A"/>
    <w:rsid w:val="00BB36D7"/>
    <w:rsid w:val="00BB410C"/>
    <w:rsid w:val="00BB4A81"/>
    <w:rsid w:val="00BB5069"/>
    <w:rsid w:val="00BB5114"/>
    <w:rsid w:val="00BB60F3"/>
    <w:rsid w:val="00BB6AB3"/>
    <w:rsid w:val="00BB6AE0"/>
    <w:rsid w:val="00BB6BED"/>
    <w:rsid w:val="00BB6C9C"/>
    <w:rsid w:val="00BC01E4"/>
    <w:rsid w:val="00BC1BB4"/>
    <w:rsid w:val="00BC1C69"/>
    <w:rsid w:val="00BC27F4"/>
    <w:rsid w:val="00BC35A0"/>
    <w:rsid w:val="00BC55BD"/>
    <w:rsid w:val="00BC6C78"/>
    <w:rsid w:val="00BD0933"/>
    <w:rsid w:val="00BD0D96"/>
    <w:rsid w:val="00BD1739"/>
    <w:rsid w:val="00BD2336"/>
    <w:rsid w:val="00BD356D"/>
    <w:rsid w:val="00BD3EF1"/>
    <w:rsid w:val="00BD45CB"/>
    <w:rsid w:val="00BD7A08"/>
    <w:rsid w:val="00BE1332"/>
    <w:rsid w:val="00BE1F59"/>
    <w:rsid w:val="00BE1F98"/>
    <w:rsid w:val="00BE4C03"/>
    <w:rsid w:val="00BE575D"/>
    <w:rsid w:val="00BE7341"/>
    <w:rsid w:val="00BE7E32"/>
    <w:rsid w:val="00BF025C"/>
    <w:rsid w:val="00BF08BA"/>
    <w:rsid w:val="00BF0BEF"/>
    <w:rsid w:val="00BF2009"/>
    <w:rsid w:val="00BF26A4"/>
    <w:rsid w:val="00BF2D36"/>
    <w:rsid w:val="00BF7F3E"/>
    <w:rsid w:val="00C01331"/>
    <w:rsid w:val="00C014C0"/>
    <w:rsid w:val="00C01A7B"/>
    <w:rsid w:val="00C01FBB"/>
    <w:rsid w:val="00C020A9"/>
    <w:rsid w:val="00C023EC"/>
    <w:rsid w:val="00C02A64"/>
    <w:rsid w:val="00C02FBA"/>
    <w:rsid w:val="00C03DF4"/>
    <w:rsid w:val="00C04307"/>
    <w:rsid w:val="00C04460"/>
    <w:rsid w:val="00C0454E"/>
    <w:rsid w:val="00C05641"/>
    <w:rsid w:val="00C05F0F"/>
    <w:rsid w:val="00C07034"/>
    <w:rsid w:val="00C100A5"/>
    <w:rsid w:val="00C120F0"/>
    <w:rsid w:val="00C135D3"/>
    <w:rsid w:val="00C13EF2"/>
    <w:rsid w:val="00C143C4"/>
    <w:rsid w:val="00C148AE"/>
    <w:rsid w:val="00C15909"/>
    <w:rsid w:val="00C16677"/>
    <w:rsid w:val="00C176EC"/>
    <w:rsid w:val="00C17D54"/>
    <w:rsid w:val="00C20141"/>
    <w:rsid w:val="00C2125C"/>
    <w:rsid w:val="00C21480"/>
    <w:rsid w:val="00C229CF"/>
    <w:rsid w:val="00C24985"/>
    <w:rsid w:val="00C249C7"/>
    <w:rsid w:val="00C25CEB"/>
    <w:rsid w:val="00C27448"/>
    <w:rsid w:val="00C30AF8"/>
    <w:rsid w:val="00C31E34"/>
    <w:rsid w:val="00C31FDE"/>
    <w:rsid w:val="00C3202C"/>
    <w:rsid w:val="00C3260C"/>
    <w:rsid w:val="00C32B27"/>
    <w:rsid w:val="00C33F69"/>
    <w:rsid w:val="00C340A5"/>
    <w:rsid w:val="00C34F9B"/>
    <w:rsid w:val="00C35236"/>
    <w:rsid w:val="00C35411"/>
    <w:rsid w:val="00C36C03"/>
    <w:rsid w:val="00C40501"/>
    <w:rsid w:val="00C413F4"/>
    <w:rsid w:val="00C419F6"/>
    <w:rsid w:val="00C41C61"/>
    <w:rsid w:val="00C422BC"/>
    <w:rsid w:val="00C422D5"/>
    <w:rsid w:val="00C4390C"/>
    <w:rsid w:val="00C43BAA"/>
    <w:rsid w:val="00C44037"/>
    <w:rsid w:val="00C462BF"/>
    <w:rsid w:val="00C462CC"/>
    <w:rsid w:val="00C46954"/>
    <w:rsid w:val="00C47C8C"/>
    <w:rsid w:val="00C50470"/>
    <w:rsid w:val="00C50ACD"/>
    <w:rsid w:val="00C51607"/>
    <w:rsid w:val="00C51901"/>
    <w:rsid w:val="00C51A32"/>
    <w:rsid w:val="00C51E56"/>
    <w:rsid w:val="00C5334C"/>
    <w:rsid w:val="00C54EAD"/>
    <w:rsid w:val="00C602D0"/>
    <w:rsid w:val="00C60C02"/>
    <w:rsid w:val="00C60F14"/>
    <w:rsid w:val="00C613B6"/>
    <w:rsid w:val="00C64509"/>
    <w:rsid w:val="00C65F31"/>
    <w:rsid w:val="00C6655F"/>
    <w:rsid w:val="00C6729A"/>
    <w:rsid w:val="00C7044E"/>
    <w:rsid w:val="00C70F07"/>
    <w:rsid w:val="00C70F79"/>
    <w:rsid w:val="00C712AA"/>
    <w:rsid w:val="00C73841"/>
    <w:rsid w:val="00C73F9E"/>
    <w:rsid w:val="00C7421E"/>
    <w:rsid w:val="00C7431C"/>
    <w:rsid w:val="00C77B0B"/>
    <w:rsid w:val="00C809C2"/>
    <w:rsid w:val="00C82B51"/>
    <w:rsid w:val="00C8361B"/>
    <w:rsid w:val="00C837B4"/>
    <w:rsid w:val="00C838BB"/>
    <w:rsid w:val="00C83945"/>
    <w:rsid w:val="00C83AD6"/>
    <w:rsid w:val="00C83B5E"/>
    <w:rsid w:val="00C85667"/>
    <w:rsid w:val="00C85BE4"/>
    <w:rsid w:val="00C86E7E"/>
    <w:rsid w:val="00C875E9"/>
    <w:rsid w:val="00C87D48"/>
    <w:rsid w:val="00C903BD"/>
    <w:rsid w:val="00C9047C"/>
    <w:rsid w:val="00C915CD"/>
    <w:rsid w:val="00C9182A"/>
    <w:rsid w:val="00C9441B"/>
    <w:rsid w:val="00C945A7"/>
    <w:rsid w:val="00C95ACB"/>
    <w:rsid w:val="00C96896"/>
    <w:rsid w:val="00C969D4"/>
    <w:rsid w:val="00C970F4"/>
    <w:rsid w:val="00C97BAA"/>
    <w:rsid w:val="00C97E0D"/>
    <w:rsid w:val="00CA118E"/>
    <w:rsid w:val="00CA1537"/>
    <w:rsid w:val="00CA2D93"/>
    <w:rsid w:val="00CA3A67"/>
    <w:rsid w:val="00CA3EC5"/>
    <w:rsid w:val="00CA41D5"/>
    <w:rsid w:val="00CA5238"/>
    <w:rsid w:val="00CA63EB"/>
    <w:rsid w:val="00CA6829"/>
    <w:rsid w:val="00CB1615"/>
    <w:rsid w:val="00CB2699"/>
    <w:rsid w:val="00CB31CB"/>
    <w:rsid w:val="00CB34D8"/>
    <w:rsid w:val="00CB34F6"/>
    <w:rsid w:val="00CB4B0E"/>
    <w:rsid w:val="00CB652A"/>
    <w:rsid w:val="00CB6537"/>
    <w:rsid w:val="00CB69C4"/>
    <w:rsid w:val="00CB6B53"/>
    <w:rsid w:val="00CB6DB8"/>
    <w:rsid w:val="00CB78E9"/>
    <w:rsid w:val="00CC12D8"/>
    <w:rsid w:val="00CC1E27"/>
    <w:rsid w:val="00CC22AE"/>
    <w:rsid w:val="00CC56E2"/>
    <w:rsid w:val="00CC7935"/>
    <w:rsid w:val="00CC7C84"/>
    <w:rsid w:val="00CD05C1"/>
    <w:rsid w:val="00CD1E91"/>
    <w:rsid w:val="00CD25FE"/>
    <w:rsid w:val="00CD2AC5"/>
    <w:rsid w:val="00CD2BA2"/>
    <w:rsid w:val="00CD2CAF"/>
    <w:rsid w:val="00CD2FC7"/>
    <w:rsid w:val="00CD343D"/>
    <w:rsid w:val="00CD4338"/>
    <w:rsid w:val="00CD5B9B"/>
    <w:rsid w:val="00CD66DD"/>
    <w:rsid w:val="00CD6BFC"/>
    <w:rsid w:val="00CE0BF6"/>
    <w:rsid w:val="00CE2373"/>
    <w:rsid w:val="00CE3209"/>
    <w:rsid w:val="00CE350A"/>
    <w:rsid w:val="00CE3ED4"/>
    <w:rsid w:val="00CE4C25"/>
    <w:rsid w:val="00CE5AF8"/>
    <w:rsid w:val="00CE72F3"/>
    <w:rsid w:val="00CF0668"/>
    <w:rsid w:val="00CF08BC"/>
    <w:rsid w:val="00CF1374"/>
    <w:rsid w:val="00CF161F"/>
    <w:rsid w:val="00CF242D"/>
    <w:rsid w:val="00CF3626"/>
    <w:rsid w:val="00CF3FC8"/>
    <w:rsid w:val="00CF6855"/>
    <w:rsid w:val="00CF6E70"/>
    <w:rsid w:val="00D00AC6"/>
    <w:rsid w:val="00D0263C"/>
    <w:rsid w:val="00D03D31"/>
    <w:rsid w:val="00D043E1"/>
    <w:rsid w:val="00D07DBB"/>
    <w:rsid w:val="00D10D49"/>
    <w:rsid w:val="00D126FC"/>
    <w:rsid w:val="00D13F62"/>
    <w:rsid w:val="00D14164"/>
    <w:rsid w:val="00D14B54"/>
    <w:rsid w:val="00D14F99"/>
    <w:rsid w:val="00D15B07"/>
    <w:rsid w:val="00D163DB"/>
    <w:rsid w:val="00D20196"/>
    <w:rsid w:val="00D2076E"/>
    <w:rsid w:val="00D228B8"/>
    <w:rsid w:val="00D230EF"/>
    <w:rsid w:val="00D23FF4"/>
    <w:rsid w:val="00D240CB"/>
    <w:rsid w:val="00D247BB"/>
    <w:rsid w:val="00D24A72"/>
    <w:rsid w:val="00D25486"/>
    <w:rsid w:val="00D305CD"/>
    <w:rsid w:val="00D32042"/>
    <w:rsid w:val="00D3227D"/>
    <w:rsid w:val="00D32957"/>
    <w:rsid w:val="00D333D1"/>
    <w:rsid w:val="00D33BB7"/>
    <w:rsid w:val="00D33D3F"/>
    <w:rsid w:val="00D34035"/>
    <w:rsid w:val="00D35BC9"/>
    <w:rsid w:val="00D408A4"/>
    <w:rsid w:val="00D412D2"/>
    <w:rsid w:val="00D41319"/>
    <w:rsid w:val="00D450F8"/>
    <w:rsid w:val="00D46699"/>
    <w:rsid w:val="00D46E32"/>
    <w:rsid w:val="00D47068"/>
    <w:rsid w:val="00D500B9"/>
    <w:rsid w:val="00D50889"/>
    <w:rsid w:val="00D54590"/>
    <w:rsid w:val="00D55DDC"/>
    <w:rsid w:val="00D5687E"/>
    <w:rsid w:val="00D56A71"/>
    <w:rsid w:val="00D573C9"/>
    <w:rsid w:val="00D57674"/>
    <w:rsid w:val="00D57C10"/>
    <w:rsid w:val="00D60266"/>
    <w:rsid w:val="00D61DCC"/>
    <w:rsid w:val="00D62056"/>
    <w:rsid w:val="00D62A11"/>
    <w:rsid w:val="00D63C33"/>
    <w:rsid w:val="00D64F93"/>
    <w:rsid w:val="00D65A7B"/>
    <w:rsid w:val="00D66566"/>
    <w:rsid w:val="00D66C52"/>
    <w:rsid w:val="00D67745"/>
    <w:rsid w:val="00D70058"/>
    <w:rsid w:val="00D727A2"/>
    <w:rsid w:val="00D72888"/>
    <w:rsid w:val="00D73C77"/>
    <w:rsid w:val="00D74620"/>
    <w:rsid w:val="00D74A51"/>
    <w:rsid w:val="00D751A7"/>
    <w:rsid w:val="00D752A0"/>
    <w:rsid w:val="00D7565F"/>
    <w:rsid w:val="00D75719"/>
    <w:rsid w:val="00D760D2"/>
    <w:rsid w:val="00D76AB5"/>
    <w:rsid w:val="00D77563"/>
    <w:rsid w:val="00D805B2"/>
    <w:rsid w:val="00D80EEE"/>
    <w:rsid w:val="00D80F1D"/>
    <w:rsid w:val="00D83B60"/>
    <w:rsid w:val="00D83D4E"/>
    <w:rsid w:val="00D847BB"/>
    <w:rsid w:val="00D8521E"/>
    <w:rsid w:val="00D86970"/>
    <w:rsid w:val="00D91337"/>
    <w:rsid w:val="00D91A55"/>
    <w:rsid w:val="00D92033"/>
    <w:rsid w:val="00D92390"/>
    <w:rsid w:val="00D93F0B"/>
    <w:rsid w:val="00D95C7D"/>
    <w:rsid w:val="00D96638"/>
    <w:rsid w:val="00D97D5B"/>
    <w:rsid w:val="00D97FB9"/>
    <w:rsid w:val="00DA0FC5"/>
    <w:rsid w:val="00DA2317"/>
    <w:rsid w:val="00DA2622"/>
    <w:rsid w:val="00DA28D4"/>
    <w:rsid w:val="00DA3591"/>
    <w:rsid w:val="00DA3B7E"/>
    <w:rsid w:val="00DA3E45"/>
    <w:rsid w:val="00DA4DDA"/>
    <w:rsid w:val="00DA6684"/>
    <w:rsid w:val="00DA72A6"/>
    <w:rsid w:val="00DB0B1D"/>
    <w:rsid w:val="00DB263D"/>
    <w:rsid w:val="00DB2773"/>
    <w:rsid w:val="00DB29AD"/>
    <w:rsid w:val="00DB2EC7"/>
    <w:rsid w:val="00DB3DDE"/>
    <w:rsid w:val="00DB4A33"/>
    <w:rsid w:val="00DB5D60"/>
    <w:rsid w:val="00DB5F91"/>
    <w:rsid w:val="00DB639E"/>
    <w:rsid w:val="00DB7BFF"/>
    <w:rsid w:val="00DB7E22"/>
    <w:rsid w:val="00DC05CB"/>
    <w:rsid w:val="00DC069A"/>
    <w:rsid w:val="00DC0A37"/>
    <w:rsid w:val="00DC355D"/>
    <w:rsid w:val="00DC3700"/>
    <w:rsid w:val="00DC37AE"/>
    <w:rsid w:val="00DC3E92"/>
    <w:rsid w:val="00DC50AE"/>
    <w:rsid w:val="00DC5C24"/>
    <w:rsid w:val="00DC7677"/>
    <w:rsid w:val="00DC799F"/>
    <w:rsid w:val="00DD126F"/>
    <w:rsid w:val="00DD1356"/>
    <w:rsid w:val="00DD1570"/>
    <w:rsid w:val="00DD1BB0"/>
    <w:rsid w:val="00DD1FFF"/>
    <w:rsid w:val="00DD29CC"/>
    <w:rsid w:val="00DD2A56"/>
    <w:rsid w:val="00DD2AB6"/>
    <w:rsid w:val="00DD3A37"/>
    <w:rsid w:val="00DD55FD"/>
    <w:rsid w:val="00DD56E7"/>
    <w:rsid w:val="00DD5B4E"/>
    <w:rsid w:val="00DD67B5"/>
    <w:rsid w:val="00DD7565"/>
    <w:rsid w:val="00DD78A3"/>
    <w:rsid w:val="00DE1FA4"/>
    <w:rsid w:val="00DE299D"/>
    <w:rsid w:val="00DE33C7"/>
    <w:rsid w:val="00DE35A5"/>
    <w:rsid w:val="00DE4429"/>
    <w:rsid w:val="00DE4876"/>
    <w:rsid w:val="00DE48BE"/>
    <w:rsid w:val="00DE4A66"/>
    <w:rsid w:val="00DE62C3"/>
    <w:rsid w:val="00DE7D16"/>
    <w:rsid w:val="00DF0EA3"/>
    <w:rsid w:val="00DF1284"/>
    <w:rsid w:val="00DF301E"/>
    <w:rsid w:val="00DF455A"/>
    <w:rsid w:val="00DF5D0F"/>
    <w:rsid w:val="00DF79E9"/>
    <w:rsid w:val="00DF7AEB"/>
    <w:rsid w:val="00E00909"/>
    <w:rsid w:val="00E01163"/>
    <w:rsid w:val="00E019E4"/>
    <w:rsid w:val="00E02FB7"/>
    <w:rsid w:val="00E0327C"/>
    <w:rsid w:val="00E0473D"/>
    <w:rsid w:val="00E0543B"/>
    <w:rsid w:val="00E061E4"/>
    <w:rsid w:val="00E06C7B"/>
    <w:rsid w:val="00E06CEA"/>
    <w:rsid w:val="00E06E5F"/>
    <w:rsid w:val="00E07469"/>
    <w:rsid w:val="00E075A8"/>
    <w:rsid w:val="00E0771F"/>
    <w:rsid w:val="00E07D99"/>
    <w:rsid w:val="00E10BA6"/>
    <w:rsid w:val="00E12916"/>
    <w:rsid w:val="00E129C7"/>
    <w:rsid w:val="00E13F90"/>
    <w:rsid w:val="00E14E2D"/>
    <w:rsid w:val="00E150E3"/>
    <w:rsid w:val="00E173C4"/>
    <w:rsid w:val="00E2171A"/>
    <w:rsid w:val="00E22C87"/>
    <w:rsid w:val="00E23828"/>
    <w:rsid w:val="00E240B2"/>
    <w:rsid w:val="00E242C6"/>
    <w:rsid w:val="00E252AD"/>
    <w:rsid w:val="00E30B64"/>
    <w:rsid w:val="00E30B77"/>
    <w:rsid w:val="00E32C3D"/>
    <w:rsid w:val="00E3516F"/>
    <w:rsid w:val="00E36F00"/>
    <w:rsid w:val="00E419C5"/>
    <w:rsid w:val="00E41EDA"/>
    <w:rsid w:val="00E42A54"/>
    <w:rsid w:val="00E42B7E"/>
    <w:rsid w:val="00E43B89"/>
    <w:rsid w:val="00E46637"/>
    <w:rsid w:val="00E46DEB"/>
    <w:rsid w:val="00E51031"/>
    <w:rsid w:val="00E5134D"/>
    <w:rsid w:val="00E51C53"/>
    <w:rsid w:val="00E51D7D"/>
    <w:rsid w:val="00E523B5"/>
    <w:rsid w:val="00E52B68"/>
    <w:rsid w:val="00E535F5"/>
    <w:rsid w:val="00E6045C"/>
    <w:rsid w:val="00E61F5B"/>
    <w:rsid w:val="00E628A6"/>
    <w:rsid w:val="00E6299D"/>
    <w:rsid w:val="00E63157"/>
    <w:rsid w:val="00E63559"/>
    <w:rsid w:val="00E647FD"/>
    <w:rsid w:val="00E6511F"/>
    <w:rsid w:val="00E65577"/>
    <w:rsid w:val="00E66BB0"/>
    <w:rsid w:val="00E67303"/>
    <w:rsid w:val="00E6779B"/>
    <w:rsid w:val="00E70E6C"/>
    <w:rsid w:val="00E70F31"/>
    <w:rsid w:val="00E71708"/>
    <w:rsid w:val="00E71FD8"/>
    <w:rsid w:val="00E726DD"/>
    <w:rsid w:val="00E72BD6"/>
    <w:rsid w:val="00E765C1"/>
    <w:rsid w:val="00E7672C"/>
    <w:rsid w:val="00E767DD"/>
    <w:rsid w:val="00E76ED0"/>
    <w:rsid w:val="00E80924"/>
    <w:rsid w:val="00E81280"/>
    <w:rsid w:val="00E813F7"/>
    <w:rsid w:val="00E82417"/>
    <w:rsid w:val="00E83081"/>
    <w:rsid w:val="00E83AFD"/>
    <w:rsid w:val="00E844BE"/>
    <w:rsid w:val="00E85D68"/>
    <w:rsid w:val="00E86318"/>
    <w:rsid w:val="00E875CF"/>
    <w:rsid w:val="00E908AD"/>
    <w:rsid w:val="00E90B71"/>
    <w:rsid w:val="00E91237"/>
    <w:rsid w:val="00E91394"/>
    <w:rsid w:val="00E91AA3"/>
    <w:rsid w:val="00E92A07"/>
    <w:rsid w:val="00E92CF8"/>
    <w:rsid w:val="00E9377A"/>
    <w:rsid w:val="00E943EA"/>
    <w:rsid w:val="00E949D2"/>
    <w:rsid w:val="00E94A71"/>
    <w:rsid w:val="00E94F55"/>
    <w:rsid w:val="00E94FBA"/>
    <w:rsid w:val="00E96628"/>
    <w:rsid w:val="00E9674C"/>
    <w:rsid w:val="00EA1E16"/>
    <w:rsid w:val="00EA283C"/>
    <w:rsid w:val="00EA2E76"/>
    <w:rsid w:val="00EA3300"/>
    <w:rsid w:val="00EA3591"/>
    <w:rsid w:val="00EA364F"/>
    <w:rsid w:val="00EA3E9B"/>
    <w:rsid w:val="00EA4137"/>
    <w:rsid w:val="00EA637F"/>
    <w:rsid w:val="00EA6FE4"/>
    <w:rsid w:val="00EA7168"/>
    <w:rsid w:val="00EA7829"/>
    <w:rsid w:val="00EB0DE7"/>
    <w:rsid w:val="00EB2ABB"/>
    <w:rsid w:val="00EB2DE7"/>
    <w:rsid w:val="00EB348C"/>
    <w:rsid w:val="00EB3785"/>
    <w:rsid w:val="00EB3805"/>
    <w:rsid w:val="00EB3E91"/>
    <w:rsid w:val="00EB4744"/>
    <w:rsid w:val="00EB549F"/>
    <w:rsid w:val="00EB7FD9"/>
    <w:rsid w:val="00EC03AB"/>
    <w:rsid w:val="00EC08DD"/>
    <w:rsid w:val="00EC2BF6"/>
    <w:rsid w:val="00EC2BFB"/>
    <w:rsid w:val="00EC3204"/>
    <w:rsid w:val="00EC3D2D"/>
    <w:rsid w:val="00EC546E"/>
    <w:rsid w:val="00EC57E6"/>
    <w:rsid w:val="00EC587D"/>
    <w:rsid w:val="00EC5EFB"/>
    <w:rsid w:val="00EC7AF3"/>
    <w:rsid w:val="00ED003F"/>
    <w:rsid w:val="00ED0FF6"/>
    <w:rsid w:val="00ED14BF"/>
    <w:rsid w:val="00ED25BD"/>
    <w:rsid w:val="00ED2859"/>
    <w:rsid w:val="00ED3396"/>
    <w:rsid w:val="00ED48E8"/>
    <w:rsid w:val="00ED4BB1"/>
    <w:rsid w:val="00ED5A63"/>
    <w:rsid w:val="00ED771C"/>
    <w:rsid w:val="00EE0162"/>
    <w:rsid w:val="00EE020B"/>
    <w:rsid w:val="00EE0AD0"/>
    <w:rsid w:val="00EE1A1E"/>
    <w:rsid w:val="00EE1AF7"/>
    <w:rsid w:val="00EE230B"/>
    <w:rsid w:val="00EE3AAF"/>
    <w:rsid w:val="00EE564B"/>
    <w:rsid w:val="00EE6289"/>
    <w:rsid w:val="00EE64DD"/>
    <w:rsid w:val="00EE6DCA"/>
    <w:rsid w:val="00EE7195"/>
    <w:rsid w:val="00EE73C7"/>
    <w:rsid w:val="00EE7963"/>
    <w:rsid w:val="00EF4037"/>
    <w:rsid w:val="00EF7705"/>
    <w:rsid w:val="00F01911"/>
    <w:rsid w:val="00F01AA0"/>
    <w:rsid w:val="00F01C5C"/>
    <w:rsid w:val="00F02A68"/>
    <w:rsid w:val="00F02B09"/>
    <w:rsid w:val="00F033DB"/>
    <w:rsid w:val="00F03644"/>
    <w:rsid w:val="00F04CF6"/>
    <w:rsid w:val="00F05CDA"/>
    <w:rsid w:val="00F070E1"/>
    <w:rsid w:val="00F10168"/>
    <w:rsid w:val="00F1056F"/>
    <w:rsid w:val="00F109AF"/>
    <w:rsid w:val="00F11522"/>
    <w:rsid w:val="00F12BA4"/>
    <w:rsid w:val="00F12BBE"/>
    <w:rsid w:val="00F12CD0"/>
    <w:rsid w:val="00F13C30"/>
    <w:rsid w:val="00F14B6F"/>
    <w:rsid w:val="00F14F37"/>
    <w:rsid w:val="00F156F9"/>
    <w:rsid w:val="00F15762"/>
    <w:rsid w:val="00F16C51"/>
    <w:rsid w:val="00F16F6E"/>
    <w:rsid w:val="00F17505"/>
    <w:rsid w:val="00F17DCA"/>
    <w:rsid w:val="00F20E4C"/>
    <w:rsid w:val="00F21A31"/>
    <w:rsid w:val="00F21EF1"/>
    <w:rsid w:val="00F22B70"/>
    <w:rsid w:val="00F23384"/>
    <w:rsid w:val="00F23DA6"/>
    <w:rsid w:val="00F248AF"/>
    <w:rsid w:val="00F24F92"/>
    <w:rsid w:val="00F255FF"/>
    <w:rsid w:val="00F25877"/>
    <w:rsid w:val="00F26F9B"/>
    <w:rsid w:val="00F27222"/>
    <w:rsid w:val="00F27DBF"/>
    <w:rsid w:val="00F30122"/>
    <w:rsid w:val="00F31783"/>
    <w:rsid w:val="00F3272E"/>
    <w:rsid w:val="00F34CB5"/>
    <w:rsid w:val="00F3688F"/>
    <w:rsid w:val="00F37DCC"/>
    <w:rsid w:val="00F42AE0"/>
    <w:rsid w:val="00F42D23"/>
    <w:rsid w:val="00F44EA1"/>
    <w:rsid w:val="00F45138"/>
    <w:rsid w:val="00F45D2C"/>
    <w:rsid w:val="00F460A9"/>
    <w:rsid w:val="00F462DE"/>
    <w:rsid w:val="00F4678D"/>
    <w:rsid w:val="00F47CFE"/>
    <w:rsid w:val="00F50C9F"/>
    <w:rsid w:val="00F5112E"/>
    <w:rsid w:val="00F52A84"/>
    <w:rsid w:val="00F53483"/>
    <w:rsid w:val="00F5438C"/>
    <w:rsid w:val="00F548F8"/>
    <w:rsid w:val="00F5516B"/>
    <w:rsid w:val="00F555E2"/>
    <w:rsid w:val="00F5590F"/>
    <w:rsid w:val="00F56718"/>
    <w:rsid w:val="00F56EBF"/>
    <w:rsid w:val="00F60052"/>
    <w:rsid w:val="00F607C6"/>
    <w:rsid w:val="00F615F1"/>
    <w:rsid w:val="00F61B4F"/>
    <w:rsid w:val="00F62188"/>
    <w:rsid w:val="00F6233B"/>
    <w:rsid w:val="00F62397"/>
    <w:rsid w:val="00F639D9"/>
    <w:rsid w:val="00F63C67"/>
    <w:rsid w:val="00F63E18"/>
    <w:rsid w:val="00F65A33"/>
    <w:rsid w:val="00F65B4E"/>
    <w:rsid w:val="00F65FDD"/>
    <w:rsid w:val="00F6703E"/>
    <w:rsid w:val="00F67F9E"/>
    <w:rsid w:val="00F706B2"/>
    <w:rsid w:val="00F716B7"/>
    <w:rsid w:val="00F738EF"/>
    <w:rsid w:val="00F74E61"/>
    <w:rsid w:val="00F770D4"/>
    <w:rsid w:val="00F77AB8"/>
    <w:rsid w:val="00F808DF"/>
    <w:rsid w:val="00F80D26"/>
    <w:rsid w:val="00F816CA"/>
    <w:rsid w:val="00F81772"/>
    <w:rsid w:val="00F817E1"/>
    <w:rsid w:val="00F822D0"/>
    <w:rsid w:val="00F82B6B"/>
    <w:rsid w:val="00F83021"/>
    <w:rsid w:val="00F8434F"/>
    <w:rsid w:val="00F9096E"/>
    <w:rsid w:val="00F911B6"/>
    <w:rsid w:val="00F91326"/>
    <w:rsid w:val="00F91CFF"/>
    <w:rsid w:val="00F92E6F"/>
    <w:rsid w:val="00F935BE"/>
    <w:rsid w:val="00F9389B"/>
    <w:rsid w:val="00F93B39"/>
    <w:rsid w:val="00F94299"/>
    <w:rsid w:val="00F94D66"/>
    <w:rsid w:val="00F95C77"/>
    <w:rsid w:val="00F96EA8"/>
    <w:rsid w:val="00F970D6"/>
    <w:rsid w:val="00F97E64"/>
    <w:rsid w:val="00FA0132"/>
    <w:rsid w:val="00FA019D"/>
    <w:rsid w:val="00FA0C60"/>
    <w:rsid w:val="00FA153D"/>
    <w:rsid w:val="00FA1A91"/>
    <w:rsid w:val="00FA3B30"/>
    <w:rsid w:val="00FA3C82"/>
    <w:rsid w:val="00FA3F2F"/>
    <w:rsid w:val="00FA4169"/>
    <w:rsid w:val="00FA51B2"/>
    <w:rsid w:val="00FA5CEC"/>
    <w:rsid w:val="00FA64FA"/>
    <w:rsid w:val="00FA7C94"/>
    <w:rsid w:val="00FB14A4"/>
    <w:rsid w:val="00FB1842"/>
    <w:rsid w:val="00FB324D"/>
    <w:rsid w:val="00FB384E"/>
    <w:rsid w:val="00FB458D"/>
    <w:rsid w:val="00FB56DA"/>
    <w:rsid w:val="00FB67F9"/>
    <w:rsid w:val="00FB6CFF"/>
    <w:rsid w:val="00FB75A1"/>
    <w:rsid w:val="00FB7B57"/>
    <w:rsid w:val="00FB7C88"/>
    <w:rsid w:val="00FC1034"/>
    <w:rsid w:val="00FC1043"/>
    <w:rsid w:val="00FC14E2"/>
    <w:rsid w:val="00FC57B2"/>
    <w:rsid w:val="00FC79E8"/>
    <w:rsid w:val="00FD0668"/>
    <w:rsid w:val="00FD287E"/>
    <w:rsid w:val="00FD4DC9"/>
    <w:rsid w:val="00FD6DF4"/>
    <w:rsid w:val="00FD723E"/>
    <w:rsid w:val="00FD73C7"/>
    <w:rsid w:val="00FE41AC"/>
    <w:rsid w:val="00FE5482"/>
    <w:rsid w:val="00FE7772"/>
    <w:rsid w:val="00FE7D86"/>
    <w:rsid w:val="00FF0D28"/>
    <w:rsid w:val="00FF0DEE"/>
    <w:rsid w:val="00FF18B1"/>
    <w:rsid w:val="00FF585E"/>
    <w:rsid w:val="00FF5D8F"/>
    <w:rsid w:val="00FF68C0"/>
    <w:rsid w:val="00FF781C"/>
    <w:rsid w:val="00FF7EF7"/>
    <w:rsid w:val="035A2777"/>
    <w:rsid w:val="04F855D9"/>
    <w:rsid w:val="05A65E4C"/>
    <w:rsid w:val="0A1646EB"/>
    <w:rsid w:val="0A8252C0"/>
    <w:rsid w:val="0BDD5172"/>
    <w:rsid w:val="0BFE34D0"/>
    <w:rsid w:val="0BFFDBAB"/>
    <w:rsid w:val="0C57A6D3"/>
    <w:rsid w:val="0CD656B3"/>
    <w:rsid w:val="0E1F0F9C"/>
    <w:rsid w:val="0E4FACC1"/>
    <w:rsid w:val="0ED939EE"/>
    <w:rsid w:val="0EE1585B"/>
    <w:rsid w:val="0FBB453C"/>
    <w:rsid w:val="10B418B4"/>
    <w:rsid w:val="11E9219A"/>
    <w:rsid w:val="12DC6D26"/>
    <w:rsid w:val="144E6FF7"/>
    <w:rsid w:val="15FEED3F"/>
    <w:rsid w:val="182379C2"/>
    <w:rsid w:val="1A184DDE"/>
    <w:rsid w:val="1ADE368E"/>
    <w:rsid w:val="1AF4C1CA"/>
    <w:rsid w:val="1B5F1CE2"/>
    <w:rsid w:val="1BFB5C0B"/>
    <w:rsid w:val="1BFDF980"/>
    <w:rsid w:val="1D66DB6C"/>
    <w:rsid w:val="1DDF22B0"/>
    <w:rsid w:val="1E1F0729"/>
    <w:rsid w:val="1F759632"/>
    <w:rsid w:val="1FB836C3"/>
    <w:rsid w:val="1FEFBB43"/>
    <w:rsid w:val="1FF3C91C"/>
    <w:rsid w:val="212CF175"/>
    <w:rsid w:val="214A4A41"/>
    <w:rsid w:val="217B5C04"/>
    <w:rsid w:val="2322550C"/>
    <w:rsid w:val="23E6CD70"/>
    <w:rsid w:val="23F34DEF"/>
    <w:rsid w:val="24E87FF3"/>
    <w:rsid w:val="27267722"/>
    <w:rsid w:val="27B54DC3"/>
    <w:rsid w:val="29751E2F"/>
    <w:rsid w:val="29BF73F1"/>
    <w:rsid w:val="2A7015D8"/>
    <w:rsid w:val="2CB93C16"/>
    <w:rsid w:val="2CC24116"/>
    <w:rsid w:val="2D3DA7EF"/>
    <w:rsid w:val="2D79D7E2"/>
    <w:rsid w:val="2DB228BE"/>
    <w:rsid w:val="2DCDFF0D"/>
    <w:rsid w:val="2DE903EA"/>
    <w:rsid w:val="2E3F7C7B"/>
    <w:rsid w:val="2E5B6F20"/>
    <w:rsid w:val="2E7D829B"/>
    <w:rsid w:val="2F7FE526"/>
    <w:rsid w:val="2F8A0783"/>
    <w:rsid w:val="2FAF2C5A"/>
    <w:rsid w:val="2FB10ED6"/>
    <w:rsid w:val="2FBF5B0E"/>
    <w:rsid w:val="2FCC264D"/>
    <w:rsid w:val="2FDF6D1B"/>
    <w:rsid w:val="313277C1"/>
    <w:rsid w:val="315A2F0C"/>
    <w:rsid w:val="31BB681D"/>
    <w:rsid w:val="31C175D2"/>
    <w:rsid w:val="33EE5F92"/>
    <w:rsid w:val="342258A5"/>
    <w:rsid w:val="34C819EF"/>
    <w:rsid w:val="34D3AB59"/>
    <w:rsid w:val="353B6A1D"/>
    <w:rsid w:val="35EB0202"/>
    <w:rsid w:val="36F72FC3"/>
    <w:rsid w:val="37B12183"/>
    <w:rsid w:val="37D78462"/>
    <w:rsid w:val="37F53800"/>
    <w:rsid w:val="384E54DB"/>
    <w:rsid w:val="39C735C6"/>
    <w:rsid w:val="39FF7903"/>
    <w:rsid w:val="3AFDA108"/>
    <w:rsid w:val="3CBF0BEF"/>
    <w:rsid w:val="3D93A22F"/>
    <w:rsid w:val="3DAD7024"/>
    <w:rsid w:val="3DB1FBAA"/>
    <w:rsid w:val="3DDAC0D5"/>
    <w:rsid w:val="3DFE44AE"/>
    <w:rsid w:val="3E5D4272"/>
    <w:rsid w:val="3EA51073"/>
    <w:rsid w:val="3EB32A41"/>
    <w:rsid w:val="3EBF2781"/>
    <w:rsid w:val="3EE7D30C"/>
    <w:rsid w:val="3F594B56"/>
    <w:rsid w:val="3F81FD45"/>
    <w:rsid w:val="3FAF4212"/>
    <w:rsid w:val="3FB7195B"/>
    <w:rsid w:val="3FBA76DD"/>
    <w:rsid w:val="3FD7FDE7"/>
    <w:rsid w:val="3FE60AFE"/>
    <w:rsid w:val="3FEB138B"/>
    <w:rsid w:val="3FEB6BB7"/>
    <w:rsid w:val="3FFBA646"/>
    <w:rsid w:val="3FFEDA06"/>
    <w:rsid w:val="40952AE2"/>
    <w:rsid w:val="40D75A3B"/>
    <w:rsid w:val="419DD6AA"/>
    <w:rsid w:val="43E34393"/>
    <w:rsid w:val="4405758B"/>
    <w:rsid w:val="450A6CC5"/>
    <w:rsid w:val="46110069"/>
    <w:rsid w:val="46696E2A"/>
    <w:rsid w:val="47001F4A"/>
    <w:rsid w:val="47DD2051"/>
    <w:rsid w:val="484B03E4"/>
    <w:rsid w:val="4A444260"/>
    <w:rsid w:val="4A4552EF"/>
    <w:rsid w:val="4B4335E8"/>
    <w:rsid w:val="4BFEFE65"/>
    <w:rsid w:val="4DAB0218"/>
    <w:rsid w:val="4DE7DB47"/>
    <w:rsid w:val="4EFF5C64"/>
    <w:rsid w:val="4F3582D2"/>
    <w:rsid w:val="4FC077ED"/>
    <w:rsid w:val="510C652C"/>
    <w:rsid w:val="514F30C0"/>
    <w:rsid w:val="53960050"/>
    <w:rsid w:val="57583214"/>
    <w:rsid w:val="57BEDB08"/>
    <w:rsid w:val="57DFEEA8"/>
    <w:rsid w:val="57EF8F94"/>
    <w:rsid w:val="57EF9424"/>
    <w:rsid w:val="58273922"/>
    <w:rsid w:val="58859415"/>
    <w:rsid w:val="58987BB5"/>
    <w:rsid w:val="58CD6A23"/>
    <w:rsid w:val="5A0750E9"/>
    <w:rsid w:val="5ADA29AD"/>
    <w:rsid w:val="5B171A00"/>
    <w:rsid w:val="5BB825C2"/>
    <w:rsid w:val="5BD33816"/>
    <w:rsid w:val="5BDC3429"/>
    <w:rsid w:val="5BEDF448"/>
    <w:rsid w:val="5BFB1251"/>
    <w:rsid w:val="5C4852D2"/>
    <w:rsid w:val="5C9B2ACD"/>
    <w:rsid w:val="5CB67032"/>
    <w:rsid w:val="5CBC710F"/>
    <w:rsid w:val="5CFD1230"/>
    <w:rsid w:val="5DE9A25F"/>
    <w:rsid w:val="5DFF4203"/>
    <w:rsid w:val="5E3E720A"/>
    <w:rsid w:val="5EA7C062"/>
    <w:rsid w:val="5EFB9C6F"/>
    <w:rsid w:val="5F7E784C"/>
    <w:rsid w:val="5F97C1A2"/>
    <w:rsid w:val="5FAF11A4"/>
    <w:rsid w:val="5FB720A9"/>
    <w:rsid w:val="5FBD702A"/>
    <w:rsid w:val="5FBF794D"/>
    <w:rsid w:val="5FF136E3"/>
    <w:rsid w:val="5FFB54D5"/>
    <w:rsid w:val="5FFE485D"/>
    <w:rsid w:val="5FFF5CC9"/>
    <w:rsid w:val="617F1A43"/>
    <w:rsid w:val="62221BA4"/>
    <w:rsid w:val="62BB4423"/>
    <w:rsid w:val="62F05538"/>
    <w:rsid w:val="63EF720C"/>
    <w:rsid w:val="63FEB02E"/>
    <w:rsid w:val="64C06199"/>
    <w:rsid w:val="65F4E498"/>
    <w:rsid w:val="667C4B6A"/>
    <w:rsid w:val="675A2809"/>
    <w:rsid w:val="67635553"/>
    <w:rsid w:val="67DF4CD2"/>
    <w:rsid w:val="69B7FB9B"/>
    <w:rsid w:val="6B5DC9AC"/>
    <w:rsid w:val="6BB77478"/>
    <w:rsid w:val="6BBA1AF7"/>
    <w:rsid w:val="6C4DEF16"/>
    <w:rsid w:val="6CDA2867"/>
    <w:rsid w:val="6CE22097"/>
    <w:rsid w:val="6CFF32AF"/>
    <w:rsid w:val="6D3F0DFB"/>
    <w:rsid w:val="6D7CF2B1"/>
    <w:rsid w:val="6D8B4FE5"/>
    <w:rsid w:val="6DFA1E42"/>
    <w:rsid w:val="6E570D48"/>
    <w:rsid w:val="6E7D6661"/>
    <w:rsid w:val="6EABAC48"/>
    <w:rsid w:val="6EDFC8C6"/>
    <w:rsid w:val="6EFA9977"/>
    <w:rsid w:val="6F6F9688"/>
    <w:rsid w:val="6F7F836B"/>
    <w:rsid w:val="6FB20C48"/>
    <w:rsid w:val="6FE7F9F1"/>
    <w:rsid w:val="6FEF24D9"/>
    <w:rsid w:val="6FF5B116"/>
    <w:rsid w:val="6FFBBB79"/>
    <w:rsid w:val="6FFE61D2"/>
    <w:rsid w:val="6FFF0421"/>
    <w:rsid w:val="6FFF4E27"/>
    <w:rsid w:val="70D876DF"/>
    <w:rsid w:val="71A718E7"/>
    <w:rsid w:val="71F744C0"/>
    <w:rsid w:val="722C1296"/>
    <w:rsid w:val="723C7892"/>
    <w:rsid w:val="726973D5"/>
    <w:rsid w:val="72FBA7AB"/>
    <w:rsid w:val="73AF1337"/>
    <w:rsid w:val="73DFA77B"/>
    <w:rsid w:val="73EC249D"/>
    <w:rsid w:val="73F9BBB9"/>
    <w:rsid w:val="73FDF70B"/>
    <w:rsid w:val="74377F12"/>
    <w:rsid w:val="74EF14DA"/>
    <w:rsid w:val="74F71EF4"/>
    <w:rsid w:val="753A7A77"/>
    <w:rsid w:val="756A37E4"/>
    <w:rsid w:val="75C6DC1F"/>
    <w:rsid w:val="75EF5D41"/>
    <w:rsid w:val="75FFC16E"/>
    <w:rsid w:val="76D82207"/>
    <w:rsid w:val="76DF22AC"/>
    <w:rsid w:val="76EF5119"/>
    <w:rsid w:val="774F59BB"/>
    <w:rsid w:val="77CD872E"/>
    <w:rsid w:val="77F335B1"/>
    <w:rsid w:val="77F67E83"/>
    <w:rsid w:val="77FC0CA7"/>
    <w:rsid w:val="77FE0577"/>
    <w:rsid w:val="77FF3DCC"/>
    <w:rsid w:val="77FFE494"/>
    <w:rsid w:val="78FD4190"/>
    <w:rsid w:val="7969BAF0"/>
    <w:rsid w:val="7976663C"/>
    <w:rsid w:val="79FB6C62"/>
    <w:rsid w:val="79FD9305"/>
    <w:rsid w:val="79FF5B4A"/>
    <w:rsid w:val="79FFAFA9"/>
    <w:rsid w:val="7ADD50C2"/>
    <w:rsid w:val="7AFAA350"/>
    <w:rsid w:val="7B0FCFB7"/>
    <w:rsid w:val="7B3FAA27"/>
    <w:rsid w:val="7B6333B4"/>
    <w:rsid w:val="7B77D23F"/>
    <w:rsid w:val="7B7DAC60"/>
    <w:rsid w:val="7BB9D233"/>
    <w:rsid w:val="7BDDEDF6"/>
    <w:rsid w:val="7BDF6AFE"/>
    <w:rsid w:val="7BDFDE31"/>
    <w:rsid w:val="7BF79004"/>
    <w:rsid w:val="7BFD1023"/>
    <w:rsid w:val="7CCFFA1D"/>
    <w:rsid w:val="7D2EF7F7"/>
    <w:rsid w:val="7D37CB01"/>
    <w:rsid w:val="7D3803F0"/>
    <w:rsid w:val="7D3E8319"/>
    <w:rsid w:val="7D3FA37C"/>
    <w:rsid w:val="7D75AFEE"/>
    <w:rsid w:val="7D7EFA2D"/>
    <w:rsid w:val="7DDB7F7B"/>
    <w:rsid w:val="7DDBAEF2"/>
    <w:rsid w:val="7DDE3DA4"/>
    <w:rsid w:val="7DDF4804"/>
    <w:rsid w:val="7DE1FD3E"/>
    <w:rsid w:val="7DED69ED"/>
    <w:rsid w:val="7DF4CED5"/>
    <w:rsid w:val="7DFFDAE4"/>
    <w:rsid w:val="7E67A129"/>
    <w:rsid w:val="7E6C2425"/>
    <w:rsid w:val="7E7DE108"/>
    <w:rsid w:val="7E7EC4FA"/>
    <w:rsid w:val="7EBA646E"/>
    <w:rsid w:val="7EBFE3A6"/>
    <w:rsid w:val="7EC443AD"/>
    <w:rsid w:val="7EE62DED"/>
    <w:rsid w:val="7EF2E611"/>
    <w:rsid w:val="7EFB7839"/>
    <w:rsid w:val="7EFC6B9C"/>
    <w:rsid w:val="7EFF7434"/>
    <w:rsid w:val="7EFF8184"/>
    <w:rsid w:val="7F091820"/>
    <w:rsid w:val="7F47C81C"/>
    <w:rsid w:val="7F5DAB85"/>
    <w:rsid w:val="7F65280A"/>
    <w:rsid w:val="7F7B3828"/>
    <w:rsid w:val="7F7C8626"/>
    <w:rsid w:val="7F7F2B5E"/>
    <w:rsid w:val="7F8D727C"/>
    <w:rsid w:val="7FAFD1B0"/>
    <w:rsid w:val="7FB692C6"/>
    <w:rsid w:val="7FB771F2"/>
    <w:rsid w:val="7FB8EB0D"/>
    <w:rsid w:val="7FBDBC82"/>
    <w:rsid w:val="7FCB21F6"/>
    <w:rsid w:val="7FDB648C"/>
    <w:rsid w:val="7FDEF65A"/>
    <w:rsid w:val="7FE1BDA9"/>
    <w:rsid w:val="7FED0BDF"/>
    <w:rsid w:val="7FF3E2B5"/>
    <w:rsid w:val="7FF549F4"/>
    <w:rsid w:val="7FF760BC"/>
    <w:rsid w:val="7FF7AF72"/>
    <w:rsid w:val="7FFB97F4"/>
    <w:rsid w:val="7FFEAAE9"/>
    <w:rsid w:val="7FFF073B"/>
    <w:rsid w:val="7FFF1712"/>
    <w:rsid w:val="85FF8BDB"/>
    <w:rsid w:val="87DF921A"/>
    <w:rsid w:val="87FF2309"/>
    <w:rsid w:val="8EE7DB86"/>
    <w:rsid w:val="8F56AB26"/>
    <w:rsid w:val="8FFEC3DC"/>
    <w:rsid w:val="9158C94D"/>
    <w:rsid w:val="95FB0540"/>
    <w:rsid w:val="9C9F27B9"/>
    <w:rsid w:val="9D2F830D"/>
    <w:rsid w:val="9E7E2E49"/>
    <w:rsid w:val="9EA703ED"/>
    <w:rsid w:val="9FD75451"/>
    <w:rsid w:val="9FFECA13"/>
    <w:rsid w:val="A29FC89B"/>
    <w:rsid w:val="A3F7E5BD"/>
    <w:rsid w:val="A7AB552F"/>
    <w:rsid w:val="AC5F5FE1"/>
    <w:rsid w:val="AD7F384B"/>
    <w:rsid w:val="AD7F6433"/>
    <w:rsid w:val="ADFC0654"/>
    <w:rsid w:val="ADFFE4C1"/>
    <w:rsid w:val="AE1ECB4A"/>
    <w:rsid w:val="AEDB6758"/>
    <w:rsid w:val="AF3ABDE3"/>
    <w:rsid w:val="AF450004"/>
    <w:rsid w:val="AF5FC29F"/>
    <w:rsid w:val="AF8F22D5"/>
    <w:rsid w:val="AFD43DE6"/>
    <w:rsid w:val="AFFDF902"/>
    <w:rsid w:val="AFFF33FE"/>
    <w:rsid w:val="B2D47DA0"/>
    <w:rsid w:val="B37F538E"/>
    <w:rsid w:val="B3FFE906"/>
    <w:rsid w:val="B57D2BC4"/>
    <w:rsid w:val="B6FFE336"/>
    <w:rsid w:val="BA643060"/>
    <w:rsid w:val="BA7B23C6"/>
    <w:rsid w:val="BA9FFA60"/>
    <w:rsid w:val="BADD1F1D"/>
    <w:rsid w:val="BB9AF097"/>
    <w:rsid w:val="BCFF3F37"/>
    <w:rsid w:val="BD7A34A6"/>
    <w:rsid w:val="BDF53F78"/>
    <w:rsid w:val="BDFE0356"/>
    <w:rsid w:val="BEA79D4D"/>
    <w:rsid w:val="BEFFAB84"/>
    <w:rsid w:val="BFB69C1C"/>
    <w:rsid w:val="BFF5A790"/>
    <w:rsid w:val="BFFF0DB4"/>
    <w:rsid w:val="BFFFBEA8"/>
    <w:rsid w:val="C75CBC0E"/>
    <w:rsid w:val="C9D52AF5"/>
    <w:rsid w:val="CABF72AF"/>
    <w:rsid w:val="CAFBD87A"/>
    <w:rsid w:val="CD4AF71A"/>
    <w:rsid w:val="CDFBEEB3"/>
    <w:rsid w:val="CEFF69BC"/>
    <w:rsid w:val="CF5B129E"/>
    <w:rsid w:val="D33B3264"/>
    <w:rsid w:val="D45F24AC"/>
    <w:rsid w:val="D5F3BC3C"/>
    <w:rsid w:val="D61E930A"/>
    <w:rsid w:val="D6F8C5C4"/>
    <w:rsid w:val="D7741B2F"/>
    <w:rsid w:val="D77F053B"/>
    <w:rsid w:val="D79FE8EC"/>
    <w:rsid w:val="D7B917C6"/>
    <w:rsid w:val="D7BFF30F"/>
    <w:rsid w:val="D7DF8785"/>
    <w:rsid w:val="D9BBD13F"/>
    <w:rsid w:val="D9DE6D71"/>
    <w:rsid w:val="D9E57E40"/>
    <w:rsid w:val="DAF4A921"/>
    <w:rsid w:val="DAFD3DF0"/>
    <w:rsid w:val="DB1F348E"/>
    <w:rsid w:val="DB6FF078"/>
    <w:rsid w:val="DB9313B8"/>
    <w:rsid w:val="DBE34261"/>
    <w:rsid w:val="DBF158F7"/>
    <w:rsid w:val="DDBD4D7C"/>
    <w:rsid w:val="DDF99AFD"/>
    <w:rsid w:val="DDFE751D"/>
    <w:rsid w:val="DE9FB866"/>
    <w:rsid w:val="DEDB391E"/>
    <w:rsid w:val="DEE71989"/>
    <w:rsid w:val="DEF68549"/>
    <w:rsid w:val="DEF78A84"/>
    <w:rsid w:val="DFCB5CA2"/>
    <w:rsid w:val="DFFF3704"/>
    <w:rsid w:val="E3E711DD"/>
    <w:rsid w:val="E57A9BBB"/>
    <w:rsid w:val="E69B3E38"/>
    <w:rsid w:val="E6FF1ECB"/>
    <w:rsid w:val="E7FB5DD3"/>
    <w:rsid w:val="E7FF40B5"/>
    <w:rsid w:val="E7FFBDF8"/>
    <w:rsid w:val="E93BD62B"/>
    <w:rsid w:val="E97B9693"/>
    <w:rsid w:val="EA77CA36"/>
    <w:rsid w:val="EAE6F0B9"/>
    <w:rsid w:val="EAEE3AAF"/>
    <w:rsid w:val="EBB6958E"/>
    <w:rsid w:val="ED63C8B0"/>
    <w:rsid w:val="ED7F1F90"/>
    <w:rsid w:val="EDFBE868"/>
    <w:rsid w:val="EE5FE728"/>
    <w:rsid w:val="EEBECD68"/>
    <w:rsid w:val="EEBFD431"/>
    <w:rsid w:val="EEED0CDE"/>
    <w:rsid w:val="EF57B1FD"/>
    <w:rsid w:val="EF77345E"/>
    <w:rsid w:val="EFD7E2D0"/>
    <w:rsid w:val="EFDF2906"/>
    <w:rsid w:val="EFF9EC0A"/>
    <w:rsid w:val="EFFBC5F1"/>
    <w:rsid w:val="EFFE424E"/>
    <w:rsid w:val="F12ED4FA"/>
    <w:rsid w:val="F16BECE4"/>
    <w:rsid w:val="F1FF35C8"/>
    <w:rsid w:val="F37E9458"/>
    <w:rsid w:val="F3FE4632"/>
    <w:rsid w:val="F3FFE2F2"/>
    <w:rsid w:val="F59F9F47"/>
    <w:rsid w:val="F5AFF2E0"/>
    <w:rsid w:val="F5BAD161"/>
    <w:rsid w:val="F6D1C2C2"/>
    <w:rsid w:val="F6F7F10F"/>
    <w:rsid w:val="F6FD9764"/>
    <w:rsid w:val="F73BE703"/>
    <w:rsid w:val="F7775093"/>
    <w:rsid w:val="F79005B2"/>
    <w:rsid w:val="F8FE296E"/>
    <w:rsid w:val="F97F1FDD"/>
    <w:rsid w:val="F9FE805D"/>
    <w:rsid w:val="F9FEE4FF"/>
    <w:rsid w:val="FAEE4766"/>
    <w:rsid w:val="FAFF4C0E"/>
    <w:rsid w:val="FB4FC131"/>
    <w:rsid w:val="FBBFA096"/>
    <w:rsid w:val="FBDCD472"/>
    <w:rsid w:val="FBF99934"/>
    <w:rsid w:val="FBFD5A9D"/>
    <w:rsid w:val="FCCFC204"/>
    <w:rsid w:val="FCF2BC6A"/>
    <w:rsid w:val="FD7B2A8B"/>
    <w:rsid w:val="FDF70DBE"/>
    <w:rsid w:val="FDFB998D"/>
    <w:rsid w:val="FDFD49EF"/>
    <w:rsid w:val="FDFE03B3"/>
    <w:rsid w:val="FDFEC71A"/>
    <w:rsid w:val="FDFF87DF"/>
    <w:rsid w:val="FE2B869D"/>
    <w:rsid w:val="FE354D65"/>
    <w:rsid w:val="FE48EBAF"/>
    <w:rsid w:val="FE4FDF32"/>
    <w:rsid w:val="FE6B343D"/>
    <w:rsid w:val="FE734873"/>
    <w:rsid w:val="FE73E5AA"/>
    <w:rsid w:val="FE771CFE"/>
    <w:rsid w:val="FEE3ABB4"/>
    <w:rsid w:val="FEE79E9D"/>
    <w:rsid w:val="FEFB6093"/>
    <w:rsid w:val="FEFBAA8F"/>
    <w:rsid w:val="FEFBE3FF"/>
    <w:rsid w:val="FEFE18E6"/>
    <w:rsid w:val="FEFEFDCE"/>
    <w:rsid w:val="FEFFFADE"/>
    <w:rsid w:val="FF3B6D0B"/>
    <w:rsid w:val="FF3D0A38"/>
    <w:rsid w:val="FF3EF6E0"/>
    <w:rsid w:val="FF5DC2D2"/>
    <w:rsid w:val="FF7DAA63"/>
    <w:rsid w:val="FFAE7F2F"/>
    <w:rsid w:val="FFAF40B1"/>
    <w:rsid w:val="FFB3B65C"/>
    <w:rsid w:val="FFBE27FA"/>
    <w:rsid w:val="FFBF1B0D"/>
    <w:rsid w:val="FFBF4B86"/>
    <w:rsid w:val="FFBFFE0A"/>
    <w:rsid w:val="FFD8613E"/>
    <w:rsid w:val="FFDDE0DC"/>
    <w:rsid w:val="FFEF0C23"/>
    <w:rsid w:val="FFF73473"/>
    <w:rsid w:val="FFF7E6FF"/>
    <w:rsid w:val="FFF9B76A"/>
    <w:rsid w:val="FFFB2024"/>
    <w:rsid w:val="FFFE4301"/>
    <w:rsid w:val="FFFFA3ED"/>
    <w:rsid w:val="FFFFCE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99"/>
    <w:pPr>
      <w:keepNext/>
      <w:keepLines/>
      <w:spacing w:line="560" w:lineRule="exact"/>
      <w:textAlignment w:val="baseline"/>
    </w:pPr>
    <w:rPr>
      <w:rFonts w:ascii="Calibri" w:hAnsi="Calibri" w:cs="Calibri"/>
      <w:b/>
      <w:bCs/>
    </w:rPr>
  </w:style>
  <w:style w:type="paragraph" w:styleId="5">
    <w:name w:val="Date"/>
    <w:basedOn w:val="1"/>
    <w:next w:val="1"/>
    <w:link w:val="27"/>
    <w:qFormat/>
    <w:uiPriority w:val="0"/>
    <w:pPr>
      <w:ind w:left="100" w:leftChars="2500"/>
    </w:pPr>
  </w:style>
  <w:style w:type="paragraph" w:styleId="6">
    <w:name w:val="Body Text Indent 2"/>
    <w:basedOn w:val="1"/>
    <w:link w:val="23"/>
    <w:qFormat/>
    <w:uiPriority w:val="0"/>
    <w:pPr>
      <w:ind w:firstLine="640" w:firstLineChars="200"/>
    </w:pPr>
    <w:rPr>
      <w:rFonts w:ascii="Calibri" w:hAnsi="Calibri" w:eastAsia="宋体" w:cs="Times New Roman"/>
    </w:rPr>
  </w:style>
  <w:style w:type="paragraph" w:styleId="7">
    <w:name w:val="Balloon Text"/>
    <w:basedOn w:val="1"/>
    <w:link w:val="26"/>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before="240" w:after="120"/>
      <w:jc w:val="left"/>
    </w:pPr>
    <w:rPr>
      <w:rFonts w:hAnsi="Times New Roman" w:cs="Times New Roman" w:eastAsiaTheme="minorHAnsi"/>
      <w:b/>
      <w:bCs/>
      <w:caps/>
      <w:kern w:val="0"/>
      <w:sz w:val="22"/>
      <w:szCs w:val="22"/>
      <w:u w:val="single"/>
    </w:rPr>
  </w:style>
  <w:style w:type="paragraph" w:styleId="11">
    <w:name w:val="toc 2"/>
    <w:basedOn w:val="1"/>
    <w:next w:val="1"/>
    <w:unhideWhenUsed/>
    <w:qFormat/>
    <w:uiPriority w:val="39"/>
    <w:pPr>
      <w:widowControl/>
      <w:jc w:val="left"/>
    </w:pPr>
    <w:rPr>
      <w:rFonts w:hAnsi="Times New Roman" w:cs="Times New Roman" w:eastAsiaTheme="minorHAnsi"/>
      <w:b/>
      <w:bCs/>
      <w:smallCaps/>
      <w:kern w:val="0"/>
      <w:sz w:val="22"/>
      <w:szCs w:val="22"/>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customStyle="1" w:styleId="18">
    <w:name w:val="页眉 Char"/>
    <w:basedOn w:val="15"/>
    <w:link w:val="9"/>
    <w:qFormat/>
    <w:uiPriority w:val="0"/>
    <w:rPr>
      <w:rFonts w:asciiTheme="minorHAnsi" w:hAnsiTheme="minorHAnsi" w:eastAsiaTheme="minorEastAsia" w:cstheme="minorBidi"/>
      <w:kern w:val="2"/>
      <w:sz w:val="18"/>
      <w:szCs w:val="18"/>
    </w:rPr>
  </w:style>
  <w:style w:type="character" w:customStyle="1" w:styleId="19">
    <w:name w:val="页脚 Char"/>
    <w:basedOn w:val="15"/>
    <w:link w:val="8"/>
    <w:qFormat/>
    <w:uiPriority w:val="99"/>
    <w:rPr>
      <w:rFonts w:asciiTheme="minorHAnsi" w:hAnsiTheme="minorHAnsi" w:eastAsiaTheme="minorEastAsia" w:cstheme="minorBidi"/>
      <w:kern w:val="2"/>
      <w:sz w:val="18"/>
      <w:szCs w:val="18"/>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列出段落1"/>
    <w:basedOn w:val="1"/>
    <w:unhideWhenUsed/>
    <w:qFormat/>
    <w:uiPriority w:val="99"/>
    <w:pPr>
      <w:ind w:firstLine="420" w:firstLineChars="200"/>
    </w:pPr>
  </w:style>
  <w:style w:type="character" w:customStyle="1" w:styleId="22">
    <w:name w:val="标题 2 Char"/>
    <w:basedOn w:val="15"/>
    <w:link w:val="3"/>
    <w:semiHidden/>
    <w:qFormat/>
    <w:uiPriority w:val="0"/>
    <w:rPr>
      <w:rFonts w:asciiTheme="majorHAnsi" w:hAnsiTheme="majorHAnsi" w:eastAsiaTheme="majorEastAsia" w:cstheme="majorBidi"/>
      <w:b/>
      <w:bCs/>
      <w:kern w:val="2"/>
      <w:sz w:val="32"/>
      <w:szCs w:val="32"/>
    </w:rPr>
  </w:style>
  <w:style w:type="character" w:customStyle="1" w:styleId="23">
    <w:name w:val="正文文本缩进 2 Char"/>
    <w:basedOn w:val="15"/>
    <w:link w:val="6"/>
    <w:qFormat/>
    <w:uiPriority w:val="0"/>
    <w:rPr>
      <w:rFonts w:ascii="Calibri" w:hAnsi="Calibri"/>
      <w:kern w:val="2"/>
      <w:sz w:val="21"/>
      <w:szCs w:val="24"/>
    </w:rPr>
  </w:style>
  <w:style w:type="paragraph" w:customStyle="1" w:styleId="24">
    <w:name w:val="列出段落11"/>
    <w:basedOn w:val="1"/>
    <w:unhideWhenUsed/>
    <w:qFormat/>
    <w:uiPriority w:val="34"/>
    <w:pPr>
      <w:ind w:firstLine="420" w:firstLineChars="200"/>
    </w:pPr>
    <w:rPr>
      <w:rFonts w:ascii="Calibri" w:hAnsi="Calibri" w:eastAsia="宋体" w:cs="黑体"/>
    </w:rPr>
  </w:style>
  <w:style w:type="paragraph" w:customStyle="1" w:styleId="25">
    <w:name w:val="Body text|1"/>
    <w:basedOn w:val="1"/>
    <w:qFormat/>
    <w:uiPriority w:val="0"/>
    <w:pPr>
      <w:spacing w:line="422" w:lineRule="auto"/>
    </w:pPr>
    <w:rPr>
      <w:rFonts w:ascii="宋体" w:hAnsi="宋体" w:eastAsia="宋体" w:cs="宋体"/>
      <w:sz w:val="28"/>
      <w:szCs w:val="28"/>
      <w:lang w:val="zh-TW" w:eastAsia="zh-TW" w:bidi="zh-TW"/>
    </w:rPr>
  </w:style>
  <w:style w:type="character" w:customStyle="1" w:styleId="26">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27">
    <w:name w:val="日期 Char"/>
    <w:basedOn w:val="15"/>
    <w:link w:val="5"/>
    <w:qFormat/>
    <w:uiPriority w:val="0"/>
    <w:rPr>
      <w:rFonts w:asciiTheme="minorHAnsi" w:hAnsiTheme="minorHAnsi" w:eastAsiaTheme="minorEastAsia" w:cstheme="minorBidi"/>
      <w:kern w:val="2"/>
      <w:sz w:val="21"/>
      <w:szCs w:val="24"/>
    </w:rPr>
  </w:style>
  <w:style w:type="paragraph" w:customStyle="1" w:styleId="28">
    <w:name w:val="Other|1"/>
    <w:basedOn w:val="1"/>
    <w:qFormat/>
    <w:uiPriority w:val="0"/>
    <w:pPr>
      <w:spacing w:line="422" w:lineRule="auto"/>
    </w:pPr>
    <w:rPr>
      <w:rFonts w:ascii="宋体" w:hAnsi="宋体" w:eastAsia="宋体" w:cs="宋体"/>
      <w:sz w:val="28"/>
      <w:szCs w:val="28"/>
      <w:lang w:val="zh-TW" w:eastAsia="zh-TW" w:bidi="zh-TW"/>
    </w:rPr>
  </w:style>
  <w:style w:type="paragraph" w:customStyle="1" w:styleId="29">
    <w:name w:val="Char"/>
    <w:basedOn w:val="1"/>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30">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9908</Words>
  <Characters>10304</Characters>
  <Lines>144</Lines>
  <Paragraphs>40</Paragraphs>
  <TotalTime>14</TotalTime>
  <ScaleCrop>false</ScaleCrop>
  <LinksUpToDate>false</LinksUpToDate>
  <CharactersWithSpaces>10333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2022-01-07T01:01:00Z</dcterms:created>
  <dc:creator>Administrator</dc:creator>
  <cp:lastModifiedBy>ran.</cp:lastModifiedBy>
  <cp:lastPrinted>2022-03-03T16:42:00Z</cp:lastPrinted>
  <dcterms:modified xsi:type="dcterms:W3CDTF">2025-04-28T03:06:27Z</dcterms:modified>
  <cp:revision>608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E51B1AF4E8B4446085943E75CFAF6C91</vt:lpwstr>
  </property>
  <property fmtid="{D5CDD505-2E9C-101B-9397-08002B2CF9AE}" pid="4" name="KSOTemplateDocerSaveRecord">
    <vt:lpwstr>eyJoZGlkIjoiYWZlODI4YWFiZmU1MThmYzJlMjkxZTBjMjVlNjJiOGEiLCJ1c2VySWQiOiI1Nzg2NzMxMDAifQ==</vt:lpwstr>
  </property>
</Properties>
</file>