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339E4">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jc w:val="center"/>
        <w:textAlignment w:val="auto"/>
        <w:rPr>
          <w:rFonts w:hint="eastAsia" w:ascii="方正小标宋简体" w:hAnsi="方正小标宋简体" w:eastAsia="方正小标宋简体" w:cs="方正小标宋简体"/>
          <w:snapToGrid w:val="0"/>
          <w:color w:val="000000"/>
          <w:kern w:val="2"/>
          <w:sz w:val="44"/>
          <w:szCs w:val="44"/>
          <w:vertAlign w:val="baseline"/>
          <w:lang w:val="en-US" w:eastAsia="zh-CN" w:bidi="ar-SA"/>
        </w:rPr>
      </w:pPr>
    </w:p>
    <w:p w14:paraId="3E871E2D">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jc w:val="center"/>
        <w:textAlignment w:val="auto"/>
        <w:rPr>
          <w:rFonts w:hint="eastAsia" w:ascii="方正小标宋简体" w:hAnsi="方正小标宋简体" w:eastAsia="方正小标宋简体" w:cs="方正小标宋简体"/>
          <w:snapToGrid w:val="0"/>
          <w:color w:val="000000"/>
          <w:kern w:val="2"/>
          <w:sz w:val="44"/>
          <w:szCs w:val="44"/>
          <w:vertAlign w:val="baseline"/>
          <w:lang w:val="en-US" w:eastAsia="zh-CN" w:bidi="ar-SA"/>
        </w:rPr>
      </w:pPr>
    </w:p>
    <w:p w14:paraId="727F7A40">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jc w:val="center"/>
        <w:textAlignment w:val="auto"/>
        <w:rPr>
          <w:rFonts w:hint="eastAsia" w:ascii="方正小标宋简体" w:hAnsi="方正小标宋简体" w:eastAsia="方正小标宋简体" w:cs="方正小标宋简体"/>
          <w:snapToGrid w:val="0"/>
          <w:color w:val="000000"/>
          <w:kern w:val="2"/>
          <w:sz w:val="44"/>
          <w:szCs w:val="44"/>
          <w:vertAlign w:val="baseline"/>
          <w:lang w:val="en-US" w:eastAsia="zh-CN" w:bidi="ar-SA"/>
        </w:rPr>
      </w:pPr>
      <w:r>
        <w:rPr>
          <w:rFonts w:hint="eastAsia" w:ascii="方正小标宋简体" w:hAnsi="方正小标宋简体" w:eastAsia="方正小标宋简体" w:cs="方正小标宋简体"/>
          <w:snapToGrid w:val="0"/>
          <w:color w:val="000000"/>
          <w:kern w:val="2"/>
          <w:sz w:val="44"/>
          <w:szCs w:val="44"/>
          <w:vertAlign w:val="baseline"/>
          <w:lang w:val="en-US" w:eastAsia="zh-CN" w:bidi="ar-SA"/>
        </w:rPr>
        <w:t>六安市行政复议档案管理办法</w:t>
      </w:r>
    </w:p>
    <w:p w14:paraId="4854CE7F">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jc w:val="center"/>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（征求意见稿）</w:t>
      </w:r>
    </w:p>
    <w:p w14:paraId="2D3ADE61">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黑体" w:hAnsi="黑体" w:eastAsia="黑体" w:cs="黑体"/>
          <w:snapToGrid w:val="0"/>
          <w:color w:val="000000"/>
          <w:kern w:val="2"/>
          <w:sz w:val="32"/>
          <w:szCs w:val="32"/>
          <w:vertAlign w:val="baseline"/>
          <w:lang w:val="en-US" w:eastAsia="zh-CN" w:bidi="ar-SA"/>
        </w:rPr>
      </w:pPr>
    </w:p>
    <w:p w14:paraId="3A7613A0">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黑体" w:hAnsi="黑体" w:eastAsia="黑体" w:cs="黑体"/>
          <w:snapToGrid w:val="0"/>
          <w:color w:val="000000"/>
          <w:kern w:val="2"/>
          <w:sz w:val="32"/>
          <w:szCs w:val="32"/>
          <w:vertAlign w:val="baseline"/>
          <w:lang w:val="en-US" w:eastAsia="zh-CN" w:bidi="ar-SA"/>
        </w:rPr>
        <w:t>第一条</w:t>
      </w:r>
      <w:r>
        <w:rPr>
          <w:rFonts w:hint="eastAsia" w:ascii="仿宋" w:hAnsi="仿宋" w:eastAsia="仿宋" w:cs="仿宋"/>
          <w:snapToGrid w:val="0"/>
          <w:color w:val="000000"/>
          <w:kern w:val="2"/>
          <w:sz w:val="32"/>
          <w:szCs w:val="32"/>
          <w:vertAlign w:val="baseline"/>
          <w:lang w:val="en-US" w:eastAsia="zh-CN" w:bidi="ar-SA"/>
        </w:rPr>
        <w:t xml:space="preserve">  为加强市本级行政复议案件档案管理，有效保护和利用行政复议案件档案，根据《中华人民共和国档案法》《中华人民共和国行政复议法》《安徽省档案条例》《安徽省行政复议案件档案管理办法》（皖司发〔2022〕12号）等有关法律法规规定，结合行政复议工作实际，制定本办法。</w:t>
      </w:r>
    </w:p>
    <w:p w14:paraId="1EFF3911">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黑体" w:hAnsi="黑体" w:eastAsia="黑体" w:cs="黑体"/>
          <w:snapToGrid w:val="0"/>
          <w:color w:val="000000"/>
          <w:kern w:val="2"/>
          <w:sz w:val="32"/>
          <w:szCs w:val="32"/>
          <w:vertAlign w:val="baseline"/>
          <w:lang w:val="en-US" w:eastAsia="zh-CN" w:bidi="ar-SA"/>
        </w:rPr>
        <w:t>第二条</w:t>
      </w:r>
      <w:r>
        <w:rPr>
          <w:rFonts w:hint="eastAsia" w:ascii="仿宋" w:hAnsi="仿宋" w:eastAsia="仿宋" w:cs="仿宋"/>
          <w:snapToGrid w:val="0"/>
          <w:color w:val="000000"/>
          <w:kern w:val="2"/>
          <w:sz w:val="32"/>
          <w:szCs w:val="32"/>
          <w:vertAlign w:val="baseline"/>
          <w:lang w:val="en-US" w:eastAsia="zh-CN" w:bidi="ar-SA"/>
        </w:rPr>
        <w:t xml:space="preserve">  六安市司法局办理市政府的行政复议案件档案管理适用本办法。</w:t>
      </w:r>
    </w:p>
    <w:p w14:paraId="003B183A">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本办法所称行政复议案件档案，是指在办理行政复议案件过程中形成的对国家和社会具有保存价值的各种文字、图表、声像等不同形式的历史记录。</w:t>
      </w:r>
    </w:p>
    <w:p w14:paraId="0135320E">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黑体" w:hAnsi="黑体" w:eastAsia="黑体" w:cs="黑体"/>
          <w:snapToGrid w:val="0"/>
          <w:color w:val="000000"/>
          <w:kern w:val="2"/>
          <w:sz w:val="32"/>
          <w:szCs w:val="32"/>
          <w:vertAlign w:val="baseline"/>
          <w:lang w:val="en-US" w:eastAsia="zh-CN" w:bidi="ar-SA"/>
        </w:rPr>
        <w:t>第三条</w:t>
      </w:r>
      <w:r>
        <w:rPr>
          <w:rFonts w:hint="eastAsia" w:ascii="仿宋" w:hAnsi="仿宋" w:eastAsia="仿宋" w:cs="仿宋"/>
          <w:snapToGrid w:val="0"/>
          <w:color w:val="000000"/>
          <w:kern w:val="2"/>
          <w:sz w:val="32"/>
          <w:szCs w:val="32"/>
          <w:vertAlign w:val="baseline"/>
          <w:lang w:val="en-US" w:eastAsia="zh-CN" w:bidi="ar-SA"/>
        </w:rPr>
        <w:t xml:space="preserve">  行政复议案件卷宗应按照“谁办理、谁收集、谁归卷”和“材料齐全、顺序规范、依事项（或人）立卷、检索编目、方便利用”的原则进行整理、归卷。</w:t>
      </w:r>
    </w:p>
    <w:p w14:paraId="661496D9">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default" w:ascii="仿宋" w:hAnsi="仿宋" w:eastAsia="仿宋" w:cs="仿宋"/>
          <w:snapToGrid w:val="0"/>
          <w:color w:val="000000"/>
          <w:kern w:val="2"/>
          <w:sz w:val="32"/>
          <w:szCs w:val="32"/>
          <w:vertAlign w:val="baseline"/>
          <w:lang w:val="en-US" w:eastAsia="zh-CN" w:bidi="ar-SA"/>
        </w:rPr>
      </w:pPr>
      <w:r>
        <w:rPr>
          <w:rFonts w:hint="eastAsia" w:ascii="黑体" w:hAnsi="黑体" w:eastAsia="黑体" w:cs="黑体"/>
          <w:snapToGrid w:val="0"/>
          <w:color w:val="000000"/>
          <w:kern w:val="2"/>
          <w:sz w:val="32"/>
          <w:szCs w:val="32"/>
          <w:vertAlign w:val="baseline"/>
          <w:lang w:val="en-US" w:eastAsia="zh-CN" w:bidi="ar-SA"/>
        </w:rPr>
        <w:t>第四条</w:t>
      </w:r>
      <w:r>
        <w:rPr>
          <w:rFonts w:hint="eastAsia" w:ascii="黑体" w:hAnsi="黑体" w:cs="黑体"/>
          <w:snapToGrid w:val="0"/>
          <w:color w:val="000000"/>
          <w:kern w:val="2"/>
          <w:sz w:val="32"/>
          <w:szCs w:val="32"/>
          <w:vertAlign w:val="baseline"/>
          <w:lang w:val="en-US" w:eastAsia="zh-CN" w:bidi="ar-SA"/>
        </w:rPr>
        <w:t xml:space="preserve"> </w:t>
      </w:r>
      <w:r>
        <w:rPr>
          <w:rFonts w:hint="eastAsia" w:ascii="仿宋" w:hAnsi="仿宋" w:eastAsia="仿宋" w:cs="仿宋"/>
          <w:snapToGrid w:val="0"/>
          <w:color w:val="000000"/>
          <w:kern w:val="2"/>
          <w:sz w:val="32"/>
          <w:szCs w:val="32"/>
          <w:vertAlign w:val="baseline"/>
          <w:lang w:val="en-US" w:eastAsia="zh-CN" w:bidi="ar-SA"/>
        </w:rPr>
        <w:t xml:space="preserve"> 六安市司法局行政复议与应诉科负责市司法局行政复议案件档案的收集、整理、保管和利用等工作，并接受档案主管部门的监督和指导。市司法局办公室、行政执法协调监督科按照分工履行相关档案管理职责。</w:t>
      </w:r>
    </w:p>
    <w:p w14:paraId="4191B4E5">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黑体" w:hAnsi="黑体" w:eastAsia="黑体" w:cs="黑体"/>
          <w:snapToGrid w:val="0"/>
          <w:color w:val="000000"/>
          <w:kern w:val="2"/>
          <w:sz w:val="32"/>
          <w:szCs w:val="32"/>
          <w:vertAlign w:val="baseline"/>
          <w:lang w:val="en-US" w:eastAsia="zh-CN" w:bidi="ar-SA"/>
        </w:rPr>
        <w:t>第五条</w:t>
      </w:r>
      <w:r>
        <w:rPr>
          <w:rFonts w:hint="eastAsia" w:ascii="仿宋" w:hAnsi="仿宋" w:eastAsia="仿宋" w:cs="仿宋"/>
          <w:snapToGrid w:val="0"/>
          <w:color w:val="000000"/>
          <w:kern w:val="2"/>
          <w:sz w:val="32"/>
          <w:szCs w:val="32"/>
          <w:vertAlign w:val="baseline"/>
          <w:lang w:val="en-US" w:eastAsia="zh-CN" w:bidi="ar-SA"/>
        </w:rPr>
        <w:t xml:space="preserve">  行政复议与应诉科应当明确专门工作人员负责档案具体工作，持续完善卷宗的整理、归卷工作。</w:t>
      </w:r>
    </w:p>
    <w:p w14:paraId="380AAEE4">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黑体" w:hAnsi="黑体" w:eastAsia="黑体" w:cs="黑体"/>
          <w:snapToGrid w:val="0"/>
          <w:color w:val="000000"/>
          <w:kern w:val="2"/>
          <w:sz w:val="32"/>
          <w:szCs w:val="32"/>
          <w:vertAlign w:val="baseline"/>
          <w:lang w:val="en-US" w:eastAsia="zh-CN" w:bidi="ar-SA"/>
        </w:rPr>
        <w:t>第</w:t>
      </w:r>
      <w:r>
        <w:rPr>
          <w:rFonts w:hint="eastAsia" w:ascii="黑体" w:hAnsi="黑体" w:cs="黑体"/>
          <w:snapToGrid w:val="0"/>
          <w:color w:val="000000"/>
          <w:kern w:val="2"/>
          <w:sz w:val="32"/>
          <w:szCs w:val="32"/>
          <w:vertAlign w:val="baseline"/>
          <w:lang w:val="en-US" w:eastAsia="zh-CN" w:bidi="ar-SA"/>
        </w:rPr>
        <w:t>六</w:t>
      </w:r>
      <w:r>
        <w:rPr>
          <w:rFonts w:hint="eastAsia" w:ascii="黑体" w:hAnsi="黑体" w:eastAsia="黑体" w:cs="黑体"/>
          <w:snapToGrid w:val="0"/>
          <w:color w:val="000000"/>
          <w:kern w:val="2"/>
          <w:sz w:val="32"/>
          <w:szCs w:val="32"/>
          <w:vertAlign w:val="baseline"/>
          <w:lang w:val="en-US" w:eastAsia="zh-CN" w:bidi="ar-SA"/>
        </w:rPr>
        <w:t>条</w:t>
      </w:r>
      <w:r>
        <w:rPr>
          <w:rFonts w:hint="eastAsia" w:ascii="仿宋" w:hAnsi="仿宋" w:eastAsia="仿宋" w:cs="仿宋"/>
          <w:snapToGrid w:val="0"/>
          <w:color w:val="000000"/>
          <w:kern w:val="2"/>
          <w:sz w:val="32"/>
          <w:szCs w:val="32"/>
          <w:vertAlign w:val="baseline"/>
          <w:lang w:val="en-US" w:eastAsia="zh-CN" w:bidi="ar-SA"/>
        </w:rPr>
        <w:t xml:space="preserve"> 行政复议档案应放置在专门的档案管理场所。</w:t>
      </w:r>
    </w:p>
    <w:p w14:paraId="6C9D391D">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市司法局应当设置符合安全保管条件的档案库房，安装全封闭防盗门窗、遮光阻燃窗帘、防护栏等防护设施，配备符合国家规定的密闭五节柜、密集架、光盘柜、底图柜等档案装具。</w:t>
      </w:r>
    </w:p>
    <w:p w14:paraId="7FCF113A">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黑体" w:hAnsi="黑体" w:eastAsia="黑体" w:cs="黑体"/>
          <w:snapToGrid w:val="0"/>
          <w:color w:val="000000"/>
          <w:kern w:val="2"/>
          <w:sz w:val="32"/>
          <w:szCs w:val="32"/>
          <w:vertAlign w:val="baseline"/>
          <w:lang w:val="en-US" w:eastAsia="zh-CN" w:bidi="ar-SA"/>
        </w:rPr>
        <w:t>第</w:t>
      </w:r>
      <w:r>
        <w:rPr>
          <w:rFonts w:hint="eastAsia" w:ascii="黑体" w:hAnsi="黑体" w:cs="黑体"/>
          <w:snapToGrid w:val="0"/>
          <w:color w:val="000000"/>
          <w:kern w:val="2"/>
          <w:sz w:val="32"/>
          <w:szCs w:val="32"/>
          <w:vertAlign w:val="baseline"/>
          <w:lang w:val="en-US" w:eastAsia="zh-CN" w:bidi="ar-SA"/>
        </w:rPr>
        <w:t>七</w:t>
      </w:r>
      <w:r>
        <w:rPr>
          <w:rFonts w:hint="eastAsia" w:ascii="黑体" w:hAnsi="黑体" w:eastAsia="黑体" w:cs="黑体"/>
          <w:snapToGrid w:val="0"/>
          <w:color w:val="000000"/>
          <w:kern w:val="2"/>
          <w:sz w:val="32"/>
          <w:szCs w:val="32"/>
          <w:vertAlign w:val="baseline"/>
          <w:lang w:val="en-US" w:eastAsia="zh-CN" w:bidi="ar-SA"/>
        </w:rPr>
        <w:t>条</w:t>
      </w:r>
      <w:r>
        <w:rPr>
          <w:rFonts w:hint="eastAsia" w:ascii="仿宋" w:hAnsi="仿宋" w:eastAsia="仿宋" w:cs="仿宋"/>
          <w:snapToGrid w:val="0"/>
          <w:color w:val="000000"/>
          <w:kern w:val="2"/>
          <w:sz w:val="32"/>
          <w:szCs w:val="32"/>
          <w:vertAlign w:val="baseline"/>
          <w:lang w:val="en-US" w:eastAsia="zh-CN" w:bidi="ar-SA"/>
        </w:rPr>
        <w:t xml:space="preserve"> 文件材料形成时，应当采用耐久、可靠、满足长期保存需求的记录载体和记录方式。</w:t>
      </w:r>
    </w:p>
    <w:p w14:paraId="4034EC2A">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归档文件材料应当真实、准确、系统，文件材料组件齐全，内容完整。</w:t>
      </w:r>
    </w:p>
    <w:p w14:paraId="502F5BD1">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黑体" w:hAnsi="黑体" w:eastAsia="黑体" w:cs="黑体"/>
          <w:snapToGrid w:val="0"/>
          <w:color w:val="000000"/>
          <w:kern w:val="2"/>
          <w:sz w:val="32"/>
          <w:szCs w:val="32"/>
          <w:vertAlign w:val="baseline"/>
          <w:lang w:val="en-US" w:eastAsia="zh-CN" w:bidi="ar-SA"/>
        </w:rPr>
        <w:t>第</w:t>
      </w:r>
      <w:r>
        <w:rPr>
          <w:rFonts w:hint="eastAsia" w:ascii="黑体" w:hAnsi="黑体" w:cs="黑体"/>
          <w:snapToGrid w:val="0"/>
          <w:color w:val="000000"/>
          <w:kern w:val="2"/>
          <w:sz w:val="32"/>
          <w:szCs w:val="32"/>
          <w:vertAlign w:val="baseline"/>
          <w:lang w:val="en-US" w:eastAsia="zh-CN" w:bidi="ar-SA"/>
        </w:rPr>
        <w:t>八</w:t>
      </w:r>
      <w:r>
        <w:rPr>
          <w:rFonts w:hint="eastAsia" w:ascii="黑体" w:hAnsi="黑体" w:eastAsia="黑体" w:cs="黑体"/>
          <w:snapToGrid w:val="0"/>
          <w:color w:val="000000"/>
          <w:kern w:val="2"/>
          <w:sz w:val="32"/>
          <w:szCs w:val="32"/>
          <w:vertAlign w:val="baseline"/>
          <w:lang w:val="en-US" w:eastAsia="zh-CN" w:bidi="ar-SA"/>
        </w:rPr>
        <w:t>条</w:t>
      </w:r>
      <w:r>
        <w:rPr>
          <w:rFonts w:hint="eastAsia" w:ascii="仿宋" w:hAnsi="仿宋" w:eastAsia="仿宋" w:cs="仿宋"/>
          <w:snapToGrid w:val="0"/>
          <w:color w:val="000000"/>
          <w:kern w:val="2"/>
          <w:sz w:val="32"/>
          <w:szCs w:val="32"/>
          <w:vertAlign w:val="baseline"/>
          <w:lang w:val="en-US" w:eastAsia="zh-CN" w:bidi="ar-SA"/>
        </w:rPr>
        <w:t xml:space="preserve"> 文件材料归档工作实行承办人负责制。承办人应当按照归档范围做好收集工作，在行政复议案件终结后按立卷方法和整理规则进行整理归档。</w:t>
      </w:r>
    </w:p>
    <w:p w14:paraId="45E9A3EC">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default" w:ascii="仿宋" w:hAnsi="仿宋" w:eastAsia="仿宋" w:cs="仿宋"/>
          <w:snapToGrid w:val="0"/>
          <w:color w:val="000000"/>
          <w:kern w:val="2"/>
          <w:sz w:val="32"/>
          <w:szCs w:val="32"/>
          <w:vertAlign w:val="baseline"/>
          <w:lang w:val="en-US" w:eastAsia="zh-CN" w:bidi="ar-SA"/>
        </w:rPr>
      </w:pPr>
      <w:r>
        <w:rPr>
          <w:rFonts w:hint="eastAsia" w:ascii="黑体" w:hAnsi="黑体" w:eastAsia="黑体" w:cs="黑体"/>
          <w:snapToGrid w:val="0"/>
          <w:color w:val="000000"/>
          <w:kern w:val="2"/>
          <w:sz w:val="32"/>
          <w:szCs w:val="32"/>
          <w:vertAlign w:val="baseline"/>
          <w:lang w:val="en-US" w:eastAsia="zh-CN" w:bidi="ar-SA"/>
        </w:rPr>
        <w:t>第</w:t>
      </w:r>
      <w:r>
        <w:rPr>
          <w:rFonts w:hint="eastAsia" w:ascii="黑体" w:hAnsi="黑体" w:cs="黑体"/>
          <w:snapToGrid w:val="0"/>
          <w:color w:val="000000"/>
          <w:kern w:val="2"/>
          <w:sz w:val="32"/>
          <w:szCs w:val="32"/>
          <w:vertAlign w:val="baseline"/>
          <w:lang w:val="en-US" w:eastAsia="zh-CN" w:bidi="ar-SA"/>
        </w:rPr>
        <w:t>九</w:t>
      </w:r>
      <w:r>
        <w:rPr>
          <w:rFonts w:hint="eastAsia" w:ascii="黑体" w:hAnsi="黑体" w:eastAsia="黑体" w:cs="黑体"/>
          <w:snapToGrid w:val="0"/>
          <w:color w:val="000000"/>
          <w:kern w:val="2"/>
          <w:sz w:val="32"/>
          <w:szCs w:val="32"/>
          <w:vertAlign w:val="baseline"/>
          <w:lang w:val="en-US" w:eastAsia="zh-CN" w:bidi="ar-SA"/>
        </w:rPr>
        <w:t>条</w:t>
      </w:r>
      <w:r>
        <w:rPr>
          <w:rFonts w:hint="eastAsia" w:ascii="仿宋" w:hAnsi="仿宋" w:eastAsia="仿宋" w:cs="仿宋"/>
          <w:snapToGrid w:val="0"/>
          <w:color w:val="000000"/>
          <w:kern w:val="2"/>
          <w:sz w:val="32"/>
          <w:szCs w:val="32"/>
          <w:vertAlign w:val="baseline"/>
          <w:lang w:val="en-US" w:eastAsia="zh-CN" w:bidi="ar-SA"/>
        </w:rPr>
        <w:t xml:space="preserve"> 行政复议案件档案应加强电子化建设，按照有关要求对纸质材料进行电子扫描并存档。</w:t>
      </w:r>
    </w:p>
    <w:p w14:paraId="4F96783D">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在办理过程中形成的电子文件，依照《电子文件归档与电子档案管理规范》（GB/T18894）执行，并与纸质文件材料一并归档。</w:t>
      </w:r>
    </w:p>
    <w:p w14:paraId="5BCB02BC">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案件中形成的照片、录音、录像实物等应按照相关标准规范单独整理归档，并与相对应的案件文件材料建立互见号。</w:t>
      </w:r>
    </w:p>
    <w:p w14:paraId="3E97B963">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黑体" w:hAnsi="黑体" w:eastAsia="黑体" w:cs="黑体"/>
          <w:snapToGrid w:val="0"/>
          <w:color w:val="000000"/>
          <w:kern w:val="2"/>
          <w:sz w:val="32"/>
          <w:szCs w:val="32"/>
          <w:vertAlign w:val="baseline"/>
          <w:lang w:val="en-US" w:eastAsia="zh-CN" w:bidi="ar-SA"/>
        </w:rPr>
        <w:t>第十条</w:t>
      </w:r>
      <w:r>
        <w:rPr>
          <w:rFonts w:hint="eastAsia" w:ascii="仿宋" w:hAnsi="仿宋" w:eastAsia="仿宋" w:cs="仿宋"/>
          <w:snapToGrid w:val="0"/>
          <w:color w:val="000000"/>
          <w:kern w:val="2"/>
          <w:sz w:val="32"/>
          <w:szCs w:val="32"/>
          <w:vertAlign w:val="baseline"/>
          <w:lang w:val="en-US" w:eastAsia="zh-CN" w:bidi="ar-SA"/>
        </w:rPr>
        <w:t xml:space="preserve"> 行政复议案件档案采用“年度一保管期限”分类方法进行分类。年度为行政复议案件审理结案年度。受理的行政复议案件文件材料按照结论文件材料、申请人文件材料、被申请人文件材料、第三人文件材料、审理过程文件材料进行排列。未受理行政复议案件文件材料按照结论文件材料、申请人文件材料、审理过程文件材料进行排列。</w:t>
      </w:r>
    </w:p>
    <w:p w14:paraId="15608475">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行政复议监督案件文件材料按照结论文件材料、申请人文件材料、被申请人文件材料、审理过程文件材料进行排列。</w:t>
      </w:r>
    </w:p>
    <w:p w14:paraId="76BB21D8">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黑体" w:hAnsi="黑体" w:eastAsia="黑体" w:cs="黑体"/>
          <w:snapToGrid w:val="0"/>
          <w:color w:val="000000"/>
          <w:kern w:val="2"/>
          <w:sz w:val="32"/>
          <w:szCs w:val="32"/>
          <w:vertAlign w:val="baseline"/>
          <w:lang w:val="en-US" w:eastAsia="zh-CN" w:bidi="ar-SA"/>
        </w:rPr>
        <w:t>第十</w:t>
      </w:r>
      <w:r>
        <w:rPr>
          <w:rFonts w:hint="eastAsia" w:ascii="黑体" w:hAnsi="黑体" w:cs="黑体"/>
          <w:snapToGrid w:val="0"/>
          <w:color w:val="000000"/>
          <w:kern w:val="2"/>
          <w:sz w:val="32"/>
          <w:szCs w:val="32"/>
          <w:vertAlign w:val="baseline"/>
          <w:lang w:val="en-US" w:eastAsia="zh-CN" w:bidi="ar-SA"/>
        </w:rPr>
        <w:t>一</w:t>
      </w:r>
      <w:r>
        <w:rPr>
          <w:rFonts w:hint="eastAsia" w:ascii="黑体" w:hAnsi="黑体" w:eastAsia="黑体" w:cs="黑体"/>
          <w:snapToGrid w:val="0"/>
          <w:color w:val="000000"/>
          <w:kern w:val="2"/>
          <w:sz w:val="32"/>
          <w:szCs w:val="32"/>
          <w:vertAlign w:val="baseline"/>
          <w:lang w:val="en-US" w:eastAsia="zh-CN" w:bidi="ar-SA"/>
        </w:rPr>
        <w:t>条</w:t>
      </w:r>
      <w:r>
        <w:rPr>
          <w:rFonts w:hint="eastAsia" w:ascii="仿宋" w:hAnsi="仿宋" w:eastAsia="仿宋" w:cs="仿宋"/>
          <w:snapToGrid w:val="0"/>
          <w:color w:val="000000"/>
          <w:kern w:val="2"/>
          <w:sz w:val="32"/>
          <w:szCs w:val="32"/>
          <w:vertAlign w:val="baseline"/>
          <w:lang w:val="en-US" w:eastAsia="zh-CN" w:bidi="ar-SA"/>
        </w:rPr>
        <w:t xml:space="preserve">  行政复议案件文件材料一般以立卷形式整理归档，根据案件材料保密需要，可以分正卷和副卷，并按照一案一号的原则，统一编制案卷号。正卷是行政复议案件审理中形成的可对外公开的文书材料，副卷是行政复议机关内部运转形成的不宜公开的文书材料。</w:t>
      </w:r>
      <w:bookmarkStart w:id="0" w:name="_GoBack"/>
      <w:bookmarkEnd w:id="0"/>
    </w:p>
    <w:p w14:paraId="7D633D42">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不予受理行政复议申请案件（不予受理、告知、转送、撤回、逾期不补正等）、行政复议监督案件档案实行一卷制，不分正副卷。</w:t>
      </w:r>
    </w:p>
    <w:p w14:paraId="62D2ADAE">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其它形成的行政复议案卷（行政复议答复、行政复议决定应诉等），可以将一个案卷视为一件，编制归档文件目录，并在备注中说明。</w:t>
      </w:r>
    </w:p>
    <w:p w14:paraId="20E711C9">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黑体" w:hAnsi="黑体" w:eastAsia="黑体" w:cs="黑体"/>
          <w:snapToGrid w:val="0"/>
          <w:color w:val="000000"/>
          <w:kern w:val="2"/>
          <w:sz w:val="32"/>
          <w:szCs w:val="32"/>
          <w:vertAlign w:val="baseline"/>
          <w:lang w:val="en-US" w:eastAsia="zh-CN" w:bidi="ar-SA"/>
        </w:rPr>
        <w:t>第十</w:t>
      </w:r>
      <w:r>
        <w:rPr>
          <w:rFonts w:hint="eastAsia" w:ascii="黑体" w:hAnsi="黑体" w:cs="黑体"/>
          <w:snapToGrid w:val="0"/>
          <w:color w:val="000000"/>
          <w:kern w:val="2"/>
          <w:sz w:val="32"/>
          <w:szCs w:val="32"/>
          <w:vertAlign w:val="baseline"/>
          <w:lang w:val="en-US" w:eastAsia="zh-CN" w:bidi="ar-SA"/>
        </w:rPr>
        <w:t>二</w:t>
      </w:r>
      <w:r>
        <w:rPr>
          <w:rFonts w:hint="eastAsia" w:ascii="黑体" w:hAnsi="黑体" w:eastAsia="黑体" w:cs="黑体"/>
          <w:snapToGrid w:val="0"/>
          <w:color w:val="000000"/>
          <w:kern w:val="2"/>
          <w:sz w:val="32"/>
          <w:szCs w:val="32"/>
          <w:vertAlign w:val="baseline"/>
          <w:lang w:val="en-US" w:eastAsia="zh-CN" w:bidi="ar-SA"/>
        </w:rPr>
        <w:t>条</w:t>
      </w:r>
      <w:r>
        <w:rPr>
          <w:rFonts w:hint="eastAsia" w:ascii="仿宋" w:hAnsi="仿宋" w:eastAsia="仿宋" w:cs="仿宋"/>
          <w:snapToGrid w:val="0"/>
          <w:color w:val="000000"/>
          <w:kern w:val="2"/>
          <w:sz w:val="32"/>
          <w:szCs w:val="32"/>
          <w:vertAlign w:val="baseline"/>
          <w:lang w:val="en-US" w:eastAsia="zh-CN" w:bidi="ar-SA"/>
        </w:rPr>
        <w:t xml:space="preserve"> 行政复议机构应当根据行政复议工作保密事项范围和有关主管部门保密事项范围的规定确定密级和保密期限。凡未标明保密期限的，按照绝密级30年、机密级20年，秘密级10年认定。</w:t>
      </w:r>
    </w:p>
    <w:p w14:paraId="13CA1135">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行政复议案件档案的密级及其保密期限，按卷内文件的最高密级及其保密期限确定。保密期限届满，即自行解密。因工作需要提前或者推迟解密的，由行政复议与应诉科向本机关保密工作部门按解密程序申请办理。</w:t>
      </w:r>
    </w:p>
    <w:p w14:paraId="6FEEC614">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黑体" w:hAnsi="黑体" w:eastAsia="黑体" w:cs="黑体"/>
          <w:snapToGrid w:val="0"/>
          <w:color w:val="000000"/>
          <w:kern w:val="2"/>
          <w:sz w:val="32"/>
          <w:szCs w:val="32"/>
          <w:vertAlign w:val="baseline"/>
          <w:lang w:val="en-US" w:eastAsia="zh-CN" w:bidi="ar-SA"/>
        </w:rPr>
        <w:t>第十</w:t>
      </w:r>
      <w:r>
        <w:rPr>
          <w:rFonts w:hint="eastAsia" w:ascii="黑体" w:hAnsi="黑体" w:cs="黑体"/>
          <w:snapToGrid w:val="0"/>
          <w:color w:val="000000"/>
          <w:kern w:val="2"/>
          <w:sz w:val="32"/>
          <w:szCs w:val="32"/>
          <w:vertAlign w:val="baseline"/>
          <w:lang w:val="en-US" w:eastAsia="zh-CN" w:bidi="ar-SA"/>
        </w:rPr>
        <w:t>三</w:t>
      </w:r>
      <w:r>
        <w:rPr>
          <w:rFonts w:hint="eastAsia" w:ascii="黑体" w:hAnsi="黑体" w:eastAsia="黑体" w:cs="黑体"/>
          <w:snapToGrid w:val="0"/>
          <w:color w:val="000000"/>
          <w:kern w:val="2"/>
          <w:sz w:val="32"/>
          <w:szCs w:val="32"/>
          <w:vertAlign w:val="baseline"/>
          <w:lang w:val="en-US" w:eastAsia="zh-CN" w:bidi="ar-SA"/>
        </w:rPr>
        <w:t>条</w:t>
      </w:r>
      <w:r>
        <w:rPr>
          <w:rFonts w:hint="eastAsia" w:ascii="仿宋" w:hAnsi="仿宋" w:eastAsia="仿宋" w:cs="仿宋"/>
          <w:snapToGrid w:val="0"/>
          <w:color w:val="000000"/>
          <w:kern w:val="2"/>
          <w:sz w:val="32"/>
          <w:szCs w:val="32"/>
          <w:vertAlign w:val="baseline"/>
          <w:lang w:val="en-US" w:eastAsia="zh-CN" w:bidi="ar-SA"/>
        </w:rPr>
        <w:t xml:space="preserve"> 行政复议案件文件材料按案件立卷，通常一案一卷，文件材料多的可一卷多册。不同案件的行政复议文件材料不得合并立卷。行政复议案件较少的单位，可将行政复议案件文件材料纳入文书档案按《归档文件整理规则》（DA/T22）进行整理。</w:t>
      </w:r>
    </w:p>
    <w:p w14:paraId="0CBBEAC4">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案卷包括卷皮、卷内目录和备考表。采用软卷皮“三孔一线”的装订方式装订，材料过多时可一卷数册，根据档案厚度合理设置页数，并在备考表中注明。案卷装订后，在案卷封底装订线上贴上封条并加盖骑缝章，装盒保管。</w:t>
      </w:r>
    </w:p>
    <w:p w14:paraId="760FE739">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行政复议案件档案，除封面、卷内目录、备考表外，一律使用阿拉伯数字逐页编号。每册从“1”开始，分册之间不连续编页号。正面编在右上角，反面编在左上角，无字页面不编号。声像材料在声像盒的脊背处逐件编号。</w:t>
      </w:r>
    </w:p>
    <w:p w14:paraId="70ADE754">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黑体" w:hAnsi="黑体" w:eastAsia="黑体" w:cs="黑体"/>
          <w:snapToGrid w:val="0"/>
          <w:color w:val="000000"/>
          <w:kern w:val="2"/>
          <w:sz w:val="32"/>
          <w:szCs w:val="32"/>
          <w:vertAlign w:val="baseline"/>
          <w:lang w:val="en-US" w:eastAsia="zh-CN" w:bidi="ar-SA"/>
        </w:rPr>
        <w:t>第十</w:t>
      </w:r>
      <w:r>
        <w:rPr>
          <w:rFonts w:hint="eastAsia" w:ascii="黑体" w:hAnsi="黑体" w:cs="黑体"/>
          <w:snapToGrid w:val="0"/>
          <w:color w:val="000000"/>
          <w:kern w:val="2"/>
          <w:sz w:val="32"/>
          <w:szCs w:val="32"/>
          <w:vertAlign w:val="baseline"/>
          <w:lang w:val="en-US" w:eastAsia="zh-CN" w:bidi="ar-SA"/>
        </w:rPr>
        <w:t>四</w:t>
      </w:r>
      <w:r>
        <w:rPr>
          <w:rFonts w:hint="eastAsia" w:ascii="黑体" w:hAnsi="黑体" w:eastAsia="黑体" w:cs="黑体"/>
          <w:snapToGrid w:val="0"/>
          <w:color w:val="000000"/>
          <w:kern w:val="2"/>
          <w:sz w:val="32"/>
          <w:szCs w:val="32"/>
          <w:vertAlign w:val="baseline"/>
          <w:lang w:val="en-US" w:eastAsia="zh-CN" w:bidi="ar-SA"/>
        </w:rPr>
        <w:t>条</w:t>
      </w:r>
      <w:r>
        <w:rPr>
          <w:rFonts w:hint="eastAsia" w:ascii="仿宋" w:hAnsi="仿宋" w:eastAsia="仿宋" w:cs="仿宋"/>
          <w:snapToGrid w:val="0"/>
          <w:color w:val="000000"/>
          <w:kern w:val="2"/>
          <w:sz w:val="32"/>
          <w:szCs w:val="32"/>
          <w:vertAlign w:val="baseline"/>
          <w:lang w:val="en-US" w:eastAsia="zh-CN" w:bidi="ar-SA"/>
        </w:rPr>
        <w:t xml:space="preserve"> 行政复议案件档案的保管期限分为永久和定期两种，其中，定期分为30年和10年。</w:t>
      </w:r>
    </w:p>
    <w:p w14:paraId="43D62D0D">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（一）永久保管的档案，是指涉及房屋、土地、矿藏、水流、森林、山岭、草原、荒地、滩涂、海域等自然资源使用权、所有权及其他需要永久保管的案件。</w:t>
      </w:r>
    </w:p>
    <w:p w14:paraId="759444D0">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（二）保管30年的档案，是指涉及民族、宗教内容的案件作出撤销、变更或者确认原具体行政行为违法行政复议决定的案件，涉外行政复议案件，具有代表性、典型性、群体性，在社会上产生重大影响的案件。</w:t>
      </w:r>
    </w:p>
    <w:p w14:paraId="6B4301E5">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三）保管10年的档案，是指社会影响不大、利益冲突较小、作出维持原具体行政行为行政复议决定的案件，未造成重大损害后果的行政不作为案件，驳回行政复议申请和行政复议终止的案件，不予受理行政复议申请的案件，行政复议调解生效的案件，其他适用于定期保管的案件。</w:t>
      </w:r>
    </w:p>
    <w:p w14:paraId="61A82A85">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行政复议与应诉科负责划定行政复议案件档案的保管期限。行政复议案件档案的保管期限自案件结案后的下一个年度开始计算。</w:t>
      </w:r>
    </w:p>
    <w:p w14:paraId="5309BA16">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黑体" w:hAnsi="黑体" w:eastAsia="黑体" w:cs="黑体"/>
          <w:snapToGrid w:val="0"/>
          <w:color w:val="000000"/>
          <w:kern w:val="2"/>
          <w:sz w:val="32"/>
          <w:szCs w:val="32"/>
          <w:vertAlign w:val="baseline"/>
          <w:lang w:val="en-US" w:eastAsia="zh-CN" w:bidi="ar-SA"/>
        </w:rPr>
        <w:t>第十</w:t>
      </w:r>
      <w:r>
        <w:rPr>
          <w:rFonts w:hint="eastAsia" w:ascii="黑体" w:hAnsi="黑体" w:cs="黑体"/>
          <w:snapToGrid w:val="0"/>
          <w:color w:val="000000"/>
          <w:kern w:val="2"/>
          <w:sz w:val="32"/>
          <w:szCs w:val="32"/>
          <w:vertAlign w:val="baseline"/>
          <w:lang w:val="en-US" w:eastAsia="zh-CN" w:bidi="ar-SA"/>
        </w:rPr>
        <w:t>五</w:t>
      </w:r>
      <w:r>
        <w:rPr>
          <w:rFonts w:hint="eastAsia" w:ascii="黑体" w:hAnsi="黑体" w:eastAsia="黑体" w:cs="黑体"/>
          <w:snapToGrid w:val="0"/>
          <w:color w:val="000000"/>
          <w:kern w:val="2"/>
          <w:sz w:val="32"/>
          <w:szCs w:val="32"/>
          <w:vertAlign w:val="baseline"/>
          <w:lang w:val="en-US" w:eastAsia="zh-CN" w:bidi="ar-SA"/>
        </w:rPr>
        <w:t>条</w:t>
      </w:r>
      <w:r>
        <w:rPr>
          <w:rFonts w:hint="eastAsia" w:ascii="仿宋" w:hAnsi="仿宋" w:eastAsia="仿宋" w:cs="仿宋"/>
          <w:snapToGrid w:val="0"/>
          <w:color w:val="000000"/>
          <w:kern w:val="2"/>
          <w:sz w:val="32"/>
          <w:szCs w:val="32"/>
          <w:vertAlign w:val="baseline"/>
          <w:lang w:val="en-US" w:eastAsia="zh-CN" w:bidi="ar-SA"/>
        </w:rPr>
        <w:t xml:space="preserve"> 行政复议案件档案案卷封面设置全宗名称、专业类别名称、案由、当事人（申请人、被申请人、第三人）、受理日期、结案日期、承办人员、复议结果、归档日期、保管期限、档号等项目。</w:t>
      </w:r>
    </w:p>
    <w:p w14:paraId="59CC75BE">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黑体" w:hAnsi="黑体" w:eastAsia="黑体" w:cs="黑体"/>
          <w:snapToGrid w:val="0"/>
          <w:color w:val="000000"/>
          <w:kern w:val="2"/>
          <w:sz w:val="32"/>
          <w:szCs w:val="32"/>
          <w:vertAlign w:val="baseline"/>
          <w:lang w:val="en-US" w:eastAsia="zh-CN" w:bidi="ar-SA"/>
        </w:rPr>
        <w:t>第十</w:t>
      </w:r>
      <w:r>
        <w:rPr>
          <w:rFonts w:hint="eastAsia" w:ascii="黑体" w:hAnsi="黑体" w:cs="黑体"/>
          <w:snapToGrid w:val="0"/>
          <w:color w:val="000000"/>
          <w:kern w:val="2"/>
          <w:sz w:val="32"/>
          <w:szCs w:val="32"/>
          <w:vertAlign w:val="baseline"/>
          <w:lang w:val="en-US" w:eastAsia="zh-CN" w:bidi="ar-SA"/>
        </w:rPr>
        <w:t>六</w:t>
      </w:r>
      <w:r>
        <w:rPr>
          <w:rFonts w:hint="eastAsia" w:ascii="黑体" w:hAnsi="黑体" w:eastAsia="黑体" w:cs="黑体"/>
          <w:snapToGrid w:val="0"/>
          <w:color w:val="000000"/>
          <w:kern w:val="2"/>
          <w:sz w:val="32"/>
          <w:szCs w:val="32"/>
          <w:vertAlign w:val="baseline"/>
          <w:lang w:val="en-US" w:eastAsia="zh-CN" w:bidi="ar-SA"/>
        </w:rPr>
        <w:t xml:space="preserve">条 </w:t>
      </w:r>
      <w:r>
        <w:rPr>
          <w:rFonts w:hint="eastAsia" w:ascii="仿宋" w:hAnsi="仿宋" w:eastAsia="仿宋" w:cs="仿宋"/>
          <w:snapToGrid w:val="0"/>
          <w:color w:val="000000"/>
          <w:kern w:val="2"/>
          <w:sz w:val="32"/>
          <w:szCs w:val="32"/>
          <w:vertAlign w:val="baseline"/>
          <w:lang w:val="en-US" w:eastAsia="zh-CN" w:bidi="ar-SA"/>
        </w:rPr>
        <w:t xml:space="preserve"> 行政复议案件档案卷内文件目录设置序号、档号、文件编号、责任者、文件题名、日期、页码、密级、备注等项目。</w:t>
      </w:r>
    </w:p>
    <w:p w14:paraId="070DC4E2">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黑体" w:hAnsi="黑体" w:eastAsia="黑体" w:cs="黑体"/>
          <w:snapToGrid w:val="0"/>
          <w:color w:val="000000"/>
          <w:kern w:val="2"/>
          <w:sz w:val="32"/>
          <w:szCs w:val="32"/>
          <w:vertAlign w:val="baseline"/>
          <w:lang w:val="en-US" w:eastAsia="zh-CN" w:bidi="ar-SA"/>
        </w:rPr>
        <w:t>第十</w:t>
      </w:r>
      <w:r>
        <w:rPr>
          <w:rFonts w:hint="eastAsia" w:ascii="黑体" w:hAnsi="黑体" w:cs="黑体"/>
          <w:snapToGrid w:val="0"/>
          <w:color w:val="000000"/>
          <w:kern w:val="2"/>
          <w:sz w:val="32"/>
          <w:szCs w:val="32"/>
          <w:vertAlign w:val="baseline"/>
          <w:lang w:val="en-US" w:eastAsia="zh-CN" w:bidi="ar-SA"/>
        </w:rPr>
        <w:t>七</w:t>
      </w:r>
      <w:r>
        <w:rPr>
          <w:rFonts w:hint="eastAsia" w:ascii="黑体" w:hAnsi="黑体" w:eastAsia="黑体" w:cs="黑体"/>
          <w:snapToGrid w:val="0"/>
          <w:color w:val="000000"/>
          <w:kern w:val="2"/>
          <w:sz w:val="32"/>
          <w:szCs w:val="32"/>
          <w:vertAlign w:val="baseline"/>
          <w:lang w:val="en-US" w:eastAsia="zh-CN" w:bidi="ar-SA"/>
        </w:rPr>
        <w:t>条</w:t>
      </w:r>
      <w:r>
        <w:rPr>
          <w:rFonts w:hint="eastAsia" w:ascii="黑体" w:hAnsi="黑体" w:cs="黑体"/>
          <w:snapToGrid w:val="0"/>
          <w:color w:val="000000"/>
          <w:kern w:val="2"/>
          <w:sz w:val="32"/>
          <w:szCs w:val="32"/>
          <w:vertAlign w:val="baseline"/>
          <w:lang w:val="en-US" w:eastAsia="zh-CN" w:bidi="ar-SA"/>
        </w:rPr>
        <w:t xml:space="preserve"> </w:t>
      </w:r>
      <w:r>
        <w:rPr>
          <w:rFonts w:hint="eastAsia" w:ascii="仿宋" w:hAnsi="仿宋" w:eastAsia="仿宋" w:cs="仿宋"/>
          <w:snapToGrid w:val="0"/>
          <w:color w:val="000000"/>
          <w:kern w:val="2"/>
          <w:sz w:val="32"/>
          <w:szCs w:val="32"/>
          <w:vertAlign w:val="baseline"/>
          <w:lang w:val="en-US" w:eastAsia="zh-CN" w:bidi="ar-SA"/>
        </w:rPr>
        <w:t>行政复议案件档案应当在案件结案后的3个月内整理完毕，在第二年6月底前向负责档案具体工作的部门移交。</w:t>
      </w:r>
    </w:p>
    <w:p w14:paraId="538EAFA3">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黑体" w:hAnsi="黑体" w:eastAsia="黑体" w:cs="黑体"/>
          <w:snapToGrid w:val="0"/>
          <w:color w:val="000000"/>
          <w:kern w:val="2"/>
          <w:sz w:val="32"/>
          <w:szCs w:val="32"/>
          <w:vertAlign w:val="baseline"/>
          <w:lang w:val="en-US" w:eastAsia="zh-CN" w:bidi="ar-SA"/>
        </w:rPr>
        <w:t>第</w:t>
      </w:r>
      <w:r>
        <w:rPr>
          <w:rFonts w:hint="eastAsia" w:ascii="黑体" w:hAnsi="黑体" w:cs="黑体"/>
          <w:snapToGrid w:val="0"/>
          <w:color w:val="000000"/>
          <w:kern w:val="2"/>
          <w:sz w:val="32"/>
          <w:szCs w:val="32"/>
          <w:vertAlign w:val="baseline"/>
          <w:lang w:val="en-US" w:eastAsia="zh-CN" w:bidi="ar-SA"/>
        </w:rPr>
        <w:t>十八</w:t>
      </w:r>
      <w:r>
        <w:rPr>
          <w:rFonts w:hint="eastAsia" w:ascii="黑体" w:hAnsi="黑体" w:eastAsia="黑体" w:cs="黑体"/>
          <w:snapToGrid w:val="0"/>
          <w:color w:val="000000"/>
          <w:kern w:val="2"/>
          <w:sz w:val="32"/>
          <w:szCs w:val="32"/>
          <w:vertAlign w:val="baseline"/>
          <w:lang w:val="en-US" w:eastAsia="zh-CN" w:bidi="ar-SA"/>
        </w:rPr>
        <w:t>条</w:t>
      </w:r>
      <w:r>
        <w:rPr>
          <w:rFonts w:hint="eastAsia" w:ascii="仿宋" w:hAnsi="仿宋" w:eastAsia="仿宋" w:cs="仿宋"/>
          <w:snapToGrid w:val="0"/>
          <w:color w:val="000000"/>
          <w:kern w:val="2"/>
          <w:sz w:val="32"/>
          <w:szCs w:val="32"/>
          <w:vertAlign w:val="baseline"/>
          <w:lang w:val="en-US" w:eastAsia="zh-CN" w:bidi="ar-SA"/>
        </w:rPr>
        <w:t xml:space="preserve"> 行政复议与应诉科应当做好档案防火、防盗、防紫外线、防有害生物、防水、防潮、防尘、防高温、防污染等防护工作。库房温度应当符合《档案馆建筑设计规范》（JGJ25）规定。</w:t>
      </w:r>
    </w:p>
    <w:p w14:paraId="28508797">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黑体" w:hAnsi="黑体" w:eastAsia="黑体" w:cs="黑体"/>
          <w:snapToGrid w:val="0"/>
          <w:color w:val="000000"/>
          <w:kern w:val="2"/>
          <w:sz w:val="32"/>
          <w:szCs w:val="32"/>
          <w:vertAlign w:val="baseline"/>
          <w:lang w:val="en-US" w:eastAsia="zh-CN" w:bidi="ar-SA"/>
        </w:rPr>
        <w:t>第</w:t>
      </w:r>
      <w:r>
        <w:rPr>
          <w:rFonts w:hint="eastAsia" w:ascii="黑体" w:hAnsi="黑体" w:cs="黑体"/>
          <w:snapToGrid w:val="0"/>
          <w:color w:val="000000"/>
          <w:kern w:val="2"/>
          <w:sz w:val="32"/>
          <w:szCs w:val="32"/>
          <w:vertAlign w:val="baseline"/>
          <w:lang w:val="en-US" w:eastAsia="zh-CN" w:bidi="ar-SA"/>
        </w:rPr>
        <w:t>十九</w:t>
      </w:r>
      <w:r>
        <w:rPr>
          <w:rFonts w:hint="eastAsia" w:ascii="黑体" w:hAnsi="黑体" w:eastAsia="黑体" w:cs="黑体"/>
          <w:snapToGrid w:val="0"/>
          <w:color w:val="000000"/>
          <w:kern w:val="2"/>
          <w:sz w:val="32"/>
          <w:szCs w:val="32"/>
          <w:vertAlign w:val="baseline"/>
          <w:lang w:val="en-US" w:eastAsia="zh-CN" w:bidi="ar-SA"/>
        </w:rPr>
        <w:t>条</w:t>
      </w:r>
      <w:r>
        <w:rPr>
          <w:rFonts w:hint="eastAsia" w:ascii="仿宋" w:hAnsi="仿宋" w:eastAsia="仿宋" w:cs="仿宋"/>
          <w:snapToGrid w:val="0"/>
          <w:color w:val="000000"/>
          <w:kern w:val="2"/>
          <w:sz w:val="32"/>
          <w:szCs w:val="32"/>
          <w:vertAlign w:val="baseline"/>
          <w:lang w:val="en-US" w:eastAsia="zh-CN" w:bidi="ar-SA"/>
        </w:rPr>
        <w:t xml:space="preserve"> 行政复议与应诉科对保管期限届满的行政复议案件档案应当按照《机关档案管理规定》（国家档案局第13号）及时进行鉴定并形成鉴定报告。根据档案的保存价值，确定继续保存和销毁的档案。继续保存的档案，应当重新划定保管期限并做出标注。确定销毁的档案应清点核对并编制档案销毁清册，报请本单位负责人批准后，按照有关规定销毁，销毁清册永久保存。</w:t>
      </w:r>
    </w:p>
    <w:p w14:paraId="03C21391">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黑体" w:hAnsi="黑体" w:eastAsia="黑体" w:cs="黑体"/>
          <w:snapToGrid w:val="0"/>
          <w:color w:val="000000"/>
          <w:kern w:val="2"/>
          <w:sz w:val="32"/>
          <w:szCs w:val="32"/>
          <w:vertAlign w:val="baseline"/>
          <w:lang w:val="en-US" w:eastAsia="zh-CN" w:bidi="ar-SA"/>
        </w:rPr>
        <w:t>第二十条</w:t>
      </w:r>
      <w:r>
        <w:rPr>
          <w:rFonts w:hint="eastAsia" w:ascii="黑体" w:hAnsi="黑体" w:cs="黑体"/>
          <w:snapToGrid w:val="0"/>
          <w:color w:val="000000"/>
          <w:kern w:val="2"/>
          <w:sz w:val="32"/>
          <w:szCs w:val="32"/>
          <w:vertAlign w:val="baseline"/>
          <w:lang w:val="en-US" w:eastAsia="zh-CN" w:bidi="ar-SA"/>
        </w:rPr>
        <w:t xml:space="preserve">  </w:t>
      </w:r>
      <w:r>
        <w:rPr>
          <w:rFonts w:hint="eastAsia" w:ascii="仿宋" w:hAnsi="仿宋" w:eastAsia="仿宋" w:cs="仿宋"/>
          <w:snapToGrid w:val="0"/>
          <w:color w:val="000000"/>
          <w:kern w:val="2"/>
          <w:sz w:val="32"/>
          <w:szCs w:val="32"/>
          <w:vertAlign w:val="baseline"/>
          <w:lang w:val="en-US" w:eastAsia="zh-CN" w:bidi="ar-SA"/>
        </w:rPr>
        <w:t>行政复议案件档案通常以数字副本代替原件提供利用。利用者应当确保所利用档案的安全和保密，不得擅自转借档案、不得折叠、剪贴、抽取、拆散档案、不得涂改、圈划、批注、污损档案。</w:t>
      </w:r>
    </w:p>
    <w:p w14:paraId="3C0122D4">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六安市司法局以外的单位查阅复制行政复议案件档案，案件当事人或者其代理律师查阅复制已经归档的行政复议案件档案，按照规定办理查阅复制手续。</w:t>
      </w:r>
    </w:p>
    <w:p w14:paraId="1593C208">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六安市司法局以外的单位调借行政复议案件档案，应当凭调卷函件，经分管负责人批准后，办理调借手续。调借的</w:t>
      </w:r>
    </w:p>
    <w:p w14:paraId="3681B81F">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仿宋" w:hAnsi="仿宋" w:eastAsia="仿宋" w:cs="仿宋"/>
          <w:snapToGrid w:val="0"/>
          <w:color w:val="000000"/>
          <w:kern w:val="2"/>
          <w:sz w:val="32"/>
          <w:szCs w:val="32"/>
          <w:vertAlign w:val="baseline"/>
          <w:lang w:val="en-US" w:eastAsia="zh-CN" w:bidi="ar-SA"/>
        </w:rPr>
        <w:t>档案，不得转借其他单位或者其他人员使用。</w:t>
      </w:r>
    </w:p>
    <w:p w14:paraId="4E22D860">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黑体" w:hAnsi="黑体" w:eastAsia="黑体" w:cs="黑体"/>
          <w:snapToGrid w:val="0"/>
          <w:color w:val="000000"/>
          <w:kern w:val="2"/>
          <w:sz w:val="32"/>
          <w:szCs w:val="32"/>
          <w:vertAlign w:val="baseline"/>
          <w:lang w:val="en-US" w:eastAsia="zh-CN" w:bidi="ar-SA"/>
        </w:rPr>
        <w:t>第二十</w:t>
      </w:r>
      <w:r>
        <w:rPr>
          <w:rFonts w:hint="eastAsia" w:ascii="黑体" w:hAnsi="黑体" w:cs="黑体"/>
          <w:snapToGrid w:val="0"/>
          <w:color w:val="000000"/>
          <w:kern w:val="2"/>
          <w:sz w:val="32"/>
          <w:szCs w:val="32"/>
          <w:vertAlign w:val="baseline"/>
          <w:lang w:val="en-US" w:eastAsia="zh-CN" w:bidi="ar-SA"/>
        </w:rPr>
        <w:t>一</w:t>
      </w:r>
      <w:r>
        <w:rPr>
          <w:rFonts w:hint="eastAsia" w:ascii="黑体" w:hAnsi="黑体" w:eastAsia="黑体" w:cs="黑体"/>
          <w:snapToGrid w:val="0"/>
          <w:color w:val="000000"/>
          <w:kern w:val="2"/>
          <w:sz w:val="32"/>
          <w:szCs w:val="32"/>
          <w:vertAlign w:val="baseline"/>
          <w:lang w:val="en-US" w:eastAsia="zh-CN" w:bidi="ar-SA"/>
        </w:rPr>
        <w:t>条</w:t>
      </w:r>
      <w:r>
        <w:rPr>
          <w:rFonts w:hint="eastAsia" w:ascii="仿宋" w:hAnsi="仿宋" w:eastAsia="仿宋" w:cs="仿宋"/>
          <w:snapToGrid w:val="0"/>
          <w:color w:val="000000"/>
          <w:kern w:val="2"/>
          <w:sz w:val="32"/>
          <w:szCs w:val="32"/>
          <w:vertAlign w:val="baseline"/>
          <w:lang w:val="en-US" w:eastAsia="zh-CN" w:bidi="ar-SA"/>
        </w:rPr>
        <w:t xml:space="preserve"> 行政复议与应诉可应当加强档案信息化工作，及时将案件档案卷宗材料录入全国行政复议与应诉工作平台。</w:t>
      </w:r>
    </w:p>
    <w:p w14:paraId="5241AC40">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黑体" w:hAnsi="黑体" w:eastAsia="黑体" w:cs="黑体"/>
          <w:snapToGrid w:val="0"/>
          <w:color w:val="000000"/>
          <w:kern w:val="2"/>
          <w:sz w:val="32"/>
          <w:szCs w:val="32"/>
          <w:vertAlign w:val="baseline"/>
          <w:lang w:val="en-US" w:eastAsia="zh-CN" w:bidi="ar-SA"/>
        </w:rPr>
        <w:t>第二十</w:t>
      </w:r>
      <w:r>
        <w:rPr>
          <w:rFonts w:hint="eastAsia" w:ascii="黑体" w:hAnsi="黑体" w:cs="黑体"/>
          <w:snapToGrid w:val="0"/>
          <w:color w:val="000000"/>
          <w:kern w:val="2"/>
          <w:sz w:val="32"/>
          <w:szCs w:val="32"/>
          <w:vertAlign w:val="baseline"/>
          <w:lang w:val="en-US" w:eastAsia="zh-CN" w:bidi="ar-SA"/>
        </w:rPr>
        <w:t>二</w:t>
      </w:r>
      <w:r>
        <w:rPr>
          <w:rFonts w:hint="eastAsia" w:ascii="黑体" w:hAnsi="黑体" w:eastAsia="黑体" w:cs="黑体"/>
          <w:snapToGrid w:val="0"/>
          <w:color w:val="000000"/>
          <w:kern w:val="2"/>
          <w:sz w:val="32"/>
          <w:szCs w:val="32"/>
          <w:vertAlign w:val="baseline"/>
          <w:lang w:val="en-US" w:eastAsia="zh-CN" w:bidi="ar-SA"/>
        </w:rPr>
        <w:t>条</w:t>
      </w:r>
      <w:r>
        <w:rPr>
          <w:rFonts w:hint="eastAsia" w:ascii="仿宋" w:hAnsi="仿宋" w:eastAsia="仿宋" w:cs="仿宋"/>
          <w:snapToGrid w:val="0"/>
          <w:color w:val="000000"/>
          <w:kern w:val="2"/>
          <w:sz w:val="32"/>
          <w:szCs w:val="32"/>
          <w:vertAlign w:val="baseline"/>
          <w:lang w:val="en-US" w:eastAsia="zh-CN" w:bidi="ar-SA"/>
        </w:rPr>
        <w:t xml:space="preserve"> 违反有关法律法规规定，造成行政复议档案毁损、丢失、泄密或伪造、篡改、买卖档案的，依法追究相关人员责任。构成犯罪的，依法追究刑事责任。</w:t>
      </w:r>
    </w:p>
    <w:p w14:paraId="7142E969">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Lines="0" w:line="520" w:lineRule="exact"/>
        <w:ind w:right="0" w:firstLine="640" w:firstLineChars="200"/>
        <w:jc w:val="both"/>
        <w:textAlignment w:val="auto"/>
        <w:rPr>
          <w:rFonts w:hint="eastAsia" w:ascii="仿宋" w:hAnsi="仿宋" w:eastAsia="仿宋" w:cs="仿宋"/>
          <w:snapToGrid w:val="0"/>
          <w:color w:val="000000"/>
          <w:kern w:val="2"/>
          <w:sz w:val="32"/>
          <w:szCs w:val="32"/>
          <w:vertAlign w:val="baseline"/>
          <w:lang w:val="en-US" w:eastAsia="zh-CN" w:bidi="ar-SA"/>
        </w:rPr>
      </w:pPr>
      <w:r>
        <w:rPr>
          <w:rFonts w:hint="eastAsia" w:ascii="黑体" w:hAnsi="黑体" w:eastAsia="黑体" w:cs="黑体"/>
          <w:snapToGrid w:val="0"/>
          <w:color w:val="000000"/>
          <w:kern w:val="2"/>
          <w:sz w:val="32"/>
          <w:szCs w:val="32"/>
          <w:vertAlign w:val="baseline"/>
          <w:lang w:val="en-US" w:eastAsia="zh-CN" w:bidi="ar-SA"/>
        </w:rPr>
        <w:t>第二十</w:t>
      </w:r>
      <w:r>
        <w:rPr>
          <w:rFonts w:hint="eastAsia" w:ascii="黑体" w:hAnsi="黑体" w:cs="黑体"/>
          <w:snapToGrid w:val="0"/>
          <w:color w:val="000000"/>
          <w:kern w:val="2"/>
          <w:sz w:val="32"/>
          <w:szCs w:val="32"/>
          <w:vertAlign w:val="baseline"/>
          <w:lang w:val="en-US" w:eastAsia="zh-CN" w:bidi="ar-SA"/>
        </w:rPr>
        <w:t>三</w:t>
      </w:r>
      <w:r>
        <w:rPr>
          <w:rFonts w:hint="eastAsia" w:ascii="黑体" w:hAnsi="黑体" w:eastAsia="黑体" w:cs="黑体"/>
          <w:snapToGrid w:val="0"/>
          <w:color w:val="000000"/>
          <w:kern w:val="2"/>
          <w:sz w:val="32"/>
          <w:szCs w:val="32"/>
          <w:vertAlign w:val="baseline"/>
          <w:lang w:val="en-US" w:eastAsia="zh-CN" w:bidi="ar-SA"/>
        </w:rPr>
        <w:t>条</w:t>
      </w:r>
      <w:r>
        <w:rPr>
          <w:rFonts w:hint="eastAsia" w:ascii="仿宋" w:hAnsi="仿宋" w:eastAsia="仿宋" w:cs="仿宋"/>
          <w:snapToGrid w:val="0"/>
          <w:color w:val="000000"/>
          <w:kern w:val="2"/>
          <w:sz w:val="32"/>
          <w:szCs w:val="32"/>
          <w:vertAlign w:val="baseline"/>
          <w:lang w:val="en-US" w:eastAsia="zh-CN" w:bidi="ar-SA"/>
        </w:rPr>
        <w:t xml:space="preserve"> 本办法自印发之日起施行。</w:t>
      </w:r>
    </w:p>
    <w:p w14:paraId="10A31BB6">
      <w:pPr>
        <w:keepNext w:val="0"/>
        <w:keepLines w:val="0"/>
        <w:pageBreakBefore w:val="0"/>
        <w:widowControl/>
        <w:kinsoku/>
        <w:wordWrap/>
        <w:overflowPunct/>
        <w:topLinePunct w:val="0"/>
        <w:autoSpaceDE/>
        <w:autoSpaceDN/>
        <w:bidi w:val="0"/>
        <w:adjustRightInd w:val="0"/>
        <w:snapToGrid w:val="0"/>
        <w:spacing w:line="520" w:lineRule="exact"/>
        <w:textAlignment w:val="auto"/>
        <w:rPr>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0E33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5B674">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95B674">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017A0"/>
    <w:multiLevelType w:val="multilevel"/>
    <w:tmpl w:val="84C017A0"/>
    <w:lvl w:ilvl="0" w:tentative="0">
      <w:start w:val="1"/>
      <w:numFmt w:val="decimal"/>
      <w:pStyle w:val="7"/>
      <w:lvlText w:val="图%1"/>
      <w:lvlJc w:val="center"/>
      <w:pPr>
        <w:ind w:left="4956" w:hanging="420"/>
      </w:pPr>
      <w:rPr>
        <w:rFonts w:hint="default" w:ascii="宋体" w:hAnsi="宋体" w:eastAsia="宋体" w:cs="宋体"/>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E285A"/>
    <w:rsid w:val="01350605"/>
    <w:rsid w:val="03C32D8A"/>
    <w:rsid w:val="04277401"/>
    <w:rsid w:val="067601CC"/>
    <w:rsid w:val="0AE47DFA"/>
    <w:rsid w:val="0CAF2B73"/>
    <w:rsid w:val="124E2606"/>
    <w:rsid w:val="15B32036"/>
    <w:rsid w:val="163B421B"/>
    <w:rsid w:val="163E5E46"/>
    <w:rsid w:val="17C9776C"/>
    <w:rsid w:val="1D631052"/>
    <w:rsid w:val="1E5170FD"/>
    <w:rsid w:val="1FB14102"/>
    <w:rsid w:val="209E05F3"/>
    <w:rsid w:val="26E16C22"/>
    <w:rsid w:val="272F71A1"/>
    <w:rsid w:val="27461D50"/>
    <w:rsid w:val="2DB567C9"/>
    <w:rsid w:val="2EC761BC"/>
    <w:rsid w:val="2FE0203A"/>
    <w:rsid w:val="32887721"/>
    <w:rsid w:val="34AC5C0D"/>
    <w:rsid w:val="38DC224A"/>
    <w:rsid w:val="3C31334C"/>
    <w:rsid w:val="3E684D25"/>
    <w:rsid w:val="473E357A"/>
    <w:rsid w:val="50096F88"/>
    <w:rsid w:val="50854339"/>
    <w:rsid w:val="545219F0"/>
    <w:rsid w:val="5C4B2913"/>
    <w:rsid w:val="5CBF10FA"/>
    <w:rsid w:val="60B62814"/>
    <w:rsid w:val="622A33AB"/>
    <w:rsid w:val="625C1DB5"/>
    <w:rsid w:val="63E7415B"/>
    <w:rsid w:val="63FE1D11"/>
    <w:rsid w:val="643E4FFA"/>
    <w:rsid w:val="65DC4ACB"/>
    <w:rsid w:val="68B8348C"/>
    <w:rsid w:val="6FAE285A"/>
    <w:rsid w:val="73A40BF2"/>
    <w:rsid w:val="75ED062E"/>
    <w:rsid w:val="7A4054E8"/>
    <w:rsid w:val="7A4F6721"/>
    <w:rsid w:val="7AA37803"/>
    <w:rsid w:val="7C5E5AE2"/>
    <w:rsid w:val="7D16045E"/>
    <w:rsid w:val="7D6F2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before="50" w:beforeLines="50" w:line="360" w:lineRule="auto"/>
      <w:ind w:firstLine="560" w:firstLineChars="200"/>
    </w:pPr>
    <w:rPr>
      <w:rFonts w:ascii="宋体" w:hAnsi="宋体" w:eastAsia="宋体" w:cstheme="minorBidi"/>
      <w:snapToGrid w:val="0"/>
      <w:kern w:val="2"/>
      <w:sz w:val="24"/>
      <w:szCs w:val="22"/>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unhideWhenUsed/>
    <w:qFormat/>
    <w:uiPriority w:val="0"/>
    <w:rPr>
      <w:rFonts w:ascii="Calibri Light" w:hAnsi="Calibri Light" w:eastAsia="黑体" w:cs="Times New Roman"/>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A图注"/>
    <w:basedOn w:val="8"/>
    <w:qFormat/>
    <w:uiPriority w:val="0"/>
    <w:pPr>
      <w:numPr>
        <w:ilvl w:val="0"/>
        <w:numId w:val="1"/>
      </w:numPr>
    </w:pPr>
    <w:rPr>
      <w:rFonts w:eastAsia="黑体"/>
      <w:sz w:val="18"/>
      <w:szCs w:val="18"/>
    </w:rPr>
  </w:style>
  <w:style w:type="paragraph" w:customStyle="1" w:styleId="8">
    <w:name w:val="A：图表题注"/>
    <w:basedOn w:val="2"/>
    <w:qFormat/>
    <w:uiPriority w:val="0"/>
    <w:pPr>
      <w:spacing w:before="163"/>
      <w:ind w:firstLine="0" w:firstLineChars="0"/>
      <w:jc w:val="center"/>
    </w:pPr>
    <w:rPr>
      <w:rFonts w:ascii="宋体" w:hAnsi="宋体" w:eastAsia="宋体"/>
      <w:snapToGrid/>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2940</Words>
  <Characters>2969</Characters>
  <Lines>0</Lines>
  <Paragraphs>0</Paragraphs>
  <TotalTime>4</TotalTime>
  <ScaleCrop>false</ScaleCrop>
  <LinksUpToDate>false</LinksUpToDate>
  <CharactersWithSpaces>3000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2025-01-13T08:01:00Z</dcterms:created>
  <dc:creator>陈绍鹏</dc:creator>
  <cp:lastModifiedBy>陈绍鹏</cp:lastModifiedBy>
  <dcterms:modified xsi:type="dcterms:W3CDTF">2025-02-25T08:57:25Z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7AB21915EF4C4CD2A9BDDB2C47BD8003_11</vt:lpwstr>
  </property>
  <property fmtid="{D5CDD505-2E9C-101B-9397-08002B2CF9AE}" pid="4" name="KSOTemplateDocerSaveRecord">
    <vt:lpwstr>eyJoZGlkIjoiZGI2NWYzNWIwZDU4ZTNkNDE3YjIzZDQxODMzMGY2ZmUiLCJ1c2VySWQiOiIzNTAxMzAwMjgifQ==</vt:lpwstr>
  </property>
</Properties>
</file>