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60167">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375" w:right="375"/>
        <w:jc w:val="center"/>
        <w:rPr>
          <w:rFonts w:hint="eastAsia" w:ascii="方正小标宋简体" w:hAnsi="方正小标宋简体" w:eastAsia="方正小标宋简体" w:cs="方正小标宋简体"/>
          <w:color w:val="000000"/>
          <w:sz w:val="44"/>
          <w:szCs w:val="44"/>
          <w:vertAlign w:val="baseline"/>
          <w:lang w:val="en-US" w:eastAsia="zh-CN"/>
        </w:rPr>
      </w:pPr>
    </w:p>
    <w:p w14:paraId="09845729">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375" w:right="375"/>
        <w:jc w:val="center"/>
        <w:rPr>
          <w:rFonts w:hint="eastAsia" w:ascii="方正小标宋简体" w:hAnsi="方正小标宋简体" w:eastAsia="方正小标宋简体" w:cs="方正小标宋简体"/>
          <w:color w:val="000000"/>
          <w:sz w:val="44"/>
          <w:szCs w:val="44"/>
          <w:vertAlign w:val="baseline"/>
          <w:lang w:val="en-US" w:eastAsia="zh-CN"/>
        </w:rPr>
      </w:pPr>
    </w:p>
    <w:p w14:paraId="054E6A70">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375" w:right="375"/>
        <w:jc w:val="center"/>
        <w:rPr>
          <w:rFonts w:hint="eastAsia" w:ascii="方正小标宋简体" w:hAnsi="方正小标宋简体" w:eastAsia="方正小标宋简体" w:cs="方正小标宋简体"/>
          <w:color w:val="000000"/>
          <w:sz w:val="44"/>
          <w:szCs w:val="44"/>
          <w:vertAlign w:val="baseline"/>
        </w:rPr>
      </w:pPr>
      <w:r>
        <w:rPr>
          <w:rFonts w:hint="eastAsia" w:ascii="方正小标宋简体" w:hAnsi="方正小标宋简体" w:eastAsia="方正小标宋简体" w:cs="方正小标宋简体"/>
          <w:color w:val="000000"/>
          <w:sz w:val="44"/>
          <w:szCs w:val="44"/>
          <w:vertAlign w:val="baseline"/>
          <w:lang w:val="en-US" w:eastAsia="zh-CN"/>
        </w:rPr>
        <w:t>六安市人民政府</w:t>
      </w:r>
      <w:r>
        <w:rPr>
          <w:rFonts w:hint="eastAsia" w:ascii="方正小标宋简体" w:hAnsi="方正小标宋简体" w:eastAsia="方正小标宋简体" w:cs="方正小标宋简体"/>
          <w:color w:val="000000"/>
          <w:sz w:val="44"/>
          <w:szCs w:val="44"/>
          <w:vertAlign w:val="baseline"/>
        </w:rPr>
        <w:t>行政复议委员会</w:t>
      </w:r>
    </w:p>
    <w:p w14:paraId="53A7563E">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375" w:right="375"/>
        <w:jc w:val="center"/>
        <w:rPr>
          <w:rFonts w:hint="eastAsia" w:ascii="方正小标宋简体" w:hAnsi="方正小标宋简体" w:eastAsia="方正小标宋简体" w:cs="方正小标宋简体"/>
          <w:color w:val="000000"/>
          <w:sz w:val="44"/>
          <w:szCs w:val="44"/>
          <w:vertAlign w:val="baseline"/>
          <w:lang w:val="en-US" w:eastAsia="zh-CN"/>
        </w:rPr>
      </w:pPr>
      <w:r>
        <w:rPr>
          <w:rFonts w:hint="eastAsia" w:ascii="方正小标宋简体" w:hAnsi="方正小标宋简体" w:eastAsia="方正小标宋简体" w:cs="方正小标宋简体"/>
          <w:color w:val="000000"/>
          <w:sz w:val="44"/>
          <w:szCs w:val="44"/>
          <w:vertAlign w:val="baseline"/>
        </w:rPr>
        <w:t>工作</w:t>
      </w:r>
      <w:r>
        <w:rPr>
          <w:rFonts w:hint="eastAsia" w:ascii="方正小标宋简体" w:hAnsi="方正小标宋简体" w:eastAsia="方正小标宋简体" w:cs="方正小标宋简体"/>
          <w:color w:val="000000"/>
          <w:sz w:val="44"/>
          <w:szCs w:val="44"/>
          <w:vertAlign w:val="baseline"/>
          <w:lang w:val="en-US" w:eastAsia="zh-CN"/>
        </w:rPr>
        <w:t>规则</w:t>
      </w:r>
    </w:p>
    <w:p w14:paraId="09A985E8">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征求意见稿</w:t>
      </w:r>
      <w:r>
        <w:rPr>
          <w:rFonts w:hint="eastAsia" w:ascii="仿宋" w:hAnsi="仿宋" w:eastAsia="仿宋" w:cs="仿宋"/>
          <w:sz w:val="32"/>
          <w:szCs w:val="32"/>
          <w:lang w:eastAsia="zh-CN"/>
        </w:rPr>
        <w:t>）</w:t>
      </w:r>
    </w:p>
    <w:p w14:paraId="62B0D42A">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rPr>
          <w:rFonts w:hint="eastAsia" w:ascii="黑体" w:hAnsi="黑体" w:eastAsia="黑体" w:cs="黑体"/>
          <w:sz w:val="32"/>
          <w:szCs w:val="32"/>
        </w:rPr>
      </w:pPr>
    </w:p>
    <w:p w14:paraId="2C2819F7">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为规范</w:t>
      </w:r>
      <w:r>
        <w:rPr>
          <w:rFonts w:hint="eastAsia" w:ascii="仿宋" w:hAnsi="仿宋" w:eastAsia="仿宋" w:cs="仿宋"/>
          <w:sz w:val="32"/>
          <w:szCs w:val="32"/>
          <w:lang w:val="en-US" w:eastAsia="zh-CN"/>
        </w:rPr>
        <w:t>市政府</w:t>
      </w:r>
      <w:r>
        <w:rPr>
          <w:rFonts w:hint="eastAsia" w:ascii="仿宋" w:hAnsi="仿宋" w:eastAsia="仿宋" w:cs="仿宋"/>
          <w:sz w:val="32"/>
          <w:szCs w:val="32"/>
        </w:rPr>
        <w:t>行政复议委员会组成和工作机制，提高行政复议办案质效，根据《中华人民共和国行政复议法》</w:t>
      </w:r>
      <w:r>
        <w:rPr>
          <w:rFonts w:hint="eastAsia" w:ascii="仿宋" w:hAnsi="仿宋" w:eastAsia="仿宋" w:cs="仿宋"/>
          <w:sz w:val="32"/>
          <w:szCs w:val="32"/>
          <w:lang w:val="en-US" w:eastAsia="zh-CN"/>
        </w:rPr>
        <w:t>第五十二条、</w:t>
      </w:r>
      <w:r>
        <w:rPr>
          <w:rFonts w:hint="eastAsia" w:ascii="仿宋" w:hAnsi="仿宋" w:eastAsia="仿宋" w:cs="仿宋"/>
          <w:sz w:val="32"/>
          <w:szCs w:val="32"/>
          <w:lang w:eastAsia="zh-CN"/>
        </w:rPr>
        <w:t>《六安市人民政府办公室关于进一步加强行政复议与应诉工作推进法治政府建设的意见》（六政办秘〔2024〕82号）</w:t>
      </w:r>
      <w:r>
        <w:rPr>
          <w:rFonts w:hint="eastAsia" w:ascii="仿宋" w:hAnsi="仿宋" w:eastAsia="仿宋" w:cs="仿宋"/>
          <w:sz w:val="32"/>
          <w:szCs w:val="32"/>
          <w:lang w:val="en-US" w:eastAsia="zh-CN"/>
        </w:rPr>
        <w:t>等有关规定</w:t>
      </w:r>
      <w:r>
        <w:rPr>
          <w:rFonts w:hint="eastAsia" w:ascii="仿宋" w:hAnsi="仿宋" w:eastAsia="仿宋" w:cs="仿宋"/>
          <w:sz w:val="32"/>
          <w:szCs w:val="32"/>
        </w:rPr>
        <w:t>，</w:t>
      </w:r>
      <w:r>
        <w:rPr>
          <w:rFonts w:hint="eastAsia" w:ascii="仿宋" w:hAnsi="仿宋" w:eastAsia="仿宋" w:cs="仿宋"/>
          <w:sz w:val="32"/>
          <w:szCs w:val="32"/>
          <w:lang w:val="en-US" w:eastAsia="zh-CN"/>
        </w:rPr>
        <w:t>经市政府同意，</w:t>
      </w:r>
      <w:r>
        <w:rPr>
          <w:rFonts w:hint="eastAsia" w:ascii="仿宋" w:hAnsi="仿宋" w:eastAsia="仿宋" w:cs="仿宋"/>
          <w:sz w:val="32"/>
          <w:szCs w:val="32"/>
        </w:rPr>
        <w:t>制定本</w:t>
      </w:r>
      <w:r>
        <w:rPr>
          <w:rFonts w:hint="eastAsia" w:ascii="仿宋" w:hAnsi="仿宋" w:eastAsia="仿宋" w:cs="仿宋"/>
          <w:sz w:val="32"/>
          <w:szCs w:val="32"/>
          <w:lang w:val="en-US" w:eastAsia="zh-CN"/>
        </w:rPr>
        <w:t>规则</w:t>
      </w:r>
      <w:r>
        <w:rPr>
          <w:rFonts w:hint="eastAsia" w:ascii="仿宋" w:hAnsi="仿宋" w:eastAsia="仿宋" w:cs="仿宋"/>
          <w:sz w:val="32"/>
          <w:szCs w:val="32"/>
        </w:rPr>
        <w:t xml:space="preserve">。 </w:t>
      </w:r>
    </w:p>
    <w:p w14:paraId="2FD5E1F2">
      <w:pPr>
        <w:keepNext w:val="0"/>
        <w:keepLines w:val="0"/>
        <w:pageBreakBefore w:val="0"/>
        <w:widowControl/>
        <w:kinsoku/>
        <w:wordWrap/>
        <w:overflowPunct/>
        <w:topLinePunct w:val="0"/>
        <w:autoSpaceDE/>
        <w:autoSpaceDN/>
        <w:bidi w:val="0"/>
        <w:adjustRightInd/>
        <w:snapToGrid/>
        <w:spacing w:line="520" w:lineRule="exact"/>
        <w:ind w:firstLine="640"/>
        <w:jc w:val="both"/>
        <w:rPr>
          <w:rFonts w:hint="default" w:ascii="仿宋" w:hAnsi="仿宋" w:eastAsia="仿宋" w:cs="仿宋"/>
          <w:sz w:val="32"/>
          <w:szCs w:val="32"/>
          <w:lang w:val="en-US" w:eastAsia="zh-CN"/>
        </w:rPr>
      </w:pPr>
      <w:r>
        <w:rPr>
          <w:rFonts w:hint="eastAsia" w:ascii="黑体" w:hAnsi="黑体" w:eastAsia="黑体" w:cs="黑体"/>
          <w:sz w:val="32"/>
          <w:szCs w:val="32"/>
        </w:rPr>
        <w:t>第二条</w:t>
      </w:r>
      <w:r>
        <w:rPr>
          <w:rFonts w:hint="eastAsia" w:ascii="仿宋" w:hAnsi="仿宋" w:eastAsia="仿宋" w:cs="仿宋"/>
          <w:sz w:val="32"/>
          <w:szCs w:val="32"/>
        </w:rPr>
        <w:t>　</w:t>
      </w:r>
      <w:r>
        <w:rPr>
          <w:rFonts w:hint="eastAsia" w:ascii="仿宋" w:hAnsi="仿宋" w:eastAsia="仿宋" w:cs="仿宋"/>
          <w:sz w:val="32"/>
          <w:szCs w:val="32"/>
          <w:lang w:val="en-US" w:eastAsia="zh-CN"/>
        </w:rPr>
        <w:t>六安市</w:t>
      </w:r>
      <w:r>
        <w:rPr>
          <w:rFonts w:hint="eastAsia" w:ascii="仿宋" w:hAnsi="仿宋" w:eastAsia="仿宋" w:cs="仿宋"/>
          <w:sz w:val="32"/>
          <w:szCs w:val="32"/>
        </w:rPr>
        <w:t>人民政府行政复议委员会</w:t>
      </w:r>
      <w:r>
        <w:rPr>
          <w:rFonts w:hint="eastAsia" w:ascii="仿宋" w:hAnsi="仿宋" w:eastAsia="仿宋" w:cs="仿宋"/>
          <w:sz w:val="32"/>
          <w:szCs w:val="32"/>
          <w:lang w:val="en-US" w:eastAsia="zh-CN"/>
        </w:rPr>
        <w:t>是根据本规则成立，为</w:t>
      </w:r>
      <w:r>
        <w:rPr>
          <w:rFonts w:hint="eastAsia" w:ascii="仿宋" w:hAnsi="仿宋" w:eastAsia="仿宋" w:cs="仿宋"/>
          <w:sz w:val="32"/>
          <w:szCs w:val="32"/>
        </w:rPr>
        <w:t>办理</w:t>
      </w:r>
      <w:r>
        <w:rPr>
          <w:rFonts w:hint="eastAsia" w:ascii="仿宋" w:hAnsi="仿宋" w:eastAsia="仿宋" w:cs="仿宋"/>
          <w:sz w:val="32"/>
          <w:szCs w:val="32"/>
          <w:lang w:val="en-US" w:eastAsia="zh-CN"/>
        </w:rPr>
        <w:t>市政府</w:t>
      </w:r>
      <w:r>
        <w:rPr>
          <w:rFonts w:hint="eastAsia" w:ascii="仿宋" w:hAnsi="仿宋" w:eastAsia="仿宋" w:cs="仿宋"/>
          <w:sz w:val="32"/>
          <w:szCs w:val="32"/>
        </w:rPr>
        <w:t>行政复议案件提供咨询意见，并就行政复议工作中的重大事项和共性问题研究提出意见</w:t>
      </w:r>
      <w:r>
        <w:rPr>
          <w:rFonts w:hint="eastAsia" w:ascii="仿宋" w:hAnsi="仿宋" w:eastAsia="仿宋" w:cs="仿宋"/>
          <w:sz w:val="32"/>
          <w:szCs w:val="32"/>
          <w:lang w:val="en-US" w:eastAsia="zh-CN"/>
        </w:rPr>
        <w:t>的法定机构。</w:t>
      </w:r>
    </w:p>
    <w:p w14:paraId="32091434">
      <w:pPr>
        <w:keepNext w:val="0"/>
        <w:keepLines w:val="0"/>
        <w:pageBreakBefore w:val="0"/>
        <w:widowControl/>
        <w:kinsoku/>
        <w:wordWrap/>
        <w:overflowPunct/>
        <w:topLinePunct w:val="0"/>
        <w:autoSpaceDE/>
        <w:autoSpaceDN/>
        <w:bidi w:val="0"/>
        <w:adjustRightInd/>
        <w:snapToGrid/>
        <w:spacing w:line="520" w:lineRule="exact"/>
        <w:ind w:firstLine="640"/>
        <w:jc w:val="both"/>
        <w:rPr>
          <w:rFonts w:hint="eastAsia" w:ascii="仿宋" w:hAnsi="仿宋" w:eastAsia="仿宋" w:cs="仿宋"/>
          <w:sz w:val="32"/>
          <w:szCs w:val="32"/>
        </w:rPr>
      </w:pPr>
      <w:r>
        <w:rPr>
          <w:rFonts w:hint="eastAsia" w:ascii="仿宋" w:hAnsi="仿宋" w:eastAsia="仿宋" w:cs="仿宋"/>
          <w:sz w:val="32"/>
          <w:szCs w:val="32"/>
          <w:lang w:val="en-US" w:eastAsia="zh-CN"/>
        </w:rPr>
        <w:t>六安市人民政府行政复议委员会下设办公室，设立在市司法局</w:t>
      </w:r>
      <w:r>
        <w:rPr>
          <w:rFonts w:hint="eastAsia" w:ascii="仿宋" w:hAnsi="仿宋" w:eastAsia="仿宋" w:cs="仿宋"/>
          <w:sz w:val="32"/>
          <w:szCs w:val="32"/>
        </w:rPr>
        <w:t>。</w:t>
      </w:r>
      <w:r>
        <w:rPr>
          <w:rFonts w:hint="eastAsia" w:ascii="仿宋" w:hAnsi="仿宋" w:eastAsia="仿宋" w:cs="仿宋"/>
          <w:sz w:val="32"/>
          <w:szCs w:val="32"/>
          <w:lang w:val="en-US" w:eastAsia="zh-CN"/>
        </w:rPr>
        <w:t>市司法局行政复议与应诉科具体负责日常运转。</w:t>
      </w:r>
      <w:r>
        <w:rPr>
          <w:rFonts w:hint="eastAsia" w:ascii="仿宋" w:hAnsi="仿宋" w:eastAsia="仿宋" w:cs="仿宋"/>
          <w:sz w:val="32"/>
          <w:szCs w:val="32"/>
        </w:rPr>
        <w:t xml:space="preserve"> </w:t>
      </w:r>
    </w:p>
    <w:p w14:paraId="78F2837D">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行政复议委员会设主任1名，副主任若干名。</w:t>
      </w:r>
    </w:p>
    <w:p w14:paraId="7F465C9B">
      <w:pPr>
        <w:keepNext w:val="0"/>
        <w:keepLines w:val="0"/>
        <w:pageBreakBefore w:val="0"/>
        <w:widowControl/>
        <w:kinsoku/>
        <w:wordWrap/>
        <w:overflowPunct/>
        <w:topLinePunct w:val="0"/>
        <w:autoSpaceDE/>
        <w:autoSpaceDN/>
        <w:bidi w:val="0"/>
        <w:adjustRightInd/>
        <w:snapToGrid/>
        <w:spacing w:line="520" w:lineRule="exact"/>
        <w:jc w:val="both"/>
        <w:rPr>
          <w:rFonts w:hint="default" w:ascii="仿宋" w:hAnsi="仿宋" w:eastAsia="仿宋" w:cs="仿宋"/>
          <w:sz w:val="32"/>
          <w:szCs w:val="32"/>
          <w:lang w:val="en-US" w:eastAsia="zh-CN"/>
        </w:rPr>
      </w:pPr>
      <w:r>
        <w:rPr>
          <w:rFonts w:hint="eastAsia" w:ascii="仿宋" w:hAnsi="仿宋" w:eastAsia="仿宋" w:cs="仿宋"/>
          <w:sz w:val="32"/>
          <w:szCs w:val="32"/>
        </w:rPr>
        <w:t>　　行政复议委员会主任由市政府</w:t>
      </w:r>
      <w:r>
        <w:rPr>
          <w:rFonts w:hint="eastAsia" w:ascii="仿宋" w:hAnsi="仿宋" w:eastAsia="仿宋" w:cs="仿宋"/>
          <w:sz w:val="32"/>
          <w:szCs w:val="32"/>
          <w:lang w:val="en-US" w:eastAsia="zh-CN"/>
        </w:rPr>
        <w:t>分管</w:t>
      </w:r>
      <w:r>
        <w:rPr>
          <w:rFonts w:hint="eastAsia" w:ascii="仿宋" w:hAnsi="仿宋" w:eastAsia="仿宋" w:cs="仿宋"/>
          <w:sz w:val="32"/>
          <w:szCs w:val="32"/>
        </w:rPr>
        <w:t>负责人担任；副主任由市政府</w:t>
      </w:r>
      <w:r>
        <w:rPr>
          <w:rFonts w:hint="eastAsia" w:ascii="仿宋" w:hAnsi="仿宋" w:eastAsia="仿宋" w:cs="仿宋"/>
          <w:sz w:val="32"/>
          <w:szCs w:val="32"/>
          <w:lang w:val="en-US" w:eastAsia="zh-CN"/>
        </w:rPr>
        <w:t>联系司法行政</w:t>
      </w:r>
      <w:r>
        <w:rPr>
          <w:rFonts w:hint="eastAsia" w:ascii="仿宋" w:hAnsi="仿宋" w:eastAsia="仿宋" w:cs="仿宋"/>
          <w:sz w:val="32"/>
          <w:szCs w:val="32"/>
        </w:rPr>
        <w:t>工作的</w:t>
      </w:r>
      <w:r>
        <w:rPr>
          <w:rFonts w:hint="eastAsia" w:ascii="仿宋" w:hAnsi="仿宋" w:eastAsia="仿宋" w:cs="仿宋"/>
          <w:sz w:val="32"/>
          <w:szCs w:val="32"/>
          <w:lang w:val="en-US" w:eastAsia="zh-CN"/>
        </w:rPr>
        <w:t>副秘书长</w:t>
      </w:r>
      <w:r>
        <w:rPr>
          <w:rFonts w:hint="eastAsia" w:ascii="仿宋" w:hAnsi="仿宋" w:eastAsia="仿宋" w:cs="仿宋"/>
          <w:sz w:val="32"/>
          <w:szCs w:val="32"/>
        </w:rPr>
        <w:t>、市司法局主要负责人担任。</w:t>
      </w:r>
      <w:r>
        <w:rPr>
          <w:rFonts w:hint="eastAsia" w:ascii="仿宋" w:hAnsi="仿宋" w:eastAsia="仿宋" w:cs="仿宋"/>
          <w:sz w:val="32"/>
          <w:szCs w:val="32"/>
          <w:lang w:val="en-US" w:eastAsia="zh-CN"/>
        </w:rPr>
        <w:t>行政复议委员会办公室主任</w:t>
      </w:r>
      <w:r>
        <w:rPr>
          <w:rFonts w:hint="eastAsia" w:ascii="仿宋" w:hAnsi="仿宋" w:eastAsia="仿宋" w:cs="仿宋"/>
          <w:sz w:val="32"/>
          <w:szCs w:val="32"/>
        </w:rPr>
        <w:t>由市司法局主要负责人兼任</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副主任由市司法局分管负责人担任，办公室成员由行政复议与应诉科、行政执法协调监督科、合法性审查科（政策法规科）、法援中心、律师科、市仲裁委秘书处、办公室等有关科室（单位）同志组成。</w:t>
      </w:r>
      <w:bookmarkStart w:id="0" w:name="_GoBack"/>
      <w:bookmarkEnd w:id="0"/>
    </w:p>
    <w:p w14:paraId="651103EC">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第四条</w:t>
      </w:r>
      <w:r>
        <w:rPr>
          <w:rFonts w:hint="eastAsia" w:ascii="仿宋" w:hAnsi="仿宋" w:eastAsia="仿宋" w:cs="仿宋"/>
          <w:sz w:val="32"/>
          <w:szCs w:val="32"/>
        </w:rPr>
        <w:t>　行政复议委员会的主要职责是：</w:t>
      </w:r>
    </w:p>
    <w:p w14:paraId="72D98A24">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（一）制定行政复议工作制度以及行政复议委员会工作办法等；</w:t>
      </w:r>
    </w:p>
    <w:p w14:paraId="72191995">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（二）听取行政复议年度工作情况报告；</w:t>
      </w:r>
    </w:p>
    <w:p w14:paraId="6C0A52B9">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（三）审议行政复议</w:t>
      </w:r>
      <w:r>
        <w:rPr>
          <w:rFonts w:hint="eastAsia" w:ascii="仿宋" w:hAnsi="仿宋" w:eastAsia="仿宋" w:cs="仿宋"/>
          <w:sz w:val="32"/>
          <w:szCs w:val="32"/>
          <w:lang w:val="en-US" w:eastAsia="zh-CN"/>
        </w:rPr>
        <w:t>与应诉</w:t>
      </w:r>
      <w:r>
        <w:rPr>
          <w:rFonts w:hint="eastAsia" w:ascii="仿宋" w:hAnsi="仿宋" w:eastAsia="仿宋" w:cs="仿宋"/>
          <w:sz w:val="32"/>
          <w:szCs w:val="32"/>
        </w:rPr>
        <w:t>工作中的重大事项、重要改革任务和年度工作计划；</w:t>
      </w:r>
    </w:p>
    <w:p w14:paraId="284A9540">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（四）研究解决行政复议队伍建设、工作质效、政策保障等方面的共性问题；</w:t>
      </w:r>
    </w:p>
    <w:p w14:paraId="42F923C7">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（五）研究部署行政复议专项工作；</w:t>
      </w:r>
    </w:p>
    <w:p w14:paraId="1C269786">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（六）为办理相关行政复议案件提供咨询意见；</w:t>
      </w:r>
    </w:p>
    <w:p w14:paraId="38828B76">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（七）负责行政复议委员会委员任免；</w:t>
      </w:r>
    </w:p>
    <w:p w14:paraId="5E749FC8">
      <w:pPr>
        <w:keepNext w:val="0"/>
        <w:keepLines w:val="0"/>
        <w:pageBreakBefore w:val="0"/>
        <w:widowControl/>
        <w:kinsoku/>
        <w:wordWrap/>
        <w:overflowPunct/>
        <w:topLinePunct w:val="0"/>
        <w:autoSpaceDE/>
        <w:autoSpaceDN/>
        <w:bidi w:val="0"/>
        <w:adjustRightInd/>
        <w:snapToGrid/>
        <w:spacing w:line="520" w:lineRule="exact"/>
        <w:ind w:firstLine="640"/>
        <w:jc w:val="both"/>
        <w:rPr>
          <w:rFonts w:hint="eastAsia" w:ascii="仿宋" w:hAnsi="仿宋" w:eastAsia="仿宋" w:cs="仿宋"/>
          <w:sz w:val="32"/>
          <w:szCs w:val="32"/>
          <w:lang w:eastAsia="zh-CN"/>
        </w:rPr>
      </w:pPr>
      <w:r>
        <w:rPr>
          <w:rFonts w:hint="eastAsia" w:ascii="仿宋" w:hAnsi="仿宋" w:eastAsia="仿宋" w:cs="仿宋"/>
          <w:sz w:val="32"/>
          <w:szCs w:val="32"/>
        </w:rPr>
        <w:t>（八）对全市行政复议与应诉工作开展调研督察</w:t>
      </w:r>
      <w:r>
        <w:rPr>
          <w:rFonts w:hint="eastAsia" w:ascii="仿宋" w:hAnsi="仿宋" w:eastAsia="仿宋" w:cs="仿宋"/>
          <w:sz w:val="32"/>
          <w:szCs w:val="32"/>
          <w:lang w:eastAsia="zh-CN"/>
        </w:rPr>
        <w:t>；</w:t>
      </w:r>
    </w:p>
    <w:p w14:paraId="45AD0DBF">
      <w:pPr>
        <w:keepNext w:val="0"/>
        <w:keepLines w:val="0"/>
        <w:pageBreakBefore w:val="0"/>
        <w:widowControl/>
        <w:kinsoku/>
        <w:wordWrap/>
        <w:overflowPunct/>
        <w:topLinePunct w:val="0"/>
        <w:autoSpaceDE/>
        <w:autoSpaceDN/>
        <w:bidi w:val="0"/>
        <w:adjustRightInd/>
        <w:snapToGrid/>
        <w:spacing w:line="520" w:lineRule="exact"/>
        <w:ind w:firstLine="640"/>
        <w:jc w:val="both"/>
        <w:rPr>
          <w:rFonts w:hint="eastAsia" w:ascii="仿宋" w:hAnsi="仿宋" w:eastAsia="仿宋" w:cs="仿宋"/>
          <w:sz w:val="32"/>
          <w:szCs w:val="32"/>
        </w:rPr>
      </w:pPr>
      <w:r>
        <w:rPr>
          <w:rFonts w:hint="eastAsia" w:ascii="仿宋" w:hAnsi="仿宋" w:eastAsia="仿宋" w:cs="仿宋"/>
          <w:sz w:val="32"/>
          <w:szCs w:val="32"/>
          <w:lang w:val="en-US" w:eastAsia="zh-CN"/>
        </w:rPr>
        <w:t>（九）</w:t>
      </w:r>
      <w:r>
        <w:rPr>
          <w:rFonts w:hint="eastAsia" w:ascii="仿宋" w:hAnsi="仿宋" w:eastAsia="仿宋" w:cs="仿宋"/>
          <w:sz w:val="32"/>
          <w:szCs w:val="32"/>
        </w:rPr>
        <w:t xml:space="preserve">其他由行政复议委员会承担的职责。 </w:t>
      </w:r>
    </w:p>
    <w:p w14:paraId="16AEE844">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eastAsia" w:ascii="仿宋" w:hAnsi="仿宋" w:eastAsia="仿宋" w:cs="仿宋"/>
          <w:sz w:val="32"/>
          <w:szCs w:val="32"/>
        </w:rPr>
        <w:t>　行政复议委员会办公室具体负责行政复议委员会的日常工作。主要职责是：</w:t>
      </w:r>
    </w:p>
    <w:p w14:paraId="6D4DEE92">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（一）起草行政复议委员会工作文件；</w:t>
      </w:r>
    </w:p>
    <w:p w14:paraId="2FC737C3">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（二）负责与行政复议委员会委员以及相关部门之间的日常联系沟通；</w:t>
      </w:r>
    </w:p>
    <w:p w14:paraId="20A7035F">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（三）具体组织办理行政复议委员会委员的提名、选聘等工作；</w:t>
      </w:r>
    </w:p>
    <w:p w14:paraId="6E7A6071">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（四）组织承办行政复议委员会各类会议；</w:t>
      </w:r>
    </w:p>
    <w:p w14:paraId="70070D4E">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（五）定期向行政复议委员会报告有关工作情况；</w:t>
      </w:r>
    </w:p>
    <w:p w14:paraId="0FCE6372">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xml:space="preserve">　　（六）行政复议委员会交办的其他日常工作。 </w:t>
      </w:r>
    </w:p>
    <w:p w14:paraId="139476AA">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六</w:t>
      </w:r>
      <w:r>
        <w:rPr>
          <w:rFonts w:hint="eastAsia" w:ascii="黑体" w:hAnsi="黑体" w:eastAsia="黑体" w:cs="黑体"/>
          <w:sz w:val="32"/>
          <w:szCs w:val="32"/>
        </w:rPr>
        <w:t>条</w:t>
      </w:r>
      <w:r>
        <w:rPr>
          <w:rFonts w:hint="eastAsia" w:ascii="仿宋" w:hAnsi="仿宋" w:eastAsia="仿宋" w:cs="仿宋"/>
          <w:sz w:val="32"/>
          <w:szCs w:val="32"/>
        </w:rPr>
        <w:t>　行政复议委员会由市政府相关部门人员、专家、学者等共同组成，设常任委员和专家委员。</w:t>
      </w:r>
    </w:p>
    <w:p w14:paraId="2002CEEC">
      <w:pPr>
        <w:keepNext w:val="0"/>
        <w:keepLines w:val="0"/>
        <w:pageBreakBefore w:val="0"/>
        <w:widowControl/>
        <w:kinsoku/>
        <w:wordWrap/>
        <w:overflowPunct/>
        <w:topLinePunct w:val="0"/>
        <w:autoSpaceDE/>
        <w:autoSpaceDN/>
        <w:bidi w:val="0"/>
        <w:adjustRightInd/>
        <w:snapToGrid/>
        <w:spacing w:line="520" w:lineRule="exact"/>
        <w:ind w:firstLine="665"/>
        <w:jc w:val="both"/>
        <w:rPr>
          <w:rFonts w:hint="eastAsia" w:ascii="仿宋" w:hAnsi="仿宋" w:eastAsia="仿宋" w:cs="仿宋"/>
          <w:sz w:val="32"/>
          <w:szCs w:val="32"/>
          <w:lang w:val="en-US" w:eastAsia="zh-CN"/>
        </w:rPr>
      </w:pPr>
      <w:r>
        <w:rPr>
          <w:rFonts w:hint="eastAsia" w:ascii="仿宋" w:hAnsi="仿宋" w:eastAsia="仿宋" w:cs="仿宋"/>
          <w:sz w:val="32"/>
          <w:szCs w:val="32"/>
        </w:rPr>
        <w:t>行政复议委员会常任委员</w:t>
      </w:r>
      <w:r>
        <w:rPr>
          <w:rFonts w:hint="eastAsia" w:ascii="仿宋" w:hAnsi="仿宋" w:eastAsia="仿宋" w:cs="仿宋"/>
          <w:sz w:val="32"/>
          <w:szCs w:val="32"/>
          <w:lang w:val="en-US" w:eastAsia="zh-CN"/>
        </w:rPr>
        <w:t>由行政复议委员会办公室</w:t>
      </w:r>
      <w:r>
        <w:rPr>
          <w:rFonts w:hint="eastAsia" w:ascii="仿宋" w:hAnsi="仿宋" w:eastAsia="仿宋" w:cs="仿宋"/>
          <w:sz w:val="32"/>
          <w:szCs w:val="32"/>
        </w:rPr>
        <w:t>在市政府</w:t>
      </w:r>
      <w:r>
        <w:rPr>
          <w:rFonts w:hint="eastAsia" w:ascii="仿宋" w:hAnsi="仿宋" w:eastAsia="仿宋" w:cs="仿宋"/>
          <w:sz w:val="32"/>
          <w:szCs w:val="32"/>
          <w:lang w:val="en-US" w:eastAsia="zh-CN"/>
        </w:rPr>
        <w:t>重点执法部门</w:t>
      </w:r>
      <w:r>
        <w:rPr>
          <w:rFonts w:hint="eastAsia" w:ascii="仿宋" w:hAnsi="仿宋" w:eastAsia="仿宋" w:cs="仿宋"/>
          <w:sz w:val="32"/>
          <w:szCs w:val="32"/>
        </w:rPr>
        <w:t>负责人中提名任命</w:t>
      </w:r>
      <w:r>
        <w:rPr>
          <w:rFonts w:hint="eastAsia" w:ascii="仿宋" w:hAnsi="仿宋" w:eastAsia="仿宋" w:cs="仿宋"/>
          <w:sz w:val="32"/>
          <w:szCs w:val="32"/>
          <w:lang w:eastAsia="zh-CN"/>
        </w:rPr>
        <w:t>。</w:t>
      </w:r>
    </w:p>
    <w:p w14:paraId="5957E5BC">
      <w:pPr>
        <w:keepNext w:val="0"/>
        <w:keepLines w:val="0"/>
        <w:pageBreakBefore w:val="0"/>
        <w:widowControl/>
        <w:kinsoku/>
        <w:wordWrap/>
        <w:overflowPunct/>
        <w:topLinePunct w:val="0"/>
        <w:autoSpaceDE/>
        <w:autoSpaceDN/>
        <w:bidi w:val="0"/>
        <w:adjustRightInd/>
        <w:snapToGrid/>
        <w:spacing w:line="520" w:lineRule="exact"/>
        <w:ind w:firstLine="665"/>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行政复议委员会</w:t>
      </w:r>
      <w:r>
        <w:rPr>
          <w:rFonts w:hint="eastAsia" w:ascii="仿宋" w:hAnsi="仿宋" w:eastAsia="仿宋" w:cs="仿宋"/>
          <w:sz w:val="32"/>
          <w:szCs w:val="32"/>
        </w:rPr>
        <w:t>专家委员从符合条件的专家、学者以及从事过</w:t>
      </w:r>
      <w:r>
        <w:rPr>
          <w:rFonts w:hint="eastAsia" w:ascii="仿宋" w:hAnsi="仿宋" w:eastAsia="仿宋" w:cs="仿宋"/>
          <w:sz w:val="32"/>
          <w:szCs w:val="32"/>
          <w:lang w:val="en-US" w:eastAsia="zh-CN"/>
        </w:rPr>
        <w:t>行政复议与应诉</w:t>
      </w:r>
      <w:r>
        <w:rPr>
          <w:rFonts w:hint="eastAsia" w:ascii="仿宋" w:hAnsi="仿宋" w:eastAsia="仿宋" w:cs="仿宋"/>
          <w:sz w:val="32"/>
          <w:szCs w:val="32"/>
        </w:rPr>
        <w:t>工作的人员等专业人士中选聘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必要</w:t>
      </w:r>
    </w:p>
    <w:p w14:paraId="719E94C8">
      <w:pPr>
        <w:keepNext w:val="0"/>
        <w:keepLines w:val="0"/>
        <w:pageBreakBefore w:val="0"/>
        <w:widowControl/>
        <w:kinsoku/>
        <w:wordWrap/>
        <w:overflowPunct/>
        <w:topLinePunct w:val="0"/>
        <w:autoSpaceDE/>
        <w:autoSpaceDN/>
        <w:bidi w:val="0"/>
        <w:adjustRightInd/>
        <w:snapToGrid/>
        <w:spacing w:line="520" w:lineRule="exact"/>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时可以在市外有影响力的专业人士中选聘。</w:t>
      </w:r>
    </w:p>
    <w:p w14:paraId="7CBFB167">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行政复议委员会常任委员总数一般不超过20人；专家委员总数由</w:t>
      </w:r>
      <w:r>
        <w:rPr>
          <w:rFonts w:hint="eastAsia" w:ascii="仿宋" w:hAnsi="仿宋" w:eastAsia="仿宋" w:cs="仿宋"/>
          <w:sz w:val="32"/>
          <w:szCs w:val="32"/>
          <w:lang w:val="en-US" w:eastAsia="zh-CN"/>
        </w:rPr>
        <w:t>市司法局</w:t>
      </w:r>
      <w:r>
        <w:rPr>
          <w:rFonts w:hint="eastAsia" w:ascii="仿宋" w:hAnsi="仿宋" w:eastAsia="仿宋" w:cs="仿宋"/>
          <w:sz w:val="32"/>
          <w:szCs w:val="32"/>
        </w:rPr>
        <w:t xml:space="preserve">根据本级行政复议工作实际需要确定。 </w:t>
      </w:r>
    </w:p>
    <w:p w14:paraId="7479107F">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rPr>
          <w:rFonts w:hint="eastAsia" w:ascii="仿宋" w:hAnsi="仿宋" w:eastAsia="仿宋" w:cs="仿宋"/>
          <w:sz w:val="32"/>
          <w:szCs w:val="32"/>
        </w:rPr>
      </w:pPr>
      <w:r>
        <w:rPr>
          <w:rFonts w:hint="eastAsia" w:ascii="黑体" w:hAnsi="黑体" w:eastAsia="黑体" w:cs="黑体"/>
          <w:sz w:val="32"/>
          <w:szCs w:val="32"/>
          <w:lang w:val="en-US" w:eastAsia="zh-CN"/>
        </w:rPr>
        <w:t>第七条</w:t>
      </w:r>
      <w:r>
        <w:rPr>
          <w:rFonts w:hint="eastAsia" w:ascii="仿宋" w:hAnsi="仿宋" w:eastAsia="仿宋" w:cs="仿宋"/>
          <w:sz w:val="32"/>
          <w:szCs w:val="32"/>
        </w:rPr>
        <w:t>　行政复议委员会委员人选应当具备如下条件：</w:t>
      </w:r>
    </w:p>
    <w:p w14:paraId="5435C693">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（一）具有中华人民共和国国籍；</w:t>
      </w:r>
    </w:p>
    <w:p w14:paraId="7C7B77F2">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（二）坚持中国共产党领导，拥护党的路线、方针、政策，忠于宪法和法律；</w:t>
      </w:r>
    </w:p>
    <w:p w14:paraId="1F4A0DE0">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（三）具有与履行委员职责相适应的专业知识、工作能力以及身体条件；</w:t>
      </w:r>
    </w:p>
    <w:p w14:paraId="37CE8D61">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（四）具有良好的职业操守，品行良好；</w:t>
      </w:r>
    </w:p>
    <w:p w14:paraId="785874F4">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（五）其他应当具备的条件。</w:t>
      </w:r>
    </w:p>
    <w:p w14:paraId="3EA01D5F">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xml:space="preserve">　　行政复议委员会中的专家委员，还应当在相关专业领域有较强影响力，或者在行政执法、行政复议和行政审判领域有一定理论研究水平和实务经验。 </w:t>
      </w:r>
    </w:p>
    <w:p w14:paraId="78C90EE9">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　第</w:t>
      </w:r>
      <w:r>
        <w:rPr>
          <w:rFonts w:hint="eastAsia" w:ascii="黑体" w:hAnsi="黑体" w:eastAsia="黑体" w:cs="黑体"/>
          <w:sz w:val="32"/>
          <w:szCs w:val="32"/>
          <w:lang w:val="en-US" w:eastAsia="zh-CN"/>
        </w:rPr>
        <w:t>八</w:t>
      </w:r>
      <w:r>
        <w:rPr>
          <w:rFonts w:hint="eastAsia" w:ascii="黑体" w:hAnsi="黑体" w:eastAsia="黑体" w:cs="黑体"/>
          <w:sz w:val="32"/>
          <w:szCs w:val="32"/>
        </w:rPr>
        <w:t>条</w:t>
      </w:r>
      <w:r>
        <w:rPr>
          <w:rFonts w:hint="eastAsia" w:ascii="仿宋" w:hAnsi="仿宋" w:eastAsia="仿宋" w:cs="仿宋"/>
          <w:sz w:val="32"/>
          <w:szCs w:val="32"/>
        </w:rPr>
        <w:t>　行政复议委员会常任委员通过提名任命方式产生：</w:t>
      </w:r>
    </w:p>
    <w:p w14:paraId="2E8F3090">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（一）行政复议委员会办公室商请本级人民政府相关工作部门报送提名常任委员人选；</w:t>
      </w:r>
    </w:p>
    <w:p w14:paraId="3C1CFBD3">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（二）行政复议委员会办公室组织对提名常任委员人选进行审查，提出拟提名任命常任委员建议名单；</w:t>
      </w:r>
    </w:p>
    <w:p w14:paraId="0E465B72">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xml:space="preserve">　　（三）经本级人民政府批准后，由行政复议委员会颁发任命书。 </w:t>
      </w:r>
    </w:p>
    <w:p w14:paraId="330B35CF">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w:t>
      </w:r>
      <w:r>
        <w:rPr>
          <w:rFonts w:hint="eastAsia" w:ascii="黑体" w:hAnsi="黑体" w:eastAsia="黑体" w:cs="黑体"/>
          <w:sz w:val="32"/>
          <w:szCs w:val="32"/>
          <w:lang w:val="en-US" w:eastAsia="zh-CN"/>
        </w:rPr>
        <w:t>九</w:t>
      </w:r>
      <w:r>
        <w:rPr>
          <w:rFonts w:hint="eastAsia" w:ascii="黑体" w:hAnsi="黑体" w:eastAsia="黑体" w:cs="黑体"/>
          <w:sz w:val="32"/>
          <w:szCs w:val="32"/>
        </w:rPr>
        <w:t>条</w:t>
      </w:r>
      <w:r>
        <w:rPr>
          <w:rFonts w:hint="eastAsia" w:ascii="仿宋" w:hAnsi="仿宋" w:eastAsia="仿宋" w:cs="仿宋"/>
          <w:sz w:val="32"/>
          <w:szCs w:val="32"/>
        </w:rPr>
        <w:t>　行政复议委员会专家委员按照下列程序选聘：</w:t>
      </w:r>
    </w:p>
    <w:p w14:paraId="799DC7D4">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（一）行政复议委员会办公室商请相关政府工作部门、单位以及高等院校、科研机构、社会组织、律师事务所等机构报送推荐专家委员人选；</w:t>
      </w:r>
    </w:p>
    <w:p w14:paraId="7241AAE9">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（二）行政复议委员会办公室组织力量对推荐专家委员人选进行评选、审查，提出拟选聘专家委员名单，经本级人民政府批准后，由行政复议委员会颁发聘书。</w:t>
      </w:r>
    </w:p>
    <w:p w14:paraId="2AF307E8">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xml:space="preserve">　　专家委员聘期一般与本届行政复议委员会任期相同。 </w:t>
      </w:r>
    </w:p>
    <w:p w14:paraId="128DE555">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第十条</w:t>
      </w:r>
      <w:r>
        <w:rPr>
          <w:rFonts w:hint="eastAsia" w:ascii="仿宋" w:hAnsi="仿宋" w:eastAsia="仿宋" w:cs="仿宋"/>
          <w:sz w:val="32"/>
          <w:szCs w:val="32"/>
        </w:rPr>
        <w:t>　行政复议委员会委员享有以下权利：</w:t>
      </w:r>
    </w:p>
    <w:p w14:paraId="58675CFA">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（一）查阅相关案件材料；</w:t>
      </w:r>
    </w:p>
    <w:p w14:paraId="59637153">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（二）了解拟提请研究的重大事项和共性问题的相关情况；</w:t>
      </w:r>
    </w:p>
    <w:p w14:paraId="00BBEA24">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（三）对相关行政复议案件发表咨询意见，就有关事项提出意见建议；</w:t>
      </w:r>
    </w:p>
    <w:p w14:paraId="15384353">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（四）列席相关案件的听证会等，参加案件调解；</w:t>
      </w:r>
    </w:p>
    <w:p w14:paraId="6AF14893">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xml:space="preserve">　　（五）参加行政复议工作相关调研、座谈、课题研究等。 </w:t>
      </w:r>
    </w:p>
    <w:p w14:paraId="71367810">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第十</w:t>
      </w:r>
      <w:r>
        <w:rPr>
          <w:rFonts w:hint="eastAsia" w:ascii="黑体" w:hAnsi="黑体" w:eastAsia="黑体" w:cs="黑体"/>
          <w:sz w:val="32"/>
          <w:szCs w:val="32"/>
          <w:lang w:val="en-US" w:eastAsia="zh-CN"/>
        </w:rPr>
        <w:t>一</w:t>
      </w:r>
      <w:r>
        <w:rPr>
          <w:rFonts w:hint="eastAsia" w:ascii="黑体" w:hAnsi="黑体" w:eastAsia="黑体" w:cs="黑体"/>
          <w:sz w:val="32"/>
          <w:szCs w:val="32"/>
        </w:rPr>
        <w:t>条　</w:t>
      </w:r>
      <w:r>
        <w:rPr>
          <w:rFonts w:hint="eastAsia" w:ascii="仿宋" w:hAnsi="仿宋" w:eastAsia="仿宋" w:cs="仿宋"/>
          <w:sz w:val="32"/>
          <w:szCs w:val="32"/>
        </w:rPr>
        <w:t>行政复议委员会委员应当履行以下义务：</w:t>
      </w:r>
    </w:p>
    <w:p w14:paraId="1F564E33">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（一）遵守保密规定，不得泄露未经公开的案件情况以及国家秘密、商业秘密、工作秘密和个人隐私等；</w:t>
      </w:r>
    </w:p>
    <w:p w14:paraId="74331914">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（二）遵守工作纪律，不得利用获悉的案件信息或者工作之便谋取不正当利益；</w:t>
      </w:r>
    </w:p>
    <w:p w14:paraId="5CE1173D">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（三）遵守办案规定，不得私下会见案件当事人、代理人；</w:t>
      </w:r>
    </w:p>
    <w:p w14:paraId="32B77FDB">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（四）客观公正履行职责，不得徇私舞弊或者干预、干扰、阻碍行政复议案件办理；</w:t>
      </w:r>
    </w:p>
    <w:p w14:paraId="4935F942">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xml:space="preserve">　　（五）不得利用委员身份从事与行政复议委员会工作任务无关的活动。 </w:t>
      </w:r>
    </w:p>
    <w:p w14:paraId="758EAB16">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　第十</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r>
        <w:rPr>
          <w:rFonts w:hint="eastAsia" w:ascii="仿宋" w:hAnsi="仿宋" w:eastAsia="仿宋" w:cs="仿宋"/>
          <w:sz w:val="32"/>
          <w:szCs w:val="32"/>
        </w:rPr>
        <w:t>　行政复议委员会委员有如下情形的，予以免除、调整或者解聘：</w:t>
      </w:r>
    </w:p>
    <w:p w14:paraId="2E115D76">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（一）未遵守保密规定，泄露案件信息、国家秘密、商业秘密、工作秘密和个人隐私的；</w:t>
      </w:r>
    </w:p>
    <w:p w14:paraId="2E22C79D">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（二）违反工作纪律，利用获悉的案件信息或者工作之便谋取不正当利益的；</w:t>
      </w:r>
    </w:p>
    <w:p w14:paraId="0EE6C482">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（三）未遵守办案规定，或者利用委员身份从事与行政复议委员会工作任务无关的活动，造成恶劣影响的；</w:t>
      </w:r>
    </w:p>
    <w:p w14:paraId="76947F1C">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（四）任职期间受到党纪政务处分、刑事处罚的；</w:t>
      </w:r>
    </w:p>
    <w:p w14:paraId="6E146C10">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（五）因身体健康、年龄、工作调整等原因无法胜任委员工作的；</w:t>
      </w:r>
    </w:p>
    <w:p w14:paraId="5DE99261">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（六）其他应当予以免除、调整或者解聘的情形。</w:t>
      </w:r>
    </w:p>
    <w:p w14:paraId="34EDAC1E">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xml:space="preserve">　　行政复议委员会委员免除、调整或者解聘后，行政复议委员会可以根据工作需要，依照相应程序重新提名任命或者选聘有关委员人选。 </w:t>
      </w:r>
    </w:p>
    <w:p w14:paraId="1769F608">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第十</w:t>
      </w:r>
      <w:r>
        <w:rPr>
          <w:rFonts w:hint="eastAsia" w:ascii="黑体" w:hAnsi="黑体" w:eastAsia="黑体" w:cs="黑体"/>
          <w:sz w:val="32"/>
          <w:szCs w:val="32"/>
          <w:lang w:val="en-US" w:eastAsia="zh-CN"/>
        </w:rPr>
        <w:t>三</w:t>
      </w:r>
      <w:r>
        <w:rPr>
          <w:rFonts w:hint="eastAsia" w:ascii="黑体" w:hAnsi="黑体" w:eastAsia="黑体" w:cs="黑体"/>
          <w:sz w:val="32"/>
          <w:szCs w:val="32"/>
        </w:rPr>
        <w:t>条</w:t>
      </w:r>
      <w:r>
        <w:rPr>
          <w:rFonts w:hint="eastAsia" w:ascii="仿宋" w:hAnsi="仿宋" w:eastAsia="仿宋" w:cs="仿宋"/>
          <w:sz w:val="32"/>
          <w:szCs w:val="32"/>
        </w:rPr>
        <w:t xml:space="preserve">　行政复议委员会通过召开行政复议委员会全体会议、行政复议委员会专题会议、行政复议委员会案件咨询会议等方式开展工作，履行相关职责。 </w:t>
      </w:r>
    </w:p>
    <w:p w14:paraId="6AA79AD8">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　第十</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eastAsia" w:ascii="仿宋" w:hAnsi="仿宋" w:eastAsia="仿宋" w:cs="仿宋"/>
          <w:sz w:val="32"/>
          <w:szCs w:val="32"/>
        </w:rPr>
        <w:t>　行政复议委员会全体会议主要职责是制定行政复议工作制度以及行政复议委员会工作办法等，审议行政复议工作中的重大事项、重要改革任务和年度工作计划，审议行政复议年度工作情况报告等。</w:t>
      </w:r>
    </w:p>
    <w:p w14:paraId="1ABCACF1">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xml:space="preserve">　　行政复议委员会全体会议由行政复议委员会主任召集，应当有三分之二以上行政复议委员会委员出席，原则上每年至少召开一次。 </w:t>
      </w:r>
    </w:p>
    <w:p w14:paraId="593F4CC9">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第十</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eastAsia" w:ascii="仿宋" w:hAnsi="仿宋" w:eastAsia="仿宋" w:cs="仿宋"/>
          <w:sz w:val="32"/>
          <w:szCs w:val="32"/>
        </w:rPr>
        <w:t>　行政复议委员会专题会议主要职责是研究部署行政复议专项工作，研究解决市政府行政复议工作中的共性问题等。</w:t>
      </w:r>
    </w:p>
    <w:p w14:paraId="4CD6D76F">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xml:space="preserve">　　行政复议委员会专题会议由行政复议委员会主任或者副主任召集，原则上由常任委员出席，根据议题研究需要可以邀请有关专家委员出席。行政复议委员会专题会议根据工作需要不定期召开。 </w:t>
      </w:r>
    </w:p>
    <w:p w14:paraId="47A8BAA6">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　第十</w:t>
      </w:r>
      <w:r>
        <w:rPr>
          <w:rFonts w:hint="eastAsia" w:ascii="黑体" w:hAnsi="黑体" w:eastAsia="黑体" w:cs="黑体"/>
          <w:sz w:val="32"/>
          <w:szCs w:val="32"/>
          <w:lang w:val="en-US" w:eastAsia="zh-CN"/>
        </w:rPr>
        <w:t>六</w:t>
      </w:r>
      <w:r>
        <w:rPr>
          <w:rFonts w:hint="eastAsia" w:ascii="黑体" w:hAnsi="黑体" w:eastAsia="黑体" w:cs="黑体"/>
          <w:sz w:val="32"/>
          <w:szCs w:val="32"/>
        </w:rPr>
        <w:t>条</w:t>
      </w:r>
      <w:r>
        <w:rPr>
          <w:rFonts w:hint="eastAsia" w:ascii="仿宋" w:hAnsi="仿宋" w:eastAsia="仿宋" w:cs="仿宋"/>
          <w:sz w:val="32"/>
          <w:szCs w:val="32"/>
        </w:rPr>
        <w:t>　行政复议委员会全体会议、行政复议委员会专题会议审议相关事项时，实行民主集中制原则，对少数不同意见，应当鼓励委员发表，并如实记录在案。</w:t>
      </w:r>
    </w:p>
    <w:p w14:paraId="564698D7">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会议结束后，应当就审议通过和研究确定的事项制作会议纪要或者工作通报等，以行政复议委员会文件</w:t>
      </w:r>
      <w:r>
        <w:rPr>
          <w:rFonts w:hint="eastAsia" w:ascii="仿宋" w:hAnsi="仿宋" w:eastAsia="仿宋" w:cs="仿宋"/>
          <w:sz w:val="32"/>
          <w:szCs w:val="32"/>
          <w:lang w:val="en-US" w:eastAsia="zh-CN"/>
        </w:rPr>
        <w:t>或者行政复议委员会办公室</w:t>
      </w:r>
      <w:r>
        <w:rPr>
          <w:rFonts w:hint="eastAsia" w:ascii="仿宋" w:hAnsi="仿宋" w:eastAsia="仿宋" w:cs="仿宋"/>
          <w:sz w:val="32"/>
          <w:szCs w:val="32"/>
        </w:rPr>
        <w:t xml:space="preserve">形式印发。 </w:t>
      </w:r>
    </w:p>
    <w:p w14:paraId="639127F0">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第十七条</w:t>
      </w:r>
      <w:r>
        <w:rPr>
          <w:rFonts w:hint="eastAsia" w:ascii="仿宋" w:hAnsi="仿宋" w:eastAsia="仿宋" w:cs="仿宋"/>
          <w:sz w:val="32"/>
          <w:szCs w:val="32"/>
        </w:rPr>
        <w:t>　行政复议委员会应当建立相应的工作文件和管理制度，</w:t>
      </w:r>
      <w:r>
        <w:rPr>
          <w:rFonts w:hint="eastAsia" w:ascii="仿宋" w:hAnsi="仿宋" w:eastAsia="仿宋" w:cs="仿宋"/>
          <w:sz w:val="32"/>
          <w:szCs w:val="32"/>
          <w:lang w:val="en-US" w:eastAsia="zh-CN"/>
        </w:rPr>
        <w:t>对外可以使用“六安市人民政府行政复议专用章”，应</w:t>
      </w:r>
      <w:r>
        <w:rPr>
          <w:rFonts w:hint="eastAsia" w:ascii="仿宋" w:hAnsi="仿宋" w:eastAsia="仿宋" w:cs="仿宋"/>
          <w:sz w:val="32"/>
          <w:szCs w:val="32"/>
        </w:rPr>
        <w:t xml:space="preserve">规范行政复议委员会工作文件签发和印章使用。 </w:t>
      </w:r>
    </w:p>
    <w:p w14:paraId="7634B15C">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第十八条</w:t>
      </w:r>
      <w:r>
        <w:rPr>
          <w:rFonts w:hint="eastAsia" w:ascii="仿宋" w:hAnsi="仿宋" w:eastAsia="仿宋" w:cs="仿宋"/>
          <w:sz w:val="32"/>
          <w:szCs w:val="32"/>
        </w:rPr>
        <w:t>　行政复议委员会案件咨询会议主要职责是就相关行政复议案件提出咨询意见。</w:t>
      </w:r>
    </w:p>
    <w:p w14:paraId="274A24CB">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xml:space="preserve">　　行政复议委员会案件咨询会议由行政复议委员会办公室召集，邀请3名以上人数为单数的专家委员出席，根据工作需要可邀请熟悉案件涉及领域的常任委员出席。行政复议委员会案件咨询会议根据工作需要及时召开。 </w:t>
      </w:r>
    </w:p>
    <w:p w14:paraId="0E216EF4">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第十九条</w:t>
      </w:r>
      <w:r>
        <w:rPr>
          <w:rFonts w:hint="eastAsia" w:ascii="仿宋" w:hAnsi="仿宋" w:eastAsia="仿宋" w:cs="仿宋"/>
          <w:sz w:val="32"/>
          <w:szCs w:val="32"/>
        </w:rPr>
        <w:t>　办理涉及下列情形之一的行政复议案件时，行政复议委员会办公室应当组织召开行政复议案件咨询会议：</w:t>
      </w:r>
    </w:p>
    <w:p w14:paraId="7AE7579F">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（一）案情重大、疑难、复杂；</w:t>
      </w:r>
    </w:p>
    <w:p w14:paraId="5404AE63">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（二）专业性、技术性较强；</w:t>
      </w:r>
    </w:p>
    <w:p w14:paraId="0B9D0427">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xml:space="preserve">　　（三）涉及重大公共利益等行政复议机构认为有必要的情形。 </w:t>
      </w:r>
    </w:p>
    <w:p w14:paraId="0E117743">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第二十条</w:t>
      </w:r>
      <w:r>
        <w:rPr>
          <w:rFonts w:hint="eastAsia" w:ascii="仿宋" w:hAnsi="仿宋" w:eastAsia="仿宋" w:cs="仿宋"/>
          <w:sz w:val="32"/>
          <w:szCs w:val="32"/>
        </w:rPr>
        <w:t>　召开行政复议委员会案件咨询会议前，行政复议委员会办公室应当确定拟邀请出席会议的委员名单，拟定会议时间、地点、议程等，并书面或者电子送达方式通知相关委员。</w:t>
      </w:r>
    </w:p>
    <w:p w14:paraId="3868F415">
      <w:pPr>
        <w:keepNext w:val="0"/>
        <w:keepLines w:val="0"/>
        <w:pageBreakBefore w:val="0"/>
        <w:widowControl/>
        <w:kinsoku/>
        <w:wordWrap/>
        <w:overflowPunct/>
        <w:topLinePunct w:val="0"/>
        <w:autoSpaceDE/>
        <w:autoSpaceDN/>
        <w:bidi w:val="0"/>
        <w:adjustRightInd/>
        <w:snapToGrid/>
        <w:spacing w:line="520" w:lineRule="exact"/>
        <w:jc w:val="both"/>
        <w:rPr>
          <w:rFonts w:hint="default" w:ascii="仿宋" w:hAnsi="仿宋" w:eastAsia="仿宋" w:cs="仿宋"/>
          <w:sz w:val="32"/>
          <w:szCs w:val="32"/>
          <w:lang w:val="en-US" w:eastAsia="zh-CN"/>
        </w:rPr>
      </w:pPr>
      <w:r>
        <w:rPr>
          <w:rFonts w:hint="eastAsia" w:ascii="仿宋" w:hAnsi="仿宋" w:eastAsia="仿宋" w:cs="仿宋"/>
          <w:sz w:val="32"/>
          <w:szCs w:val="32"/>
        </w:rPr>
        <w:t>　　行政复议机构</w:t>
      </w:r>
      <w:r>
        <w:rPr>
          <w:rFonts w:hint="eastAsia" w:ascii="仿宋" w:hAnsi="仿宋" w:eastAsia="仿宋" w:cs="仿宋"/>
          <w:sz w:val="32"/>
          <w:szCs w:val="32"/>
          <w:lang w:val="en-US" w:eastAsia="zh-CN"/>
        </w:rPr>
        <w:t>一般</w:t>
      </w:r>
      <w:r>
        <w:rPr>
          <w:rFonts w:hint="eastAsia" w:ascii="仿宋" w:hAnsi="仿宋" w:eastAsia="仿宋" w:cs="仿宋"/>
          <w:sz w:val="32"/>
          <w:szCs w:val="32"/>
        </w:rPr>
        <w:t>应当至少在会议召开3日前向拟出席的委员提供相关案件事实、争议焦点、拟咨询的主要问题等书面材料，便于委员准备相关咨询意见。</w:t>
      </w:r>
    </w:p>
    <w:p w14:paraId="3E0E38C3">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第二十</w:t>
      </w:r>
      <w:r>
        <w:rPr>
          <w:rFonts w:hint="eastAsia" w:ascii="黑体" w:hAnsi="黑体" w:eastAsia="黑体" w:cs="黑体"/>
          <w:sz w:val="32"/>
          <w:szCs w:val="32"/>
          <w:lang w:val="en-US" w:eastAsia="zh-CN"/>
        </w:rPr>
        <w:t>一</w:t>
      </w:r>
      <w:r>
        <w:rPr>
          <w:rFonts w:hint="eastAsia" w:ascii="黑体" w:hAnsi="黑体" w:eastAsia="黑体" w:cs="黑体"/>
          <w:sz w:val="32"/>
          <w:szCs w:val="32"/>
        </w:rPr>
        <w:t>条</w:t>
      </w:r>
      <w:r>
        <w:rPr>
          <w:rFonts w:hint="eastAsia" w:ascii="仿宋" w:hAnsi="仿宋" w:eastAsia="仿宋" w:cs="仿宋"/>
          <w:sz w:val="32"/>
          <w:szCs w:val="32"/>
        </w:rPr>
        <w:t>　召开行政复议委员会案件咨询会议时，出席的委员可以提供书面意见，也可以现场发表咨询意见。</w:t>
      </w:r>
    </w:p>
    <w:p w14:paraId="066E6545">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行政复议委员会办公室应当客观、如实记录委员发表的咨询意见，并综合形成行政复议委员会咨询意见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会议结束后，应交由参会委员签字确认</w:t>
      </w:r>
      <w:r>
        <w:rPr>
          <w:rFonts w:hint="eastAsia" w:ascii="仿宋" w:hAnsi="仿宋" w:eastAsia="仿宋" w:cs="仿宋"/>
          <w:sz w:val="32"/>
          <w:szCs w:val="32"/>
        </w:rPr>
        <w:t>。</w:t>
      </w:r>
    </w:p>
    <w:p w14:paraId="082DE816">
      <w:pPr>
        <w:keepNext w:val="0"/>
        <w:keepLines w:val="0"/>
        <w:pageBreakBefore w:val="0"/>
        <w:widowControl/>
        <w:kinsoku/>
        <w:wordWrap/>
        <w:overflowPunct/>
        <w:topLinePunct w:val="0"/>
        <w:autoSpaceDE/>
        <w:autoSpaceDN/>
        <w:bidi w:val="0"/>
        <w:adjustRightInd/>
        <w:snapToGrid/>
        <w:spacing w:line="520" w:lineRule="exact"/>
        <w:ind w:firstLine="665"/>
        <w:jc w:val="both"/>
        <w:rPr>
          <w:rFonts w:hint="eastAsia" w:ascii="仿宋" w:hAnsi="仿宋" w:eastAsia="仿宋" w:cs="仿宋"/>
          <w:sz w:val="32"/>
          <w:szCs w:val="32"/>
        </w:rPr>
      </w:pPr>
      <w:r>
        <w:rPr>
          <w:rFonts w:hint="eastAsia" w:ascii="仿宋" w:hAnsi="仿宋" w:eastAsia="仿宋" w:cs="仿宋"/>
          <w:sz w:val="32"/>
          <w:szCs w:val="32"/>
        </w:rPr>
        <w:t xml:space="preserve">委员发表的咨询意见不一致，需要采取票决方式确定的，通过票决方式确定形成行政复议委员会咨询意见。 </w:t>
      </w:r>
    </w:p>
    <w:p w14:paraId="03B555B0">
      <w:pPr>
        <w:keepNext w:val="0"/>
        <w:keepLines w:val="0"/>
        <w:pageBreakBefore w:val="0"/>
        <w:widowControl/>
        <w:kinsoku/>
        <w:wordWrap/>
        <w:overflowPunct/>
        <w:topLinePunct w:val="0"/>
        <w:autoSpaceDE/>
        <w:autoSpaceDN/>
        <w:bidi w:val="0"/>
        <w:adjustRightInd/>
        <w:snapToGrid/>
        <w:spacing w:line="520" w:lineRule="exact"/>
        <w:ind w:firstLine="665"/>
        <w:jc w:val="both"/>
        <w:rPr>
          <w:rFonts w:hint="eastAsia" w:ascii="仿宋" w:hAnsi="仿宋" w:eastAsia="仿宋" w:cs="仿宋"/>
          <w:sz w:val="32"/>
          <w:szCs w:val="32"/>
        </w:rPr>
      </w:pPr>
      <w:r>
        <w:rPr>
          <w:rFonts w:hint="eastAsia" w:ascii="仿宋" w:hAnsi="仿宋" w:eastAsia="仿宋" w:cs="仿宋"/>
          <w:sz w:val="32"/>
          <w:szCs w:val="32"/>
        </w:rPr>
        <w:t>行政复议</w:t>
      </w:r>
      <w:r>
        <w:rPr>
          <w:rFonts w:hint="eastAsia" w:ascii="仿宋" w:hAnsi="仿宋" w:eastAsia="仿宋" w:cs="仿宋"/>
          <w:sz w:val="32"/>
          <w:szCs w:val="32"/>
          <w:lang w:val="en-US" w:eastAsia="zh-CN"/>
        </w:rPr>
        <w:t>委员会</w:t>
      </w:r>
      <w:r>
        <w:rPr>
          <w:rFonts w:hint="eastAsia" w:ascii="仿宋" w:hAnsi="仿宋" w:eastAsia="仿宋" w:cs="仿宋"/>
          <w:sz w:val="32"/>
          <w:szCs w:val="32"/>
        </w:rPr>
        <w:t>办公室负责汇报案件情况，各成员充分发表个人意见，最后由会议主持人进行归纳，形成案件讨论结论。</w:t>
      </w:r>
    </w:p>
    <w:p w14:paraId="15F94D1E">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第二十</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r>
        <w:rPr>
          <w:rFonts w:hint="eastAsia" w:ascii="仿宋" w:hAnsi="仿宋" w:eastAsia="仿宋" w:cs="仿宋"/>
          <w:sz w:val="32"/>
          <w:szCs w:val="32"/>
        </w:rPr>
        <w:t>　提请行政复议委员会提出咨询意见的行政复议案件，行政复议机关应当将行政复议委员会咨询意见作为作出行政复议决定的重要参考依据。</w:t>
      </w:r>
    </w:p>
    <w:p w14:paraId="6F78BAA6">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xml:space="preserve">　　报请签发行政复议决定时，应当附具行政复议委员会咨询意见，并对行政复议委员会咨询意见的采纳情况作出说明。不予采纳行政复议委员会咨询意见的，应当说明理由。 </w:t>
      </w:r>
    </w:p>
    <w:p w14:paraId="2BB63900">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第二十</w:t>
      </w:r>
      <w:r>
        <w:rPr>
          <w:rFonts w:hint="eastAsia" w:ascii="黑体" w:hAnsi="黑体" w:eastAsia="黑体" w:cs="黑体"/>
          <w:sz w:val="32"/>
          <w:szCs w:val="32"/>
          <w:lang w:val="en-US" w:eastAsia="zh-CN"/>
        </w:rPr>
        <w:t>三</w:t>
      </w:r>
      <w:r>
        <w:rPr>
          <w:rFonts w:hint="eastAsia" w:ascii="黑体" w:hAnsi="黑体" w:eastAsia="黑体" w:cs="黑体"/>
          <w:sz w:val="32"/>
          <w:szCs w:val="32"/>
        </w:rPr>
        <w:t>条</w:t>
      </w:r>
      <w:r>
        <w:rPr>
          <w:rFonts w:hint="eastAsia" w:ascii="仿宋" w:hAnsi="仿宋" w:eastAsia="仿宋" w:cs="仿宋"/>
          <w:sz w:val="32"/>
          <w:szCs w:val="32"/>
        </w:rPr>
        <w:t>　拟出席行政复议委员会案件咨询会议的委员有如下情形的，应当向行政复议委员会办公室提出回避申请：</w:t>
      </w:r>
    </w:p>
    <w:p w14:paraId="5003DB02">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（一）是案件当事人或者当事人、代理人的近亲属；</w:t>
      </w:r>
    </w:p>
    <w:p w14:paraId="52F8DA3B">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（二）担任过案件代理人、证人、鉴定人；</w:t>
      </w:r>
    </w:p>
    <w:p w14:paraId="6CB954F9">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（三）与案件存在其他利害关系，可能影响公正履行职责。</w:t>
      </w:r>
    </w:p>
    <w:p w14:paraId="6E3ADB82">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xml:space="preserve">　　行政复议委员会办公室发现出席行政复议委员会案件咨询会议的委员有上述情形之一的，应当要求其回避或者确定咨询意见无效。 </w:t>
      </w:r>
    </w:p>
    <w:p w14:paraId="71414F94">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第二十</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eastAsia" w:ascii="仿宋" w:hAnsi="仿宋" w:eastAsia="仿宋" w:cs="仿宋"/>
          <w:sz w:val="32"/>
          <w:szCs w:val="32"/>
        </w:rPr>
        <w:t>　委员出席行政复议委员会相关会议时，应当根据会议要求就审议事项以及相关案件的事实认定、法律适用、决定作出等发表明确意见。</w:t>
      </w:r>
    </w:p>
    <w:p w14:paraId="11392251">
      <w:pPr>
        <w:keepNext w:val="0"/>
        <w:keepLines w:val="0"/>
        <w:pageBreakBefore w:val="0"/>
        <w:widowControl/>
        <w:kinsoku/>
        <w:wordWrap/>
        <w:overflowPunct/>
        <w:topLinePunct w:val="0"/>
        <w:autoSpaceDE/>
        <w:autoSpaceDN/>
        <w:bidi w:val="0"/>
        <w:adjustRightInd/>
        <w:snapToGrid/>
        <w:spacing w:line="520" w:lineRule="exact"/>
        <w:ind w:firstLine="640"/>
        <w:jc w:val="both"/>
        <w:rPr>
          <w:rFonts w:hint="eastAsia" w:ascii="仿宋" w:hAnsi="仿宋" w:eastAsia="仿宋" w:cs="仿宋"/>
          <w:sz w:val="32"/>
          <w:szCs w:val="32"/>
        </w:rPr>
      </w:pPr>
      <w:r>
        <w:rPr>
          <w:rFonts w:hint="eastAsia" w:ascii="仿宋" w:hAnsi="仿宋" w:eastAsia="仿宋" w:cs="仿宋"/>
          <w:sz w:val="32"/>
          <w:szCs w:val="32"/>
        </w:rPr>
        <w:t>委员应当积极履责，无正当理由不得请假、缺席，确需请假的应当履行书面请假手续，并提供书面咨询意见。</w:t>
      </w:r>
    </w:p>
    <w:p w14:paraId="58FAF9B7">
      <w:pPr>
        <w:keepNext w:val="0"/>
        <w:keepLines w:val="0"/>
        <w:pageBreakBefore w:val="0"/>
        <w:widowControl/>
        <w:kinsoku/>
        <w:wordWrap/>
        <w:overflowPunct/>
        <w:topLinePunct w:val="0"/>
        <w:autoSpaceDE/>
        <w:autoSpaceDN/>
        <w:bidi w:val="0"/>
        <w:adjustRightInd/>
        <w:snapToGrid/>
        <w:spacing w:line="520" w:lineRule="exact"/>
        <w:ind w:firstLine="640"/>
        <w:jc w:val="both"/>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 xml:space="preserve">第二十五条 </w:t>
      </w:r>
      <w:r>
        <w:rPr>
          <w:rFonts w:hint="eastAsia" w:ascii="仿宋" w:hAnsi="仿宋" w:eastAsia="仿宋" w:cs="仿宋"/>
          <w:sz w:val="32"/>
          <w:szCs w:val="32"/>
          <w:lang w:val="en-US" w:eastAsia="zh-CN"/>
        </w:rPr>
        <w:t>行政复议委员会专家委员参与案件咨询、调解，可以按照有关规定获取一定的咨询论证费用。</w:t>
      </w:r>
    </w:p>
    <w:p w14:paraId="0F112ABF">
      <w:pPr>
        <w:keepNext w:val="0"/>
        <w:keepLines w:val="0"/>
        <w:pageBreakBefore w:val="0"/>
        <w:widowControl/>
        <w:kinsoku/>
        <w:wordWrap/>
        <w:overflowPunct/>
        <w:topLinePunct w:val="0"/>
        <w:autoSpaceDE/>
        <w:autoSpaceDN/>
        <w:bidi w:val="0"/>
        <w:adjustRightInd/>
        <w:snapToGrid/>
        <w:spacing w:line="520" w:lineRule="exact"/>
        <w:ind w:firstLine="640"/>
        <w:jc w:val="both"/>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 xml:space="preserve">第二十六条 </w:t>
      </w:r>
      <w:r>
        <w:rPr>
          <w:rFonts w:hint="default" w:ascii="仿宋" w:hAnsi="仿宋" w:eastAsia="仿宋" w:cs="仿宋"/>
          <w:sz w:val="32"/>
          <w:szCs w:val="32"/>
          <w:lang w:val="en-US" w:eastAsia="zh-CN"/>
        </w:rPr>
        <w:t>本规则自印发之日起施行</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县区人民政府行政复议委员会委员的</w:t>
      </w:r>
      <w:r>
        <w:rPr>
          <w:rFonts w:hint="eastAsia" w:ascii="仿宋" w:hAnsi="仿宋" w:eastAsia="仿宋" w:cs="仿宋"/>
          <w:sz w:val="32"/>
          <w:szCs w:val="32"/>
          <w:lang w:val="en-US" w:eastAsia="zh-CN"/>
        </w:rPr>
        <w:t>管理可以参照执行</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本规定与上级有关文件不一致的，按照上级文件执行</w:t>
      </w:r>
      <w:r>
        <w:rPr>
          <w:rFonts w:hint="default" w:ascii="仿宋" w:hAnsi="仿宋" w:eastAsia="仿宋" w:cs="仿宋"/>
          <w:sz w:val="32"/>
          <w:szCs w:val="32"/>
          <w:lang w:val="en-US"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58CD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B4BFA2">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B4BFA2">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597414"/>
    <w:rsid w:val="007958E0"/>
    <w:rsid w:val="01350605"/>
    <w:rsid w:val="024C492F"/>
    <w:rsid w:val="03C32D8A"/>
    <w:rsid w:val="071C5217"/>
    <w:rsid w:val="0B2B77D7"/>
    <w:rsid w:val="10DE353E"/>
    <w:rsid w:val="11987B90"/>
    <w:rsid w:val="12323B41"/>
    <w:rsid w:val="124E2606"/>
    <w:rsid w:val="1303728B"/>
    <w:rsid w:val="139445AA"/>
    <w:rsid w:val="15B32036"/>
    <w:rsid w:val="163B421B"/>
    <w:rsid w:val="17C9776C"/>
    <w:rsid w:val="1D4E37F9"/>
    <w:rsid w:val="1FB14102"/>
    <w:rsid w:val="20244355"/>
    <w:rsid w:val="21C66054"/>
    <w:rsid w:val="26597414"/>
    <w:rsid w:val="26C64400"/>
    <w:rsid w:val="26E16C22"/>
    <w:rsid w:val="27461D50"/>
    <w:rsid w:val="28441A80"/>
    <w:rsid w:val="28C3509B"/>
    <w:rsid w:val="29954C89"/>
    <w:rsid w:val="2ADB491E"/>
    <w:rsid w:val="2CFC5020"/>
    <w:rsid w:val="2DB567C9"/>
    <w:rsid w:val="2EC761BC"/>
    <w:rsid w:val="32887721"/>
    <w:rsid w:val="3583008C"/>
    <w:rsid w:val="36D1697E"/>
    <w:rsid w:val="38C835F6"/>
    <w:rsid w:val="38DC224A"/>
    <w:rsid w:val="393F076E"/>
    <w:rsid w:val="3C31334C"/>
    <w:rsid w:val="3CF74EBC"/>
    <w:rsid w:val="3FAF4340"/>
    <w:rsid w:val="433C5D1E"/>
    <w:rsid w:val="468A0B4E"/>
    <w:rsid w:val="473E357A"/>
    <w:rsid w:val="47833F1C"/>
    <w:rsid w:val="47975C19"/>
    <w:rsid w:val="47AC3472"/>
    <w:rsid w:val="4F3F4BCC"/>
    <w:rsid w:val="4F766114"/>
    <w:rsid w:val="50854339"/>
    <w:rsid w:val="52444636"/>
    <w:rsid w:val="52CC2C1B"/>
    <w:rsid w:val="545219F0"/>
    <w:rsid w:val="55CA5A69"/>
    <w:rsid w:val="586A7AC2"/>
    <w:rsid w:val="5C4B2913"/>
    <w:rsid w:val="5D4D2BAA"/>
    <w:rsid w:val="5D7A14C5"/>
    <w:rsid w:val="5D804D2D"/>
    <w:rsid w:val="5FA4543C"/>
    <w:rsid w:val="5FA840C8"/>
    <w:rsid w:val="606F72DB"/>
    <w:rsid w:val="622A33AB"/>
    <w:rsid w:val="625C1DB5"/>
    <w:rsid w:val="63E7415B"/>
    <w:rsid w:val="63FE1D11"/>
    <w:rsid w:val="65F75DA9"/>
    <w:rsid w:val="663430DB"/>
    <w:rsid w:val="68B8348C"/>
    <w:rsid w:val="69DF2DDC"/>
    <w:rsid w:val="722F68CA"/>
    <w:rsid w:val="73D47FF6"/>
    <w:rsid w:val="74281823"/>
    <w:rsid w:val="77C17FC5"/>
    <w:rsid w:val="78C55892"/>
    <w:rsid w:val="7A4054E8"/>
    <w:rsid w:val="7A4F6721"/>
    <w:rsid w:val="7C5E5AE2"/>
    <w:rsid w:val="7D16045E"/>
    <w:rsid w:val="7E955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div"/>
    <w:basedOn w:val="1"/>
    <w:qFormat/>
    <w:uiPriority w:val="0"/>
    <w:pPr>
      <w:pBdr>
        <w:top w:val="none" w:color="auto" w:sz="0" w:space="0"/>
        <w:left w:val="none" w:color="auto" w:sz="0" w:space="0"/>
        <w:bottom w:val="none" w:color="auto" w:sz="0" w:space="0"/>
        <w:right w:val="none" w:color="auto" w:sz="0" w:space="0"/>
      </w:pBdr>
      <w:textAlignment w:val="baseline"/>
    </w:pPr>
    <w:rPr>
      <w:sz w:val="24"/>
      <w:szCs w:val="24"/>
      <w:vertAlign w:val="baseli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3887</Words>
  <Characters>3892</Characters>
  <Lines>0</Lines>
  <Paragraphs>0</Paragraphs>
  <TotalTime>1</TotalTime>
  <ScaleCrop>false</ScaleCrop>
  <LinksUpToDate>false</LinksUpToDate>
  <CharactersWithSpaces>4091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2025-01-13T08:21:00Z</dcterms:created>
  <dc:creator>陈绍鹏</dc:creator>
  <cp:lastModifiedBy>陈绍鹏</cp:lastModifiedBy>
  <dcterms:modified xsi:type="dcterms:W3CDTF">2025-02-25T08:58:17Z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6E985852F8B343BD89FC22AF8EC2609C_11</vt:lpwstr>
  </property>
  <property fmtid="{D5CDD505-2E9C-101B-9397-08002B2CF9AE}" pid="4" name="KSOTemplateDocerSaveRecord">
    <vt:lpwstr>eyJoZGlkIjoiZGI2NWYzNWIwZDU4ZTNkNDE3YjIzZDQxODMzMGY2ZmUiLCJ1c2VySWQiOiIzNTAxMzAwMjgifQ==</vt:lpwstr>
  </property>
</Properties>
</file>