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010ED">
      <w:pPr>
        <w:keepNext w:val="0"/>
        <w:keepLines w:val="0"/>
        <w:pageBreakBefore w:val="0"/>
        <w:widowControl w:val="0"/>
        <w:kinsoku/>
        <w:wordWrap/>
        <w:overflowPunct/>
        <w:topLinePunct w:val="0"/>
        <w:autoSpaceDE/>
        <w:autoSpaceDN/>
        <w:bidi w:val="0"/>
        <w:adjustRightInd/>
        <w:snapToGrid/>
        <w:spacing w:before="311" w:beforeLines="50" w:after="311" w:afterLines="50" w:line="500" w:lineRule="exact"/>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w:t>
      </w:r>
    </w:p>
    <w:p w14:paraId="7F6070EC">
      <w:pPr>
        <w:keepNext w:val="0"/>
        <w:keepLines w:val="0"/>
        <w:pageBreakBefore w:val="0"/>
        <w:widowControl w:val="0"/>
        <w:kinsoku/>
        <w:wordWrap/>
        <w:overflowPunct/>
        <w:topLinePunct w:val="0"/>
        <w:autoSpaceDE/>
        <w:autoSpaceDN/>
        <w:bidi w:val="0"/>
        <w:adjustRightInd/>
        <w:snapToGrid/>
        <w:spacing w:before="311" w:beforeLines="50" w:after="311" w:afterLines="50" w:line="600" w:lineRule="exact"/>
        <w:jc w:val="center"/>
        <w:textAlignment w:val="auto"/>
        <w:rPr>
          <w:rFonts w:hint="default" w:ascii="Times New Roman" w:hAnsi="Times New Roman" w:eastAsia="方正小标宋简体" w:cs="Times New Roman"/>
          <w:color w:val="auto"/>
          <w:sz w:val="38"/>
          <w:szCs w:val="38"/>
          <w:lang w:val="en-US" w:eastAsia="zh-CN"/>
        </w:rPr>
      </w:pPr>
      <w:bookmarkStart w:id="0" w:name="_GoBack"/>
      <w:r>
        <w:rPr>
          <w:rFonts w:hint="default" w:ascii="Times New Roman" w:hAnsi="Times New Roman" w:eastAsia="方正小标宋简体" w:cs="Times New Roman"/>
          <w:color w:val="auto"/>
          <w:sz w:val="38"/>
          <w:szCs w:val="38"/>
          <w:lang w:val="en-US" w:eastAsia="zh-CN"/>
        </w:rPr>
        <w:t>2023年安徽省湿地公园生态环境保护专项督察反馈的具体问题整改进展情况</w:t>
      </w:r>
    </w:p>
    <w:bookmarkEnd w:id="0"/>
    <w:tbl>
      <w:tblPr>
        <w:tblStyle w:val="7"/>
        <w:tblpPr w:leftFromText="180" w:rightFromText="180" w:vertAnchor="text" w:horzAnchor="page" w:tblpX="1552" w:tblpY="136"/>
        <w:tblOverlap w:val="never"/>
        <w:tblW w:w="49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6"/>
        <w:gridCol w:w="601"/>
        <w:gridCol w:w="2993"/>
        <w:gridCol w:w="1152"/>
        <w:gridCol w:w="8276"/>
      </w:tblGrid>
      <w:tr w14:paraId="187E5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1" w:hRule="atLeast"/>
          <w:tblHeader/>
        </w:trPr>
        <w:tc>
          <w:tcPr>
            <w:tcW w:w="250" w:type="pct"/>
            <w:tcBorders>
              <w:right w:val="single" w:color="auto" w:sz="4" w:space="0"/>
              <w:tl2br w:val="nil"/>
              <w:tr2bl w:val="nil"/>
            </w:tcBorders>
            <w:noWrap w:val="0"/>
            <w:tcMar>
              <w:top w:w="15" w:type="dxa"/>
              <w:left w:w="15" w:type="dxa"/>
              <w:right w:w="15" w:type="dxa"/>
            </w:tcMar>
            <w:vAlign w:val="center"/>
          </w:tcPr>
          <w:p w14:paraId="21FFAA41">
            <w:pPr>
              <w:keepNext w:val="0"/>
              <w:keepLines w:val="0"/>
              <w:pageBreakBefore w:val="0"/>
              <w:widowControl/>
              <w:suppressLineNumbers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center"/>
              <w:rPr>
                <w:rFonts w:hint="default" w:ascii="Times New Roman" w:hAnsi="Times New Roman" w:eastAsia="黑体" w:cs="Times New Roman"/>
                <w:i w:val="0"/>
                <w:color w:val="auto"/>
                <w:sz w:val="24"/>
                <w:szCs w:val="24"/>
                <w:u w:val="none"/>
              </w:rPr>
            </w:pPr>
            <w:r>
              <w:rPr>
                <w:rFonts w:hint="default" w:ascii="Times New Roman" w:hAnsi="Times New Roman" w:eastAsia="黑体" w:cs="Times New Roman"/>
                <w:i w:val="0"/>
                <w:color w:val="auto"/>
                <w:kern w:val="0"/>
                <w:sz w:val="24"/>
                <w:szCs w:val="24"/>
                <w:u w:val="none"/>
                <w:lang w:val="en-US" w:eastAsia="zh-CN"/>
              </w:rPr>
              <w:t>序号</w:t>
            </w:r>
          </w:p>
        </w:tc>
        <w:tc>
          <w:tcPr>
            <w:tcW w:w="219" w:type="pct"/>
            <w:tcBorders>
              <w:tl2br w:val="nil"/>
              <w:tr2bl w:val="nil"/>
            </w:tcBorders>
            <w:noWrap w:val="0"/>
            <w:tcMar>
              <w:top w:w="15" w:type="dxa"/>
              <w:left w:w="15" w:type="dxa"/>
              <w:right w:w="15" w:type="dxa"/>
            </w:tcMar>
            <w:vAlign w:val="center"/>
          </w:tcPr>
          <w:p w14:paraId="758445E7">
            <w:pPr>
              <w:keepNext w:val="0"/>
              <w:keepLines w:val="0"/>
              <w:pageBreakBefore w:val="0"/>
              <w:widowControl/>
              <w:suppressLineNumbers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center"/>
              <w:rPr>
                <w:rFonts w:hint="default" w:ascii="Times New Roman" w:hAnsi="Times New Roman" w:eastAsia="黑体" w:cs="Times New Roman"/>
                <w:i w:val="0"/>
                <w:color w:val="auto"/>
                <w:kern w:val="0"/>
                <w:sz w:val="24"/>
                <w:szCs w:val="24"/>
                <w:u w:val="none"/>
                <w:lang w:val="en-US" w:eastAsia="zh-CN"/>
              </w:rPr>
            </w:pPr>
            <w:r>
              <w:rPr>
                <w:rFonts w:hint="default" w:ascii="Times New Roman" w:hAnsi="Times New Roman" w:eastAsia="黑体" w:cs="Times New Roman"/>
                <w:i w:val="0"/>
                <w:color w:val="auto"/>
                <w:kern w:val="0"/>
                <w:sz w:val="24"/>
                <w:szCs w:val="24"/>
                <w:u w:val="none"/>
                <w:lang w:val="en-US" w:eastAsia="zh-CN"/>
              </w:rPr>
              <w:t>地市</w:t>
            </w:r>
          </w:p>
        </w:tc>
        <w:tc>
          <w:tcPr>
            <w:tcW w:w="1091" w:type="pct"/>
            <w:tcBorders>
              <w:tl2br w:val="nil"/>
              <w:tr2bl w:val="nil"/>
            </w:tcBorders>
            <w:noWrap w:val="0"/>
            <w:tcMar>
              <w:top w:w="15" w:type="dxa"/>
              <w:left w:w="15" w:type="dxa"/>
              <w:right w:w="15" w:type="dxa"/>
            </w:tcMar>
            <w:vAlign w:val="center"/>
          </w:tcPr>
          <w:p w14:paraId="6A4F9114">
            <w:pPr>
              <w:keepNext w:val="0"/>
              <w:keepLines w:val="0"/>
              <w:pageBreakBefore w:val="0"/>
              <w:widowControl/>
              <w:suppressLineNumbers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center"/>
              <w:rPr>
                <w:rFonts w:hint="default" w:ascii="Times New Roman" w:hAnsi="Times New Roman" w:eastAsia="黑体" w:cs="Times New Roman"/>
                <w:i w:val="0"/>
                <w:color w:val="auto"/>
                <w:sz w:val="24"/>
                <w:szCs w:val="24"/>
                <w:u w:val="none"/>
              </w:rPr>
            </w:pPr>
            <w:r>
              <w:rPr>
                <w:rFonts w:hint="default" w:ascii="Times New Roman" w:hAnsi="Times New Roman" w:eastAsia="黑体" w:cs="Times New Roman"/>
                <w:i w:val="0"/>
                <w:color w:val="auto"/>
                <w:kern w:val="0"/>
                <w:sz w:val="24"/>
                <w:szCs w:val="24"/>
                <w:u w:val="none"/>
                <w:lang w:val="en-US" w:eastAsia="zh-CN"/>
              </w:rPr>
              <w:t>具体问题</w:t>
            </w:r>
          </w:p>
        </w:tc>
        <w:tc>
          <w:tcPr>
            <w:tcW w:w="420" w:type="pct"/>
            <w:tcBorders>
              <w:tl2br w:val="nil"/>
              <w:tr2bl w:val="nil"/>
            </w:tcBorders>
            <w:noWrap w:val="0"/>
            <w:tcMar>
              <w:top w:w="15" w:type="dxa"/>
              <w:left w:w="15" w:type="dxa"/>
              <w:right w:w="15" w:type="dxa"/>
            </w:tcMar>
            <w:vAlign w:val="center"/>
          </w:tcPr>
          <w:p w14:paraId="53DA6551">
            <w:pPr>
              <w:keepNext w:val="0"/>
              <w:keepLines w:val="0"/>
              <w:pageBreakBefore w:val="0"/>
              <w:widowControl/>
              <w:suppressLineNumbers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center"/>
              <w:rPr>
                <w:rFonts w:hint="default" w:ascii="Times New Roman" w:hAnsi="Times New Roman" w:eastAsia="黑体" w:cs="Times New Roman"/>
                <w:i w:val="0"/>
                <w:color w:val="auto"/>
                <w:kern w:val="0"/>
                <w:sz w:val="24"/>
                <w:szCs w:val="24"/>
                <w:u w:val="none"/>
                <w:lang w:val="en-US" w:eastAsia="zh-CN"/>
              </w:rPr>
            </w:pPr>
            <w:r>
              <w:rPr>
                <w:rFonts w:hint="eastAsia" w:ascii="Times New Roman" w:hAnsi="Times New Roman" w:eastAsia="黑体" w:cs="Times New Roman"/>
                <w:i w:val="0"/>
                <w:color w:val="auto"/>
                <w:kern w:val="0"/>
                <w:sz w:val="24"/>
                <w:szCs w:val="24"/>
                <w:u w:val="none"/>
                <w:lang w:val="en-US" w:eastAsia="zh-CN"/>
              </w:rPr>
              <w:t>整改</w:t>
            </w:r>
            <w:r>
              <w:rPr>
                <w:rFonts w:hint="default" w:ascii="Times New Roman" w:hAnsi="Times New Roman" w:eastAsia="黑体" w:cs="Times New Roman"/>
                <w:i w:val="0"/>
                <w:color w:val="auto"/>
                <w:kern w:val="0"/>
                <w:sz w:val="24"/>
                <w:szCs w:val="24"/>
                <w:u w:val="none"/>
                <w:lang w:val="en-US" w:eastAsia="zh-CN"/>
              </w:rPr>
              <w:t>时限</w:t>
            </w:r>
          </w:p>
        </w:tc>
        <w:tc>
          <w:tcPr>
            <w:tcW w:w="3017" w:type="pct"/>
            <w:tcBorders>
              <w:tl2br w:val="nil"/>
              <w:tr2bl w:val="nil"/>
            </w:tcBorders>
            <w:noWrap w:val="0"/>
            <w:tcMar>
              <w:top w:w="15" w:type="dxa"/>
              <w:left w:w="15" w:type="dxa"/>
              <w:right w:w="15" w:type="dxa"/>
            </w:tcMar>
            <w:vAlign w:val="center"/>
          </w:tcPr>
          <w:p w14:paraId="1243DD64">
            <w:pPr>
              <w:keepNext w:val="0"/>
              <w:keepLines w:val="0"/>
              <w:pageBreakBefore w:val="0"/>
              <w:widowControl/>
              <w:suppressLineNumbers w:val="0"/>
              <w:kinsoku/>
              <w:wordWrap/>
              <w:overflowPunct/>
              <w:topLinePunct w:val="0"/>
              <w:autoSpaceDE/>
              <w:autoSpaceDN/>
              <w:bidi w:val="0"/>
              <w:adjustRightInd w:val="0"/>
              <w:snapToGrid w:val="0"/>
              <w:spacing w:line="300" w:lineRule="exact"/>
              <w:ind w:left="0" w:leftChars="0" w:right="0" w:rightChars="0" w:firstLine="960" w:firstLineChars="400"/>
              <w:jc w:val="center"/>
              <w:textAlignment w:val="center"/>
              <w:rPr>
                <w:rFonts w:hint="default" w:ascii="Times New Roman" w:hAnsi="Times New Roman" w:eastAsia="黑体" w:cs="Times New Roman"/>
                <w:i w:val="0"/>
                <w:color w:val="auto"/>
                <w:kern w:val="0"/>
                <w:sz w:val="24"/>
                <w:szCs w:val="24"/>
                <w:u w:val="none"/>
                <w:lang w:val="en-US" w:eastAsia="zh-CN"/>
              </w:rPr>
            </w:pPr>
            <w:r>
              <w:rPr>
                <w:rFonts w:hint="eastAsia" w:ascii="Times New Roman" w:hAnsi="Times New Roman" w:eastAsia="黑体" w:cs="Times New Roman"/>
                <w:i w:val="0"/>
                <w:color w:val="auto"/>
                <w:kern w:val="0"/>
                <w:sz w:val="24"/>
                <w:szCs w:val="24"/>
                <w:u w:val="none"/>
                <w:lang w:val="en-US" w:eastAsia="zh-CN"/>
              </w:rPr>
              <w:t>整改进展</w:t>
            </w:r>
          </w:p>
        </w:tc>
      </w:tr>
      <w:tr w14:paraId="24460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45" w:hRule="exact"/>
        </w:trPr>
        <w:tc>
          <w:tcPr>
            <w:tcW w:w="250" w:type="pct"/>
            <w:tcBorders>
              <w:right w:val="single" w:color="auto" w:sz="4" w:space="0"/>
              <w:tl2br w:val="nil"/>
              <w:tr2bl w:val="nil"/>
            </w:tcBorders>
            <w:noWrap w:val="0"/>
            <w:tcMar>
              <w:top w:w="15" w:type="dxa"/>
              <w:left w:w="15" w:type="dxa"/>
              <w:right w:w="15" w:type="dxa"/>
            </w:tcMar>
            <w:vAlign w:val="center"/>
          </w:tcPr>
          <w:p w14:paraId="27ED628D">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8"/>
                <w:szCs w:val="28"/>
                <w:u w:val="none"/>
                <w:lang w:val="en-US" w:eastAsia="zh-CN"/>
              </w:rPr>
              <w:t>1</w:t>
            </w:r>
          </w:p>
        </w:tc>
        <w:tc>
          <w:tcPr>
            <w:tcW w:w="219" w:type="pct"/>
            <w:tcBorders>
              <w:tl2br w:val="nil"/>
              <w:tr2bl w:val="nil"/>
            </w:tcBorders>
            <w:noWrap w:val="0"/>
            <w:tcMar>
              <w:top w:w="15" w:type="dxa"/>
              <w:left w:w="15" w:type="dxa"/>
              <w:right w:w="15" w:type="dxa"/>
            </w:tcMar>
            <w:vAlign w:val="center"/>
          </w:tcPr>
          <w:p w14:paraId="5B9AB518">
            <w:pPr>
              <w:pStyle w:val="10"/>
              <w:ind w:left="0" w:leftChars="0" w:firstLine="0" w:firstLineChars="0"/>
              <w:rPr>
                <w:rFonts w:hint="eastAsia" w:ascii="仿宋_GB2312" w:hAnsi="仿宋_GB2312" w:eastAsia="仿宋_GB2312" w:cs="仿宋_GB2312"/>
                <w:b w:val="0"/>
                <w:bCs w:val="0"/>
                <w:i w:val="0"/>
                <w:color w:val="auto"/>
                <w:sz w:val="24"/>
                <w:szCs w:val="24"/>
                <w:u w:val="none"/>
                <w:lang w:eastAsia="zh-CN"/>
              </w:rPr>
            </w:pPr>
            <w:r>
              <w:rPr>
                <w:rFonts w:hint="eastAsia" w:ascii="仿宋_GB2312" w:hAnsi="仿宋_GB2312" w:eastAsia="仿宋_GB2312" w:cs="仿宋_GB2312"/>
                <w:b w:val="0"/>
                <w:bCs w:val="0"/>
                <w:i w:val="0"/>
                <w:color w:val="auto"/>
                <w:sz w:val="24"/>
                <w:szCs w:val="24"/>
                <w:u w:val="none"/>
                <w:lang w:eastAsia="zh-CN"/>
              </w:rPr>
              <w:t>六安市</w:t>
            </w:r>
          </w:p>
        </w:tc>
        <w:tc>
          <w:tcPr>
            <w:tcW w:w="1091" w:type="pct"/>
            <w:tcBorders>
              <w:tl2br w:val="nil"/>
              <w:tr2bl w:val="nil"/>
            </w:tcBorders>
            <w:noWrap w:val="0"/>
            <w:tcMar>
              <w:top w:w="15" w:type="dxa"/>
              <w:left w:w="15" w:type="dxa"/>
              <w:right w:w="15" w:type="dxa"/>
            </w:tcMar>
            <w:vAlign w:val="center"/>
          </w:tcPr>
          <w:p w14:paraId="0FC3313F">
            <w:pPr>
              <w:keepNext w:val="0"/>
              <w:keepLines w:val="0"/>
              <w:pageBreakBefore w:val="0"/>
              <w:widowControl/>
              <w:suppressLineNumbers w:val="0"/>
              <w:kinsoku/>
              <w:wordWrap/>
              <w:overflowPunct/>
              <w:topLinePunct w:val="0"/>
              <w:autoSpaceDE/>
              <w:autoSpaceDN/>
              <w:bidi w:val="0"/>
              <w:adjustRightInd w:val="0"/>
              <w:snapToGrid w:val="0"/>
              <w:spacing w:line="300" w:lineRule="exact"/>
              <w:ind w:left="0" w:leftChars="0" w:right="0" w:rightChars="0" w:firstLine="480" w:firstLineChars="200"/>
              <w:jc w:val="left"/>
              <w:textAlignment w:val="center"/>
              <w:rPr>
                <w:rFonts w:hint="eastAsia" w:ascii="仿宋_GB2312" w:hAnsi="仿宋_GB2312" w:eastAsia="仿宋_GB2312" w:cs="仿宋_GB2312"/>
                <w:color w:val="auto"/>
                <w:sz w:val="24"/>
                <w:szCs w:val="24"/>
              </w:rPr>
            </w:pPr>
          </w:p>
          <w:p w14:paraId="3B7CB927">
            <w:pPr>
              <w:pStyle w:val="10"/>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六安市湿地公园生态环境保护工作虽取得一定进展和成效，但对标习近平总书记关于湿地保护的重要讲话重要指示批示精神，对标党中央、国务院决策部署及省委、省政府工作要求还有差距，相关部门对湿地保护的重要性认识不够，履行湿地保护职责不到位，湿地公园生态环境问题依然存在。</w:t>
            </w:r>
          </w:p>
          <w:p w14:paraId="2E69CF66">
            <w:pPr>
              <w:pStyle w:val="10"/>
              <w:rPr>
                <w:rFonts w:hint="eastAsia" w:ascii="仿宋_GB2312" w:hAnsi="仿宋_GB2312" w:eastAsia="仿宋_GB2312" w:cs="仿宋_GB2312"/>
                <w:b w:val="0"/>
                <w:bCs w:val="0"/>
                <w:i w:val="0"/>
                <w:color w:val="auto"/>
                <w:sz w:val="24"/>
                <w:szCs w:val="24"/>
                <w:u w:val="none"/>
              </w:rPr>
            </w:pPr>
          </w:p>
          <w:p w14:paraId="1F8EB926">
            <w:pPr>
              <w:pStyle w:val="10"/>
              <w:rPr>
                <w:rFonts w:hint="eastAsia" w:ascii="仿宋_GB2312" w:hAnsi="仿宋_GB2312" w:eastAsia="仿宋_GB2312" w:cs="仿宋_GB2312"/>
                <w:b w:val="0"/>
                <w:bCs w:val="0"/>
                <w:i w:val="0"/>
                <w:color w:val="auto"/>
                <w:sz w:val="24"/>
                <w:szCs w:val="24"/>
                <w:u w:val="none"/>
              </w:rPr>
            </w:pPr>
          </w:p>
        </w:tc>
        <w:tc>
          <w:tcPr>
            <w:tcW w:w="420" w:type="pct"/>
            <w:tcBorders>
              <w:tl2br w:val="nil"/>
              <w:tr2bl w:val="nil"/>
            </w:tcBorders>
            <w:noWrap w:val="0"/>
            <w:tcMar>
              <w:top w:w="15" w:type="dxa"/>
              <w:left w:w="15" w:type="dxa"/>
              <w:right w:w="15" w:type="dxa"/>
            </w:tcMar>
            <w:vAlign w:val="center"/>
          </w:tcPr>
          <w:p w14:paraId="6F14DF90">
            <w:pPr>
              <w:keepNext w:val="0"/>
              <w:keepLines w:val="0"/>
              <w:pageBreakBefore w:val="0"/>
              <w:kinsoku/>
              <w:wordWrap/>
              <w:overflowPunct/>
              <w:topLinePunct w:val="0"/>
              <w:autoSpaceDE/>
              <w:autoSpaceDN/>
              <w:bidi w:val="0"/>
              <w:adjustRightInd w:val="0"/>
              <w:snapToGrid w:val="0"/>
              <w:spacing w:line="300" w:lineRule="exact"/>
              <w:ind w:firstLine="0" w:firstLineChars="0"/>
              <w:jc w:val="both"/>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立行立改长期坚持</w:t>
            </w:r>
          </w:p>
        </w:tc>
        <w:tc>
          <w:tcPr>
            <w:tcW w:w="3017" w:type="pct"/>
            <w:tcBorders>
              <w:tl2br w:val="nil"/>
              <w:tr2bl w:val="nil"/>
            </w:tcBorders>
            <w:noWrap w:val="0"/>
            <w:tcMar>
              <w:top w:w="15" w:type="dxa"/>
              <w:left w:w="15" w:type="dxa"/>
              <w:right w:w="15" w:type="dxa"/>
            </w:tcMar>
            <w:vAlign w:val="center"/>
          </w:tcPr>
          <w:p w14:paraId="799AA83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rPr>
              <w:t>整改取得明显成效</w:t>
            </w:r>
            <w:r>
              <w:rPr>
                <w:rFonts w:hint="eastAsia" w:ascii="仿宋_GB2312" w:hAnsi="仿宋_GB2312" w:eastAsia="仿宋_GB2312" w:cs="仿宋_GB2312"/>
                <w:snapToGrid w:val="0"/>
                <w:color w:val="auto"/>
                <w:kern w:val="0"/>
                <w:sz w:val="24"/>
                <w:szCs w:val="24"/>
                <w:lang w:eastAsia="zh-CN"/>
              </w:rPr>
              <w:t>，</w:t>
            </w:r>
            <w:r>
              <w:rPr>
                <w:rFonts w:hint="eastAsia" w:ascii="仿宋_GB2312" w:hAnsi="仿宋_GB2312" w:eastAsia="仿宋_GB2312" w:cs="仿宋_GB2312"/>
                <w:snapToGrid w:val="0"/>
                <w:color w:val="auto"/>
                <w:kern w:val="0"/>
                <w:sz w:val="24"/>
                <w:szCs w:val="24"/>
                <w:lang w:val="en-US" w:eastAsia="zh-CN" w:bidi="ar-SA"/>
              </w:rPr>
              <w:t>持续推进。</w:t>
            </w:r>
          </w:p>
          <w:p w14:paraId="5F0AB922">
            <w:pPr>
              <w:numPr>
                <w:ilvl w:val="-1"/>
                <w:numId w:val="0"/>
              </w:numPr>
              <w:adjustRightInd w:val="0"/>
              <w:snapToGrid w:val="0"/>
              <w:ind w:firstLine="480" w:firstLineChars="200"/>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1.2024年4月21日，市委理论学习中心组学习会专题学习习近平生态文明思想并开展研讨，2023年12月14日，市政府常务会议</w:t>
            </w:r>
            <w:r>
              <w:rPr>
                <w:rFonts w:hint="eastAsia" w:ascii="仿宋_GB2312" w:hAnsi="仿宋_GB2312" w:eastAsia="仿宋_GB2312" w:cs="仿宋_GB2312"/>
                <w:b w:val="0"/>
                <w:bCs w:val="0"/>
                <w:snapToGrid w:val="0"/>
                <w:color w:val="auto"/>
                <w:kern w:val="0"/>
                <w:sz w:val="24"/>
                <w:szCs w:val="24"/>
                <w:lang w:val="en-US" w:eastAsia="zh-CN" w:bidi="ar-SA"/>
              </w:rPr>
              <w:t>学习习近平总书记关于湿地和自然保护地重要论述摘编，听取关于加强湿地保护管理工作情况的汇报</w:t>
            </w:r>
            <w:r>
              <w:rPr>
                <w:rFonts w:hint="eastAsia" w:ascii="仿宋_GB2312" w:hAnsi="仿宋_GB2312" w:eastAsia="仿宋_GB2312" w:cs="仿宋_GB2312"/>
                <w:snapToGrid w:val="0"/>
                <w:color w:val="auto"/>
                <w:kern w:val="0"/>
                <w:sz w:val="24"/>
                <w:szCs w:val="24"/>
                <w:lang w:val="en-US" w:eastAsia="zh-CN" w:bidi="ar-SA"/>
              </w:rPr>
              <w:t>。金安、裕安区，市直相关部门组织学习湿地保护相关法律法规，市林业局开展湿地保护法培训，市林业局党组4月11日、9月30日、10月21日、11月1日组织学习了习近平生态文明思想和关于湿地和自然保护地保护管理工作重要论述摘编，省《关于加强湿地保护工作的实施方案》和《安徽省实施〈中华人民共和国湿地保护法〉办法》等自然保护地法律法规。</w:t>
            </w:r>
          </w:p>
          <w:p w14:paraId="1EB52944">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2.2024年5月17日，安徽淠河国家湿地公园管委会印发了《关于调整安徽六安淠河国家湿地公园管理委员会组成人员的通知》，对安徽六安淠河国家湿地公园管理委员会组成人员进行调整。2024年5月21日，市政府印发了《安徽淠河国家湿地公园联防联控工作方案》，进一步明确相关单位职责。</w:t>
            </w:r>
          </w:p>
          <w:p w14:paraId="5E9016D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3.增加巡护力量，加大巡护力度，在原有巡查队伍的基础上抽调淠河管理处凤凰河橡胶坝管理所队员参与湿地巡查。2024年1月至今，市城管局淠河管理处联合林业、水利、农业农村、生态环保等部门开展联勤巡查活动4次，未发现过度放牧、违规种植等破坏湿地行为。</w:t>
            </w:r>
          </w:p>
        </w:tc>
      </w:tr>
      <w:tr w14:paraId="6307B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15" w:hRule="atLeast"/>
        </w:trPr>
        <w:tc>
          <w:tcPr>
            <w:tcW w:w="250" w:type="pct"/>
            <w:tcBorders>
              <w:right w:val="single" w:color="auto" w:sz="4" w:space="0"/>
              <w:tl2br w:val="nil"/>
              <w:tr2bl w:val="nil"/>
            </w:tcBorders>
            <w:noWrap w:val="0"/>
            <w:tcMar>
              <w:top w:w="15" w:type="dxa"/>
              <w:left w:w="15" w:type="dxa"/>
              <w:right w:w="15" w:type="dxa"/>
            </w:tcMar>
            <w:vAlign w:val="center"/>
          </w:tcPr>
          <w:p w14:paraId="3D307A0B">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8"/>
                <w:szCs w:val="28"/>
                <w:u w:val="none"/>
                <w:lang w:val="en-US" w:eastAsia="zh-CN"/>
              </w:rPr>
              <w:t>2</w:t>
            </w:r>
          </w:p>
        </w:tc>
        <w:tc>
          <w:tcPr>
            <w:tcW w:w="219" w:type="pct"/>
            <w:tcBorders>
              <w:tl2br w:val="nil"/>
              <w:tr2bl w:val="nil"/>
            </w:tcBorders>
            <w:noWrap w:val="0"/>
            <w:tcMar>
              <w:top w:w="15" w:type="dxa"/>
              <w:left w:w="15" w:type="dxa"/>
              <w:right w:w="15" w:type="dxa"/>
            </w:tcMar>
            <w:vAlign w:val="center"/>
          </w:tcPr>
          <w:p w14:paraId="4D936F26">
            <w:pPr>
              <w:keepNext w:val="0"/>
              <w:keepLines w:val="0"/>
              <w:pageBreakBefore w:val="0"/>
              <w:widowControl/>
              <w:suppressLineNumbers w:val="0"/>
              <w:kinsoku/>
              <w:wordWrap/>
              <w:overflowPunct/>
              <w:topLinePunct w:val="0"/>
              <w:autoSpaceDE/>
              <w:autoSpaceDN/>
              <w:bidi w:val="0"/>
              <w:adjustRightInd w:val="0"/>
              <w:snapToGrid w:val="0"/>
              <w:spacing w:line="300" w:lineRule="exact"/>
              <w:ind w:right="0" w:rightChars="0"/>
              <w:jc w:val="left"/>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sz w:val="24"/>
                <w:szCs w:val="24"/>
                <w:u w:val="none"/>
                <w:lang w:eastAsia="zh-CN"/>
              </w:rPr>
              <w:t>六安市</w:t>
            </w:r>
          </w:p>
        </w:tc>
        <w:tc>
          <w:tcPr>
            <w:tcW w:w="1091" w:type="pct"/>
            <w:tcBorders>
              <w:tl2br w:val="nil"/>
              <w:tr2bl w:val="nil"/>
            </w:tcBorders>
            <w:noWrap w:val="0"/>
            <w:tcMar>
              <w:top w:w="15" w:type="dxa"/>
              <w:left w:w="15" w:type="dxa"/>
              <w:right w:w="15" w:type="dxa"/>
            </w:tcMar>
            <w:vAlign w:val="center"/>
          </w:tcPr>
          <w:p w14:paraId="78787CAB">
            <w:pPr>
              <w:keepNext w:val="0"/>
              <w:keepLines w:val="0"/>
              <w:pageBreakBefore w:val="0"/>
              <w:widowControl/>
              <w:suppressLineNumbers w:val="0"/>
              <w:kinsoku/>
              <w:wordWrap/>
              <w:overflowPunct/>
              <w:topLinePunct w:val="0"/>
              <w:autoSpaceDE/>
              <w:autoSpaceDN/>
              <w:bidi w:val="0"/>
              <w:adjustRightInd w:val="0"/>
              <w:snapToGrid w:val="0"/>
              <w:spacing w:line="300" w:lineRule="exact"/>
              <w:ind w:right="0" w:rightChars="0"/>
              <w:jc w:val="left"/>
              <w:textAlignment w:val="center"/>
              <w:rPr>
                <w:rFonts w:hint="eastAsia" w:ascii="仿宋_GB2312" w:hAnsi="仿宋_GB2312" w:eastAsia="仿宋_GB2312" w:cs="仿宋_GB2312"/>
                <w:snapToGrid w:val="0"/>
                <w:color w:val="auto"/>
                <w:kern w:val="0"/>
                <w:sz w:val="24"/>
                <w:szCs w:val="24"/>
                <w:lang w:val="en-US" w:eastAsia="zh-CN" w:bidi="ar-SA"/>
              </w:rPr>
            </w:pPr>
          </w:p>
          <w:p w14:paraId="60008B9A">
            <w:pPr>
              <w:keepNext w:val="0"/>
              <w:keepLines w:val="0"/>
              <w:pageBreakBefore w:val="0"/>
              <w:widowControl/>
              <w:suppressLineNumbers w:val="0"/>
              <w:kinsoku/>
              <w:wordWrap/>
              <w:overflowPunct/>
              <w:topLinePunct w:val="0"/>
              <w:autoSpaceDE/>
              <w:autoSpaceDN/>
              <w:bidi w:val="0"/>
              <w:adjustRightInd w:val="0"/>
              <w:snapToGrid w:val="0"/>
              <w:spacing w:line="300" w:lineRule="exact"/>
              <w:ind w:right="0" w:rightChars="0"/>
              <w:jc w:val="left"/>
              <w:textAlignment w:val="center"/>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湿地公园监管责任落实不到位。根据《国家湿地公园管理办法》规定，保育区除开展保护、监测、科学研究等必需的保护管理活动外，不得进行任何与湿地生态系统保护和管理无关的其他活动。督察发现，淠河国家湿地公园管理部门管理不到位，监督不严格，淠河国家湿地公园保育区内存在垂钓、捕捞、燃放烟花以及零星开垦、放牧等干扰及破坏湿地公园生态环境的活动。</w:t>
            </w:r>
          </w:p>
          <w:p w14:paraId="43EA07D8">
            <w:pPr>
              <w:pStyle w:val="9"/>
              <w:rPr>
                <w:rFonts w:hint="eastAsia" w:ascii="仿宋_GB2312" w:hAnsi="仿宋_GB2312" w:eastAsia="仿宋_GB2312" w:cs="仿宋_GB2312"/>
                <w:color w:val="auto"/>
                <w:sz w:val="24"/>
                <w:szCs w:val="24"/>
              </w:rPr>
            </w:pPr>
          </w:p>
        </w:tc>
        <w:tc>
          <w:tcPr>
            <w:tcW w:w="420" w:type="pct"/>
            <w:tcBorders>
              <w:tl2br w:val="nil"/>
              <w:tr2bl w:val="nil"/>
            </w:tcBorders>
            <w:noWrap w:val="0"/>
            <w:tcMar>
              <w:top w:w="15" w:type="dxa"/>
              <w:left w:w="15" w:type="dxa"/>
              <w:right w:w="15" w:type="dxa"/>
            </w:tcMar>
            <w:vAlign w:val="center"/>
          </w:tcPr>
          <w:p w14:paraId="4A48B68B">
            <w:pPr>
              <w:keepNext w:val="0"/>
              <w:keepLines w:val="0"/>
              <w:pageBreakBefore w:val="0"/>
              <w:kinsoku/>
              <w:wordWrap/>
              <w:overflowPunct/>
              <w:topLinePunct w:val="0"/>
              <w:autoSpaceDE/>
              <w:autoSpaceDN/>
              <w:bidi w:val="0"/>
              <w:adjustRightInd w:val="0"/>
              <w:snapToGrid w:val="0"/>
              <w:spacing w:line="300" w:lineRule="exact"/>
              <w:ind w:firstLine="0" w:firstLineChars="0"/>
              <w:jc w:val="both"/>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2024年底</w:t>
            </w:r>
          </w:p>
        </w:tc>
        <w:tc>
          <w:tcPr>
            <w:tcW w:w="3017" w:type="pct"/>
            <w:tcBorders>
              <w:tl2br w:val="nil"/>
              <w:tr2bl w:val="nil"/>
            </w:tcBorders>
            <w:noWrap w:val="0"/>
            <w:tcMar>
              <w:top w:w="15" w:type="dxa"/>
              <w:left w:w="15" w:type="dxa"/>
              <w:right w:w="15" w:type="dxa"/>
            </w:tcMar>
            <w:vAlign w:val="center"/>
          </w:tcPr>
          <w:p w14:paraId="3A15C5F4">
            <w:pPr>
              <w:keepNext w:val="0"/>
              <w:keepLines w:val="0"/>
              <w:pageBreakBefore w:val="0"/>
              <w:widowControl/>
              <w:suppressLineNumbers w:val="0"/>
              <w:kinsoku/>
              <w:wordWrap/>
              <w:overflowPunct/>
              <w:topLinePunct w:val="0"/>
              <w:autoSpaceDE/>
              <w:autoSpaceDN/>
              <w:bidi w:val="0"/>
              <w:adjustRightInd w:val="0"/>
              <w:snapToGrid w:val="0"/>
              <w:spacing w:line="440" w:lineRule="exact"/>
              <w:ind w:right="0" w:rightChars="0"/>
              <w:jc w:val="left"/>
              <w:textAlignment w:val="center"/>
              <w:rPr>
                <w:rFonts w:hint="eastAsia" w:ascii="仿宋_GB2312" w:hAnsi="仿宋_GB2312" w:eastAsia="仿宋_GB2312" w:cs="仿宋_GB2312"/>
                <w:snapToGrid w:val="0"/>
                <w:color w:val="auto"/>
                <w:kern w:val="0"/>
                <w:sz w:val="24"/>
                <w:szCs w:val="24"/>
                <w:lang w:val="en-US" w:eastAsia="zh-CN" w:bidi="ar-SA"/>
              </w:rPr>
            </w:pPr>
          </w:p>
          <w:p w14:paraId="74F8DD38">
            <w:pPr>
              <w:keepNext w:val="0"/>
              <w:keepLines w:val="0"/>
              <w:pageBreakBefore w:val="0"/>
              <w:widowControl/>
              <w:suppressLineNumbers w:val="0"/>
              <w:kinsoku/>
              <w:wordWrap/>
              <w:overflowPunct/>
              <w:topLinePunct w:val="0"/>
              <w:autoSpaceDE/>
              <w:autoSpaceDN/>
              <w:bidi w:val="0"/>
              <w:adjustRightInd w:val="0"/>
              <w:snapToGrid w:val="0"/>
              <w:spacing w:line="440" w:lineRule="exact"/>
              <w:ind w:right="0" w:rightChars="0"/>
              <w:jc w:val="left"/>
              <w:textAlignment w:val="center"/>
              <w:rPr>
                <w:rFonts w:hint="eastAsia" w:ascii="仿宋_GB2312" w:hAnsi="仿宋_GB2312" w:eastAsia="仿宋_GB2312" w:cs="仿宋_GB2312"/>
                <w:snapToGrid w:val="0"/>
                <w:color w:val="auto"/>
                <w:kern w:val="0"/>
                <w:sz w:val="24"/>
                <w:szCs w:val="24"/>
                <w:lang w:val="en-US" w:eastAsia="zh-CN" w:bidi="ar-SA"/>
              </w:rPr>
            </w:pPr>
          </w:p>
          <w:p w14:paraId="6106897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right="0" w:rightChars="0" w:firstLine="480" w:firstLineChars="200"/>
              <w:jc w:val="left"/>
              <w:textAlignment w:val="auto"/>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已完成整改并验收销号。</w:t>
            </w:r>
          </w:p>
          <w:p w14:paraId="3EBD2A53">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line="240" w:lineRule="auto"/>
              <w:ind w:right="0" w:rightChars="0" w:firstLine="480" w:firstLineChars="200"/>
              <w:jc w:val="left"/>
              <w:textAlignment w:val="auto"/>
              <w:rPr>
                <w:rFonts w:hint="eastAsia" w:ascii="仿宋_GB2312" w:hAnsi="仿宋_GB2312" w:eastAsia="仿宋_GB2312" w:cs="仿宋_GB2312"/>
                <w:b w:val="0"/>
                <w:bCs w:val="0"/>
                <w:snapToGrid w:val="0"/>
                <w:color w:val="auto"/>
                <w:spacing w:val="0"/>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开展多种形式的湿地保护宣传活动，增强社会公众湿地保护意识。在淠河国家湿地公园保育区横排头大桥、青山湿地观景平台等位置，</w:t>
            </w:r>
            <w:r>
              <w:rPr>
                <w:rFonts w:hint="eastAsia" w:ascii="仿宋_GB2312" w:hAnsi="仿宋_GB2312" w:eastAsia="仿宋_GB2312" w:cs="仿宋_GB2312"/>
                <w:b w:val="0"/>
                <w:bCs w:val="0"/>
                <w:snapToGrid w:val="0"/>
                <w:color w:val="auto"/>
                <w:spacing w:val="0"/>
                <w:kern w:val="0"/>
                <w:sz w:val="24"/>
                <w:szCs w:val="24"/>
                <w:lang w:val="en-US" w:eastAsia="zh-CN" w:bidi="ar-SA"/>
              </w:rPr>
              <w:t>增设各类标识牌、宣传牌20块，宣传告知湿地公园保护管理规定等有关法律法规。</w:t>
            </w:r>
          </w:p>
          <w:p w14:paraId="5277FE2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right="0" w:rightChars="0" w:firstLine="480" w:firstLineChars="200"/>
              <w:jc w:val="left"/>
              <w:textAlignment w:val="auto"/>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2.加强湿地公园保育区管理，在湿地公园保育区石板冲段等重点部位增加</w:t>
            </w:r>
            <w:r>
              <w:rPr>
                <w:rFonts w:hint="eastAsia" w:ascii="仿宋_GB2312" w:hAnsi="仿宋_GB2312" w:eastAsia="仿宋_GB2312" w:cs="仿宋_GB2312"/>
                <w:b w:val="0"/>
                <w:bCs w:val="0"/>
                <w:snapToGrid w:val="0"/>
                <w:color w:val="auto"/>
                <w:spacing w:val="0"/>
                <w:kern w:val="0"/>
                <w:sz w:val="24"/>
                <w:szCs w:val="24"/>
                <w:lang w:val="en-US" w:eastAsia="zh-CN" w:bidi="ar-SA"/>
              </w:rPr>
              <w:t>隔离防护栏和</w:t>
            </w:r>
            <w:r>
              <w:rPr>
                <w:rFonts w:hint="eastAsia" w:ascii="仿宋_GB2312" w:hAnsi="仿宋_GB2312" w:eastAsia="仿宋_GB2312" w:cs="仿宋_GB2312"/>
                <w:snapToGrid w:val="0"/>
                <w:color w:val="auto"/>
                <w:kern w:val="0"/>
                <w:sz w:val="24"/>
                <w:szCs w:val="24"/>
                <w:lang w:val="en-US" w:eastAsia="zh-CN" w:bidi="ar-SA"/>
              </w:rPr>
              <w:t>视频监控，加强对人为干扰及破坏湿地公园生态环境的行为的监督管理。</w:t>
            </w:r>
          </w:p>
          <w:p w14:paraId="76AA45E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right="0" w:rightChars="0" w:firstLine="480" w:firstLineChars="200"/>
              <w:jc w:val="left"/>
              <w:textAlignment w:val="auto"/>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3.加强巡查巡护，落细落实管理机构、属地政府和相关部门日常管理和监管责任，开展联合执法行动，未发现淠河国家湿地公园保育区存在垂钓、捕捞、开垦、放牧等干扰及破坏湿地公园生态环境行为，淠河国家湿地公园巡护水平和效率显著提高。</w:t>
            </w:r>
          </w:p>
          <w:p w14:paraId="78128FDB">
            <w:pPr>
              <w:keepNext w:val="0"/>
              <w:keepLines w:val="0"/>
              <w:pageBreakBefore w:val="0"/>
              <w:widowControl/>
              <w:suppressLineNumbers w:val="0"/>
              <w:kinsoku/>
              <w:wordWrap/>
              <w:overflowPunct/>
              <w:topLinePunct w:val="0"/>
              <w:autoSpaceDE/>
              <w:autoSpaceDN/>
              <w:bidi w:val="0"/>
              <w:adjustRightInd w:val="0"/>
              <w:snapToGrid w:val="0"/>
              <w:spacing w:line="300" w:lineRule="exact"/>
              <w:ind w:right="0" w:rightChars="0" w:firstLine="720" w:firstLineChars="300"/>
              <w:jc w:val="left"/>
              <w:textAlignment w:val="center"/>
              <w:rPr>
                <w:rFonts w:hint="eastAsia" w:ascii="仿宋_GB2312" w:hAnsi="仿宋_GB2312" w:eastAsia="仿宋_GB2312" w:cs="仿宋_GB2312"/>
                <w:i w:val="0"/>
                <w:color w:val="auto"/>
                <w:sz w:val="24"/>
                <w:szCs w:val="24"/>
                <w:u w:val="none"/>
                <w:lang w:eastAsia="zh-CN"/>
              </w:rPr>
            </w:pPr>
          </w:p>
          <w:p w14:paraId="1A41F2F1">
            <w:pPr>
              <w:keepNext w:val="0"/>
              <w:keepLines w:val="0"/>
              <w:pageBreakBefore w:val="0"/>
              <w:widowControl/>
              <w:suppressLineNumbers w:val="0"/>
              <w:kinsoku/>
              <w:wordWrap/>
              <w:overflowPunct/>
              <w:topLinePunct w:val="0"/>
              <w:autoSpaceDE/>
              <w:autoSpaceDN/>
              <w:bidi w:val="0"/>
              <w:adjustRightInd w:val="0"/>
              <w:snapToGrid w:val="0"/>
              <w:spacing w:line="300" w:lineRule="exact"/>
              <w:ind w:right="0" w:rightChars="0" w:firstLine="720" w:firstLineChars="300"/>
              <w:jc w:val="left"/>
              <w:textAlignment w:val="center"/>
              <w:rPr>
                <w:rFonts w:hint="eastAsia" w:ascii="仿宋_GB2312" w:hAnsi="仿宋_GB2312" w:eastAsia="仿宋_GB2312" w:cs="仿宋_GB2312"/>
                <w:i w:val="0"/>
                <w:color w:val="auto"/>
                <w:sz w:val="24"/>
                <w:szCs w:val="24"/>
                <w:u w:val="none"/>
                <w:lang w:eastAsia="zh-CN"/>
              </w:rPr>
            </w:pPr>
          </w:p>
          <w:p w14:paraId="665029DF">
            <w:pPr>
              <w:keepNext w:val="0"/>
              <w:keepLines w:val="0"/>
              <w:pageBreakBefore w:val="0"/>
              <w:widowControl/>
              <w:suppressLineNumbers w:val="0"/>
              <w:kinsoku/>
              <w:wordWrap/>
              <w:overflowPunct/>
              <w:topLinePunct w:val="0"/>
              <w:autoSpaceDE/>
              <w:autoSpaceDN/>
              <w:bidi w:val="0"/>
              <w:adjustRightInd w:val="0"/>
              <w:snapToGrid w:val="0"/>
              <w:spacing w:line="300" w:lineRule="exact"/>
              <w:ind w:right="0" w:rightChars="0" w:firstLine="720" w:firstLineChars="300"/>
              <w:jc w:val="left"/>
              <w:textAlignment w:val="center"/>
              <w:rPr>
                <w:rFonts w:hint="eastAsia" w:ascii="仿宋_GB2312" w:hAnsi="仿宋_GB2312" w:eastAsia="仿宋_GB2312" w:cs="仿宋_GB2312"/>
                <w:i w:val="0"/>
                <w:color w:val="auto"/>
                <w:sz w:val="24"/>
                <w:szCs w:val="24"/>
                <w:u w:val="none"/>
                <w:lang w:eastAsia="zh-CN"/>
              </w:rPr>
            </w:pPr>
          </w:p>
        </w:tc>
      </w:tr>
      <w:tr w14:paraId="285E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30" w:hRule="atLeast"/>
        </w:trPr>
        <w:tc>
          <w:tcPr>
            <w:tcW w:w="250" w:type="pct"/>
            <w:tcBorders>
              <w:right w:val="single" w:color="auto" w:sz="4" w:space="0"/>
              <w:tl2br w:val="nil"/>
              <w:tr2bl w:val="nil"/>
            </w:tcBorders>
            <w:noWrap w:val="0"/>
            <w:tcMar>
              <w:top w:w="15" w:type="dxa"/>
              <w:left w:w="15" w:type="dxa"/>
              <w:right w:w="15" w:type="dxa"/>
            </w:tcMar>
            <w:vAlign w:val="center"/>
          </w:tcPr>
          <w:p w14:paraId="2A388512">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8"/>
                <w:szCs w:val="28"/>
                <w:u w:val="none"/>
                <w:lang w:val="en-US" w:eastAsia="zh-CN"/>
              </w:rPr>
              <w:t>3</w:t>
            </w:r>
          </w:p>
        </w:tc>
        <w:tc>
          <w:tcPr>
            <w:tcW w:w="219" w:type="pct"/>
            <w:tcBorders>
              <w:tl2br w:val="nil"/>
              <w:tr2bl w:val="nil"/>
            </w:tcBorders>
            <w:noWrap w:val="0"/>
            <w:tcMar>
              <w:top w:w="15" w:type="dxa"/>
              <w:left w:w="15" w:type="dxa"/>
              <w:right w:w="15" w:type="dxa"/>
            </w:tcMar>
            <w:vAlign w:val="center"/>
          </w:tcPr>
          <w:p w14:paraId="255A39B2">
            <w:pPr>
              <w:pStyle w:val="10"/>
              <w:ind w:left="0" w:leftChars="0" w:firstLine="0" w:firstLineChars="0"/>
              <w:rPr>
                <w:rFonts w:hint="eastAsia" w:ascii="仿宋_GB2312" w:hAnsi="仿宋_GB2312" w:eastAsia="仿宋_GB2312" w:cs="仿宋_GB2312"/>
                <w:b w:val="0"/>
                <w:bCs w:val="0"/>
                <w:i w:val="0"/>
                <w:color w:val="auto"/>
                <w:sz w:val="24"/>
                <w:szCs w:val="24"/>
                <w:u w:val="none"/>
                <w:lang w:eastAsia="zh-CN"/>
              </w:rPr>
            </w:pPr>
            <w:r>
              <w:rPr>
                <w:rFonts w:hint="eastAsia" w:ascii="仿宋_GB2312" w:hAnsi="仿宋_GB2312" w:eastAsia="仿宋_GB2312" w:cs="仿宋_GB2312"/>
                <w:b w:val="0"/>
                <w:bCs w:val="0"/>
                <w:i w:val="0"/>
                <w:color w:val="auto"/>
                <w:sz w:val="24"/>
                <w:szCs w:val="24"/>
                <w:u w:val="none"/>
                <w:lang w:eastAsia="zh-CN"/>
              </w:rPr>
              <w:t>六安市</w:t>
            </w:r>
          </w:p>
        </w:tc>
        <w:tc>
          <w:tcPr>
            <w:tcW w:w="1091" w:type="pct"/>
            <w:tcBorders>
              <w:tl2br w:val="nil"/>
              <w:tr2bl w:val="nil"/>
            </w:tcBorders>
            <w:noWrap w:val="0"/>
            <w:tcMar>
              <w:top w:w="15" w:type="dxa"/>
              <w:left w:w="15" w:type="dxa"/>
              <w:right w:w="15" w:type="dxa"/>
            </w:tcMar>
            <w:vAlign w:val="center"/>
          </w:tcPr>
          <w:p w14:paraId="42827296">
            <w:pPr>
              <w:keepNext w:val="0"/>
              <w:keepLines w:val="0"/>
              <w:pageBreakBefore w:val="0"/>
              <w:widowControl/>
              <w:suppressLineNumbers w:val="0"/>
              <w:kinsoku/>
              <w:wordWrap/>
              <w:overflowPunct/>
              <w:topLinePunct w:val="0"/>
              <w:autoSpaceDE/>
              <w:autoSpaceDN/>
              <w:bidi w:val="0"/>
              <w:adjustRightInd w:val="0"/>
              <w:snapToGrid w:val="0"/>
              <w:spacing w:line="300" w:lineRule="exact"/>
              <w:ind w:left="0" w:leftChars="0" w:right="0" w:rightChars="0" w:firstLine="480" w:firstLineChars="200"/>
              <w:jc w:val="left"/>
              <w:textAlignment w:val="center"/>
              <w:rPr>
                <w:rFonts w:hint="eastAsia" w:ascii="仿宋_GB2312" w:hAnsi="仿宋_GB2312" w:eastAsia="仿宋_GB2312" w:cs="仿宋_GB2312"/>
                <w:color w:val="auto"/>
                <w:sz w:val="24"/>
                <w:szCs w:val="24"/>
                <w:lang w:eastAsia="zh-CN"/>
              </w:rPr>
            </w:pPr>
          </w:p>
          <w:p w14:paraId="084C9E23">
            <w:pPr>
              <w:pStyle w:val="10"/>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仿宋_GB2312" w:hAnsi="仿宋_GB2312" w:eastAsia="仿宋_GB2312" w:cs="仿宋_GB2312"/>
                <w:b w:val="0"/>
                <w:bCs w:val="0"/>
                <w:i w:val="0"/>
                <w:color w:val="auto"/>
                <w:sz w:val="24"/>
                <w:szCs w:val="24"/>
                <w:u w:val="none"/>
                <w:lang w:eastAsia="zh-CN"/>
              </w:rPr>
            </w:pPr>
            <w:r>
              <w:rPr>
                <w:rFonts w:hint="eastAsia" w:ascii="仿宋_GB2312" w:hAnsi="仿宋_GB2312" w:eastAsia="仿宋_GB2312" w:cs="仿宋_GB2312"/>
                <w:snapToGrid w:val="0"/>
                <w:color w:val="auto"/>
                <w:kern w:val="0"/>
                <w:sz w:val="24"/>
                <w:szCs w:val="24"/>
                <w:lang w:val="en-US" w:eastAsia="zh-CN" w:bidi="ar-SA"/>
              </w:rPr>
              <w:t>湿地公园管理机制落实不到位。2018年10月，六安市人民政府办公室印发《关于认真开展淠河国家湿地公园联防联控工作的通知》，规定淠河国家湿地公园管委会每季度召开一次管委会成员单位会议，研究解决湿地管护工作中的重点、难点问题。督察发现，淠河国家湿地公园管委会未严格落实相关会议制度，未对湿地管护工作中的重点、难点问题进行研究解决。此外，淠河国家湿地公园主要依靠人工巡护进行日常监管，湿地公园视频监控覆盖不够全面，日常管理缺乏必要的专业技术设备，巡护效率较低，破坏湿地的行为难以及时发现。</w:t>
            </w:r>
          </w:p>
        </w:tc>
        <w:tc>
          <w:tcPr>
            <w:tcW w:w="420" w:type="pct"/>
            <w:tcBorders>
              <w:tl2br w:val="nil"/>
              <w:tr2bl w:val="nil"/>
            </w:tcBorders>
            <w:noWrap w:val="0"/>
            <w:tcMar>
              <w:top w:w="15" w:type="dxa"/>
              <w:left w:w="15" w:type="dxa"/>
              <w:right w:w="15" w:type="dxa"/>
            </w:tcMar>
            <w:vAlign w:val="center"/>
          </w:tcPr>
          <w:p w14:paraId="53EA6702">
            <w:pPr>
              <w:keepNext w:val="0"/>
              <w:keepLines w:val="0"/>
              <w:pageBreakBefore w:val="0"/>
              <w:kinsoku/>
              <w:wordWrap/>
              <w:overflowPunct/>
              <w:topLinePunct w:val="0"/>
              <w:autoSpaceDE/>
              <w:autoSpaceDN/>
              <w:bidi w:val="0"/>
              <w:adjustRightInd w:val="0"/>
              <w:snapToGrid w:val="0"/>
              <w:spacing w:line="300" w:lineRule="exact"/>
              <w:ind w:firstLine="0" w:firstLineChars="0"/>
              <w:jc w:val="both"/>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2024年底</w:t>
            </w:r>
          </w:p>
        </w:tc>
        <w:tc>
          <w:tcPr>
            <w:tcW w:w="3017" w:type="pct"/>
            <w:tcBorders>
              <w:tl2br w:val="nil"/>
              <w:tr2bl w:val="nil"/>
            </w:tcBorders>
            <w:noWrap w:val="0"/>
            <w:tcMar>
              <w:top w:w="15" w:type="dxa"/>
              <w:left w:w="15" w:type="dxa"/>
              <w:right w:w="15" w:type="dxa"/>
            </w:tcMar>
            <w:vAlign w:val="center"/>
          </w:tcPr>
          <w:p w14:paraId="7609B4A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right="0" w:rightChars="0" w:firstLine="480" w:firstLineChars="200"/>
              <w:jc w:val="left"/>
              <w:textAlignment w:val="auto"/>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已完成整改并验收销号。</w:t>
            </w:r>
          </w:p>
          <w:p w14:paraId="595E77C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right="0" w:rightChars="0" w:firstLine="480" w:firstLineChars="200"/>
              <w:jc w:val="left"/>
              <w:textAlignment w:val="auto"/>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1.2024年5月17日，安徽淠河国家湿地公园管委会印发了《关于调整安徽六安淠河国家湿地公园管理委员会组成人员的通知》，调整充实了委员会组成人员。5月21日，市政府印发了《安徽淠河国家湿地公园联防联控工作方案》，进一步明确成员单位工作职责和工作机制。</w:t>
            </w:r>
          </w:p>
          <w:p w14:paraId="3236112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right="0" w:rightChars="0" w:firstLine="480" w:firstLineChars="200"/>
              <w:jc w:val="left"/>
              <w:textAlignment w:val="auto"/>
              <w:rPr>
                <w:rFonts w:hint="eastAsia" w:ascii="仿宋_GB2312" w:hAnsi="仿宋_GB2312" w:eastAsia="仿宋_GB2312" w:cs="仿宋_GB2312"/>
                <w:snapToGrid w:val="0"/>
                <w:color w:val="auto"/>
                <w:kern w:val="0"/>
                <w:sz w:val="24"/>
                <w:szCs w:val="24"/>
                <w:lang w:val="en-US" w:eastAsia="zh-CN" w:bidi="ar-SA"/>
              </w:rPr>
            </w:pPr>
            <w:r>
              <w:rPr>
                <w:rFonts w:hint="eastAsia" w:ascii="仿宋_GB2312" w:hAnsi="仿宋_GB2312" w:eastAsia="仿宋_GB2312" w:cs="仿宋_GB2312"/>
                <w:snapToGrid w:val="0"/>
                <w:color w:val="auto"/>
                <w:kern w:val="0"/>
                <w:sz w:val="24"/>
                <w:szCs w:val="24"/>
                <w:lang w:val="en-US" w:eastAsia="zh-CN" w:bidi="ar-SA"/>
              </w:rPr>
              <w:t>2.2024年11月14日，开展多部门联合巡查行动，召开淠河国家湿地公园联防联控工作会议，会议通报2024年淠河国家湿地公园工作情况，及时研究解决湿地公园管护工作中的重点、难点问题。</w:t>
            </w:r>
          </w:p>
          <w:p w14:paraId="17A3397F">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480" w:firstLineChars="200"/>
              <w:jc w:val="left"/>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snapToGrid w:val="0"/>
                <w:color w:val="auto"/>
                <w:kern w:val="0"/>
                <w:sz w:val="24"/>
                <w:szCs w:val="24"/>
                <w:lang w:val="en-US" w:eastAsia="zh-CN" w:bidi="ar-SA"/>
              </w:rPr>
              <w:t>3.提升改造淠河视频监控平台，整合增加视频监控摄像头共108个，购买无人机2台，相机1台，望远镜1台，提高巡护水平和效率。 2024年省下发安徽淠河国家湿地公园遥感线索点位150个，省林业局重点抽查17个点位，淠河国家湿地公园管理处自查遥感线索点位133个，均未发现生态环境问题。</w:t>
            </w:r>
          </w:p>
        </w:tc>
      </w:tr>
    </w:tbl>
    <w:p w14:paraId="1C87CC38">
      <w:pPr>
        <w:rPr>
          <w:rFonts w:hint="default"/>
          <w:color w:val="auto"/>
          <w:lang w:val="en-US" w:eastAsia="zh-CN"/>
        </w:rPr>
      </w:pPr>
    </w:p>
    <w:sectPr>
      <w:type w:val="continuous"/>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E629C"/>
    <w:multiLevelType w:val="singleLevel"/>
    <w:tmpl w:val="FFBE629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687598"/>
    <w:rsid w:val="010806FC"/>
    <w:rsid w:val="02525081"/>
    <w:rsid w:val="02DA7A16"/>
    <w:rsid w:val="033B0318"/>
    <w:rsid w:val="056C41E0"/>
    <w:rsid w:val="08257980"/>
    <w:rsid w:val="09B35723"/>
    <w:rsid w:val="09E946C9"/>
    <w:rsid w:val="0C610CA3"/>
    <w:rsid w:val="0F40671D"/>
    <w:rsid w:val="0FC40018"/>
    <w:rsid w:val="101E5857"/>
    <w:rsid w:val="102C3FBE"/>
    <w:rsid w:val="109575D2"/>
    <w:rsid w:val="12F95515"/>
    <w:rsid w:val="16247542"/>
    <w:rsid w:val="162A573B"/>
    <w:rsid w:val="16B57787"/>
    <w:rsid w:val="17650D6F"/>
    <w:rsid w:val="17797B1C"/>
    <w:rsid w:val="183A74D1"/>
    <w:rsid w:val="186D5D3F"/>
    <w:rsid w:val="1B0E2AF7"/>
    <w:rsid w:val="1C0D55F9"/>
    <w:rsid w:val="1D95203A"/>
    <w:rsid w:val="1DE06092"/>
    <w:rsid w:val="1E97502D"/>
    <w:rsid w:val="20D41BA8"/>
    <w:rsid w:val="21476670"/>
    <w:rsid w:val="235812EB"/>
    <w:rsid w:val="23D73400"/>
    <w:rsid w:val="2466511C"/>
    <w:rsid w:val="25687598"/>
    <w:rsid w:val="26301CFD"/>
    <w:rsid w:val="26306BB0"/>
    <w:rsid w:val="26441F97"/>
    <w:rsid w:val="27C25EFD"/>
    <w:rsid w:val="28695DF1"/>
    <w:rsid w:val="28D373A3"/>
    <w:rsid w:val="2A0B2A20"/>
    <w:rsid w:val="2A5F0701"/>
    <w:rsid w:val="2AA40146"/>
    <w:rsid w:val="2BA8325D"/>
    <w:rsid w:val="2C6F1CA2"/>
    <w:rsid w:val="2D7418F2"/>
    <w:rsid w:val="2D9E1CE1"/>
    <w:rsid w:val="2E934FCD"/>
    <w:rsid w:val="2E9372BE"/>
    <w:rsid w:val="2EFF4953"/>
    <w:rsid w:val="31B30944"/>
    <w:rsid w:val="33EFD609"/>
    <w:rsid w:val="35496427"/>
    <w:rsid w:val="35D34123"/>
    <w:rsid w:val="37635400"/>
    <w:rsid w:val="37923A08"/>
    <w:rsid w:val="3A6C7C5D"/>
    <w:rsid w:val="3CB70088"/>
    <w:rsid w:val="3CC17944"/>
    <w:rsid w:val="3D1A64E9"/>
    <w:rsid w:val="3D1C6913"/>
    <w:rsid w:val="3E5E7063"/>
    <w:rsid w:val="3F9BC119"/>
    <w:rsid w:val="3FBE66B3"/>
    <w:rsid w:val="414A4154"/>
    <w:rsid w:val="41DB31E1"/>
    <w:rsid w:val="41DB6393"/>
    <w:rsid w:val="43973DF4"/>
    <w:rsid w:val="44DA262A"/>
    <w:rsid w:val="450B4B31"/>
    <w:rsid w:val="45262049"/>
    <w:rsid w:val="45394A3E"/>
    <w:rsid w:val="468F4641"/>
    <w:rsid w:val="47A96C01"/>
    <w:rsid w:val="489E5F80"/>
    <w:rsid w:val="48BF1B9B"/>
    <w:rsid w:val="491D3223"/>
    <w:rsid w:val="4B0E6D71"/>
    <w:rsid w:val="4BEFAF4C"/>
    <w:rsid w:val="4DD13B7C"/>
    <w:rsid w:val="4EE813AA"/>
    <w:rsid w:val="4EEC330E"/>
    <w:rsid w:val="50E67FFF"/>
    <w:rsid w:val="5103612C"/>
    <w:rsid w:val="51B153B2"/>
    <w:rsid w:val="52F45CCD"/>
    <w:rsid w:val="53091A6C"/>
    <w:rsid w:val="540E0567"/>
    <w:rsid w:val="589B7E14"/>
    <w:rsid w:val="591F15CA"/>
    <w:rsid w:val="596B6925"/>
    <w:rsid w:val="5A201A9E"/>
    <w:rsid w:val="5A3B2434"/>
    <w:rsid w:val="5B2712C3"/>
    <w:rsid w:val="5BFE196B"/>
    <w:rsid w:val="5C5B1059"/>
    <w:rsid w:val="5C65751D"/>
    <w:rsid w:val="5C981612"/>
    <w:rsid w:val="5D5D1A5F"/>
    <w:rsid w:val="5DC46F82"/>
    <w:rsid w:val="5DD6781F"/>
    <w:rsid w:val="5EC4610A"/>
    <w:rsid w:val="5EC619D9"/>
    <w:rsid w:val="60434725"/>
    <w:rsid w:val="60FA187A"/>
    <w:rsid w:val="62045801"/>
    <w:rsid w:val="62985BBF"/>
    <w:rsid w:val="64206F09"/>
    <w:rsid w:val="65EA0FFA"/>
    <w:rsid w:val="679209EF"/>
    <w:rsid w:val="682E2F66"/>
    <w:rsid w:val="689F087C"/>
    <w:rsid w:val="68A259FA"/>
    <w:rsid w:val="6BAF0FD1"/>
    <w:rsid w:val="6C1B0562"/>
    <w:rsid w:val="6E2C6A37"/>
    <w:rsid w:val="6F0979E5"/>
    <w:rsid w:val="6FA46C44"/>
    <w:rsid w:val="6FFE2233"/>
    <w:rsid w:val="700C37F0"/>
    <w:rsid w:val="707E0681"/>
    <w:rsid w:val="73DA2FF1"/>
    <w:rsid w:val="76071859"/>
    <w:rsid w:val="767D7602"/>
    <w:rsid w:val="78D5434E"/>
    <w:rsid w:val="794954C5"/>
    <w:rsid w:val="79D13399"/>
    <w:rsid w:val="7AA622F2"/>
    <w:rsid w:val="7AA81DC8"/>
    <w:rsid w:val="7C491084"/>
    <w:rsid w:val="7DC25F54"/>
    <w:rsid w:val="7E7B662A"/>
    <w:rsid w:val="7EE86F23"/>
    <w:rsid w:val="7FE30D4A"/>
    <w:rsid w:val="BFAAB0B9"/>
    <w:rsid w:val="DEBF1CDC"/>
    <w:rsid w:val="EF7E1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3"/>
    <w:next w:val="3"/>
    <w:qFormat/>
    <w:uiPriority w:val="0"/>
    <w:pPr>
      <w:keepNext/>
      <w:keepLines/>
      <w:widowControl w:val="0"/>
      <w:spacing w:before="260" w:beforeLines="0" w:beforeAutospacing="0" w:after="260" w:afterLines="0" w:afterAutospacing="0" w:line="413" w:lineRule="auto"/>
      <w:jc w:val="both"/>
      <w:outlineLvl w:val="1"/>
    </w:pPr>
    <w:rPr>
      <w:rFonts w:ascii="Arial" w:hAnsi="Arial" w:eastAsia="楷体_GB2312" w:cs="Times New Roman"/>
      <w:b/>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3">
    <w:name w:val="正文_3"/>
    <w:next w:val="2"/>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4">
    <w:name w:val="annotation text"/>
    <w:basedOn w:val="1"/>
    <w:qFormat/>
    <w:uiPriority w:val="0"/>
    <w:pPr>
      <w:jc w:val="left"/>
    </w:pPr>
  </w:style>
  <w:style w:type="paragraph" w:styleId="5">
    <w:name w:val="Body Text"/>
    <w:basedOn w:val="1"/>
    <w:qFormat/>
    <w:uiPriority w:val="0"/>
    <w:pPr>
      <w:spacing w:after="12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Heading2"/>
    <w:basedOn w:val="1"/>
    <w:next w:val="1"/>
    <w:qFormat/>
    <w:uiPriority w:val="0"/>
    <w:pPr>
      <w:keepNext/>
      <w:keepLines/>
      <w:spacing w:before="260" w:after="260" w:line="416" w:lineRule="atLeast"/>
      <w:jc w:val="left"/>
      <w:textAlignment w:val="baseline"/>
    </w:pPr>
    <w:rPr>
      <w:rFonts w:ascii="Arial" w:hAnsi="Arial" w:eastAsia="黑体"/>
      <w:b/>
      <w:kern w:val="0"/>
      <w:sz w:val="32"/>
      <w:szCs w:val="24"/>
      <w:lang w:val="en-US" w:eastAsia="zh-CN" w:bidi="ar-SA"/>
    </w:rPr>
  </w:style>
  <w:style w:type="paragraph" w:customStyle="1" w:styleId="10">
    <w:name w:val="BodyText1I2"/>
    <w:basedOn w:val="11"/>
    <w:qFormat/>
    <w:uiPriority w:val="0"/>
    <w:pPr>
      <w:ind w:firstLine="420" w:firstLineChars="200"/>
    </w:pPr>
  </w:style>
  <w:style w:type="paragraph" w:customStyle="1" w:styleId="11">
    <w:name w:val="BodyTextIndent"/>
    <w:basedOn w:val="1"/>
    <w:next w:val="12"/>
    <w:qFormat/>
    <w:uiPriority w:val="0"/>
    <w:pPr>
      <w:spacing w:after="120"/>
      <w:ind w:left="420" w:leftChars="200"/>
    </w:pPr>
  </w:style>
  <w:style w:type="paragraph" w:customStyle="1" w:styleId="12">
    <w:name w:val="EnvelopeReturn"/>
    <w:basedOn w:val="1"/>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3167</Words>
  <Characters>3272</Characters>
  <Lines>0</Lines>
  <Paragraphs>0</Paragraphs>
  <TotalTime>35</TotalTime>
  <ScaleCrop>false</ScaleCrop>
  <LinksUpToDate>false</LinksUpToDate>
  <CharactersWithSpaces>3274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2024-12-12T09:38:00Z</dcterms:created>
  <dc:creator>曹左华</dc:creator>
  <cp:lastModifiedBy>张春云</cp:lastModifiedBy>
  <cp:lastPrinted>2025-01-14T22:56:00Z</cp:lastPrinted>
  <dcterms:modified xsi:type="dcterms:W3CDTF">2025-03-11T01:08:18Z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53E10F8CE3114F23837C36DC86201C48_13</vt:lpwstr>
  </property>
  <property fmtid="{D5CDD505-2E9C-101B-9397-08002B2CF9AE}" pid="4" name="KSOTemplateDocerSaveRecord">
    <vt:lpwstr>eyJoZGlkIjoiNGNiOTA3ZGRhOTQ0M2JkODhjNTI0OTVlYzgzOTVhYjYifQ==</vt:lpwstr>
  </property>
</Properties>
</file>