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行政复议决定书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_GB2312" w:hAnsi="仿宋"/>
          <w:color w:val="auto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ascii="仿宋_GB2312" w:hAnsi="仿宋"/>
          <w:color w:val="auto"/>
          <w:szCs w:val="32"/>
          <w:shd w:val="clear" w:color="auto" w:fill="auto"/>
        </w:rPr>
      </w:pPr>
      <w:r>
        <w:rPr>
          <w:rFonts w:hint="eastAsia" w:ascii="仿宋_GB2312" w:hAnsi="仿宋"/>
          <w:color w:val="auto"/>
          <w:szCs w:val="32"/>
          <w:shd w:val="clear" w:color="auto" w:fill="auto"/>
        </w:rPr>
        <w:t>六政复决〔20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24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〕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31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/>
          <w:color w:val="auto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/>
          <w:color w:val="auto"/>
          <w:szCs w:val="32"/>
          <w:shd w:val="clear" w:color="auto" w:fill="auto"/>
        </w:rPr>
      </w:pPr>
      <w:r>
        <w:rPr>
          <w:rFonts w:hint="eastAsia" w:ascii="仿宋_GB2312" w:hAnsi="仿宋"/>
          <w:color w:val="auto"/>
          <w:szCs w:val="32"/>
          <w:shd w:val="clear" w:color="auto" w:fill="auto"/>
        </w:rPr>
        <w:t>申请人：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杜XX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，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女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，汉族，19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年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X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月出生，住六安市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区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XX小区XX栋XX单元XX室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ascii="仿宋_GB2312" w:hAnsi="仿宋"/>
          <w:color w:val="auto"/>
          <w:szCs w:val="32"/>
          <w:shd w:val="clear" w:color="auto" w:fill="auto"/>
        </w:rPr>
      </w:pPr>
      <w:r>
        <w:rPr>
          <w:rFonts w:hint="eastAsia" w:ascii="仿宋_GB2312" w:hAnsi="仿宋"/>
          <w:color w:val="auto"/>
          <w:szCs w:val="32"/>
          <w:shd w:val="clear" w:color="auto" w:fill="auto"/>
        </w:rPr>
        <w:t>被申请人：</w:t>
      </w:r>
      <w:r>
        <w:rPr>
          <w:rFonts w:hint="eastAsia" w:ascii="仿宋_GB2312" w:hAnsi="仿宋"/>
          <w:color w:val="auto"/>
          <w:szCs w:val="32"/>
          <w:shd w:val="clear" w:color="auto" w:fill="auto"/>
          <w:lang w:eastAsia="zh-CN"/>
        </w:rPr>
        <w:t>六安市XX局XX分局XX所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。住所地</w:t>
      </w:r>
      <w:r>
        <w:rPr>
          <w:rFonts w:hint="eastAsia" w:ascii="仿宋_GB2312" w:hAnsi="仿宋"/>
          <w:color w:val="auto"/>
          <w:szCs w:val="32"/>
          <w:shd w:val="clear" w:color="auto" w:fill="auto"/>
          <w:lang w:eastAsia="zh-CN"/>
        </w:rPr>
        <w:t>：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六安市</w:t>
      </w:r>
      <w:r>
        <w:rPr>
          <w:rFonts w:hint="eastAsia" w:ascii="仿宋_GB2312" w:hAnsi="仿宋"/>
          <w:color w:val="auto"/>
          <w:szCs w:val="32"/>
          <w:shd w:val="clear" w:color="auto" w:fill="auto"/>
          <w:lang w:eastAsia="zh-CN"/>
        </w:rPr>
        <w:t>XX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区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/>
          <w:color w:val="auto"/>
          <w:szCs w:val="32"/>
          <w:shd w:val="clear" w:color="auto" w:fill="auto"/>
        </w:rPr>
      </w:pPr>
      <w:r>
        <w:rPr>
          <w:rFonts w:hint="eastAsia" w:ascii="仿宋_GB2312" w:hAnsi="仿宋"/>
          <w:color w:val="auto"/>
          <w:szCs w:val="32"/>
          <w:shd w:val="clear" w:color="auto" w:fill="auto"/>
        </w:rPr>
        <w:t>负责人：毛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，所长。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color w:val="auto"/>
          <w:shd w:val="clear" w:color="auto" w:fill="auto"/>
        </w:rPr>
      </w:pPr>
      <w:r>
        <w:rPr>
          <w:rFonts w:hint="eastAsia" w:ascii="仿宋_GB2312" w:hAnsi="仿宋"/>
          <w:color w:val="auto"/>
          <w:szCs w:val="32"/>
          <w:shd w:val="clear" w:color="auto" w:fill="auto"/>
        </w:rPr>
        <w:t>第三人：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袁XX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，男，汉族，19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年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X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月出生，住六安市</w:t>
      </w:r>
      <w:r>
        <w:rPr>
          <w:rFonts w:hint="eastAsia" w:ascii="仿宋_GB2312" w:hAnsi="仿宋"/>
          <w:color w:val="auto"/>
          <w:szCs w:val="32"/>
          <w:shd w:val="clear" w:color="auto" w:fill="auto"/>
          <w:lang w:eastAsia="zh-CN"/>
        </w:rPr>
        <w:t>XX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区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XX小区XX栋XX单元XX室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cs="仿宋_GB2312"/>
          <w:color w:val="auto"/>
          <w:szCs w:val="32"/>
          <w:shd w:val="clear" w:color="auto" w:fill="auto"/>
        </w:rPr>
      </w:pP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cs="仿宋_GB2312"/>
          <w:color w:val="auto"/>
          <w:szCs w:val="32"/>
          <w:shd w:val="clear" w:color="auto" w:fill="auto"/>
        </w:rPr>
      </w:pP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申请人</w:t>
      </w:r>
      <w:r>
        <w:rPr>
          <w:rFonts w:hint="eastAsia" w:ascii="仿宋_GB2312" w:hAnsi="仿宋"/>
          <w:color w:val="auto"/>
          <w:szCs w:val="32"/>
          <w:shd w:val="clear" w:color="auto" w:fill="auto"/>
          <w:lang w:eastAsia="zh-CN"/>
        </w:rPr>
        <w:t>杜XX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（下称申请人）不服被申请人</w:t>
      </w:r>
      <w:r>
        <w:rPr>
          <w:rFonts w:hint="eastAsia" w:ascii="仿宋_GB2312" w:hAnsi="仿宋"/>
          <w:color w:val="auto"/>
          <w:szCs w:val="32"/>
          <w:shd w:val="clear" w:color="auto" w:fill="auto"/>
          <w:lang w:eastAsia="zh-CN"/>
        </w:rPr>
        <w:t>六安市XX局XX分局XX所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（下称被申请人）作出的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《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>不予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行政处罚决定书》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（六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XX</w:t>
      </w:r>
      <w:r>
        <w:rPr>
          <w:rFonts w:hint="eastAsia" w:ascii="仿宋_GB2312" w:hAnsi="仿宋"/>
          <w:color w:val="auto"/>
          <w:shd w:val="clear" w:color="auto" w:fill="auto"/>
        </w:rPr>
        <w:t>〔派〕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不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罚决字</w:t>
      </w:r>
      <w:r>
        <w:rPr>
          <w:rFonts w:hint="eastAsia" w:ascii="仿宋_GB2312" w:hAnsi="仿宋"/>
          <w:color w:val="auto"/>
          <w:shd w:val="clear" w:color="auto" w:fill="auto"/>
        </w:rPr>
        <w:t>〔2023〕</w:t>
      </w:r>
      <w:r>
        <w:rPr>
          <w:rFonts w:hint="eastAsia" w:ascii="仿宋_GB2312" w:hAnsi="仿宋"/>
          <w:color w:val="auto"/>
          <w:shd w:val="clear" w:color="auto" w:fill="auto"/>
          <w:lang w:val="en-US" w:eastAsia="zh-CN"/>
        </w:rPr>
        <w:t>30</w:t>
      </w:r>
      <w:r>
        <w:rPr>
          <w:rFonts w:hint="eastAsia" w:ascii="仿宋_GB2312" w:hAnsi="仿宋"/>
          <w:color w:val="auto"/>
          <w:shd w:val="clear" w:color="auto" w:fill="auto"/>
        </w:rPr>
        <w:t>号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，下称</w:t>
      </w:r>
      <w:r>
        <w:rPr>
          <w:rFonts w:hint="eastAsia" w:ascii="仿宋_GB2312" w:hAnsi="仿宋"/>
          <w:color w:val="auto"/>
          <w:shd w:val="clear" w:color="auto" w:fill="auto"/>
        </w:rPr>
        <w:t>30号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《决定书》）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，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于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2024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年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1</w:t>
      </w:r>
      <w:r>
        <w:rPr>
          <w:rFonts w:hint="eastAsia" w:ascii="仿宋_GB2312" w:hAnsi="仿宋" w:cs="仿宋_GB2312"/>
          <w:color w:val="auto"/>
          <w:shd w:val="clear" w:color="auto" w:fill="auto"/>
        </w:rPr>
        <w:t>月</w:t>
      </w:r>
      <w:r>
        <w:rPr>
          <w:rFonts w:hint="eastAsia" w:ascii="仿宋_GB2312" w:hAnsi="仿宋" w:cs="仿宋_GB2312"/>
          <w:color w:val="auto"/>
          <w:shd w:val="clear" w:color="auto" w:fill="auto"/>
          <w:lang w:val="en-US" w:eastAsia="zh-CN"/>
        </w:rPr>
        <w:t>26</w:t>
      </w:r>
      <w:r>
        <w:rPr>
          <w:rFonts w:hint="eastAsia" w:ascii="仿宋_GB2312" w:hAnsi="仿宋" w:cs="仿宋_GB2312"/>
          <w:color w:val="auto"/>
          <w:shd w:val="clear" w:color="auto" w:fill="auto"/>
        </w:rPr>
        <w:t>日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向本机关申请行政复议，本机关依法受理后，追加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袁XX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为第三人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。被申请人在法定期限内进行了答复，并提交了当初作出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30号《决定书》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的证据、依据和其他有关材料。第三人经本机关通知参加行政复议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>但</w:t>
      </w:r>
      <w:r>
        <w:rPr>
          <w:rFonts w:hint="eastAsia" w:ascii="仿宋_GB2312" w:hAnsi="仿宋_GB2312" w:cs="仿宋_GB2312"/>
          <w:color w:val="auto"/>
          <w:lang w:val="en-US" w:eastAsia="zh-CN"/>
        </w:rPr>
        <w:t>未在法定期限内进行答复，也未提供证据、依据及其他有关材料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。</w:t>
      </w:r>
      <w:r>
        <w:rPr>
          <w:rFonts w:hint="eastAsia" w:ascii="仿宋_GB2312" w:hAnsi="仿宋_GB2312" w:cs="仿宋_GB2312"/>
          <w:color w:val="auto"/>
          <w:lang w:val="en-US" w:eastAsia="zh-CN"/>
        </w:rPr>
        <w:t>经听取当事人意见，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本案现已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>审理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终结。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rFonts w:hint="eastAsia" w:ascii="仿宋_GB2312" w:hAnsi="仿宋" w:eastAsia="仿宋_GB2312" w:cs="仿宋_GB2312"/>
          <w:color w:val="auto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Cs w:val="32"/>
          <w:shd w:val="clear" w:color="auto" w:fill="auto"/>
        </w:rPr>
        <w:t>申请人请求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撤销30号《决定书》并对第三人打人的行为依法处理。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申请人称：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30号决定书违法。主要理由是：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/>
          <w:color w:val="auto"/>
          <w:szCs w:val="32"/>
          <w:shd w:val="clear" w:color="auto" w:fill="auto"/>
        </w:rPr>
        <w:t>2018年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起，第三人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在家做花圈生意，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双方因邻里琐事发生纠纷</w:t>
      </w:r>
      <w:r>
        <w:rPr>
          <w:rFonts w:hint="eastAsia" w:ascii="仿宋_GB2312" w:hAnsi="仿宋"/>
          <w:color w:val="auto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申请人多次报警后第三人拒不改正</w:t>
      </w:r>
      <w:r>
        <w:rPr>
          <w:rFonts w:hint="eastAsia" w:ascii="仿宋_GB2312" w:hAnsi="仿宋"/>
          <w:color w:val="auto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第三人与申请人多次在楼道相遇时用胳膊撞击并辱骂申请人，申请人多次向被申请人反映。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shd w:val="clear" w:color="auto" w:fill="auto"/>
          <w:lang w:eastAsia="zh-CN"/>
        </w:rPr>
      </w:pPr>
      <w:r>
        <w:rPr>
          <w:rFonts w:hint="eastAsia" w:ascii="仿宋_GB2312" w:hAnsi="仿宋"/>
          <w:color w:val="auto"/>
          <w:szCs w:val="32"/>
          <w:shd w:val="clear" w:color="auto" w:fill="auto"/>
        </w:rPr>
        <w:t>2023年9月26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日</w:t>
      </w:r>
      <w:r>
        <w:rPr>
          <w:rFonts w:hint="eastAsia" w:ascii="仿宋_GB2312" w:hAnsi="仿宋"/>
          <w:color w:val="auto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申请人下楼上班途中，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走到一楼楼道拐弯处，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当时第三人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站在楼道口，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其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看见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申请人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下楼，上前几步抬起双手捶打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申请人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肩颈，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并进行辱骂。申请人再次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报警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，民警到场（第三人家中）后，第三人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两次拿锅砸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申请人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，被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民警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制止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并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带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至被申请人处，但被申请人未对第三人进行处罚。申请人及其家人人身安全没有保障。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1" w:firstLineChars="0"/>
        <w:textAlignment w:val="auto"/>
        <w:rPr>
          <w:rFonts w:ascii="仿宋_GB2312" w:hAnsi="仿宋" w:cs="仿宋_GB2312"/>
          <w:color w:val="auto"/>
          <w:szCs w:val="32"/>
          <w:shd w:val="clear" w:color="auto" w:fill="auto"/>
        </w:rPr>
      </w:pPr>
      <w:r>
        <w:rPr>
          <w:rFonts w:hint="eastAsia" w:ascii="仿宋_GB2312" w:hAnsi="仿宋" w:cs="仿宋_GB2312"/>
          <w:b/>
          <w:bCs/>
          <w:color w:val="auto"/>
          <w:szCs w:val="32"/>
          <w:shd w:val="clear" w:color="auto" w:fill="auto"/>
        </w:rPr>
        <w:t>被申请人请求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：维持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30号《决定书》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1" w:firstLineChars="0"/>
        <w:textAlignment w:val="auto"/>
        <w:rPr>
          <w:rFonts w:hint="eastAsia" w:ascii="仿宋_GB2312" w:hAnsi="仿宋" w:cs="仿宋_GB2312"/>
          <w:color w:val="auto"/>
          <w:szCs w:val="32"/>
          <w:shd w:val="clear" w:color="auto" w:fill="auto"/>
        </w:rPr>
      </w:pPr>
      <w:r>
        <w:rPr>
          <w:rFonts w:hint="eastAsia" w:ascii="仿宋_GB2312" w:hAnsi="仿宋" w:cs="仿宋_GB2312"/>
          <w:b/>
          <w:bCs/>
          <w:color w:val="auto"/>
          <w:szCs w:val="32"/>
          <w:shd w:val="clear" w:color="auto" w:fill="auto"/>
        </w:rPr>
        <w:t>被申请人称：</w:t>
      </w:r>
      <w:r>
        <w:rPr>
          <w:rFonts w:hint="eastAsia" w:ascii="仿宋_GB2312" w:hAnsi="仿宋"/>
          <w:color w:val="auto"/>
          <w:szCs w:val="32"/>
          <w:shd w:val="clear" w:color="auto" w:fill="auto"/>
        </w:rPr>
        <w:t>30号《决定书》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合法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主要理由是：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仿宋_GB2312" w:hAnsi="仿宋" w:cs="仿宋_GB2312"/>
          <w:b/>
          <w:bCs/>
          <w:color w:val="auto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color w:val="auto"/>
          <w:szCs w:val="32"/>
          <w:shd w:val="clear" w:color="auto" w:fill="auto"/>
          <w:lang w:val="en-US" w:eastAsia="zh-CN"/>
        </w:rPr>
        <w:t>1.被申请人作出不予处罚决定的事实、理由和依据。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申请人报警称：2023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年9月26日上午，在六安市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XX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XX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小区XX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栋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单元1楼楼梯道，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其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与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第三人相遇时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被对方用手朝肩颈部位推了一下，认为该行为属于殴打。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被申请人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经调查后认为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：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现场无监控、无相关证人在场，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第三人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涉嫌违法的事实不清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证据不足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违法行为不能成立。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即使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申请人报称的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第三人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殴打他人行为能够成立，也属于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“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情节较轻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”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情形，达不到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“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情节严重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”。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根据《中华人民共和国治安管理处罚法》第九十五条第（二）项规定，决定对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第三人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不予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行政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处罚。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color w:val="auto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程序合法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2023年9月30日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申请人报案，同日被申请人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依法受理，经询问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申请人、第三人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尚无法证实报称情况，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申请人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未见明显伤情。10月26日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被申请人决定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延长办案期限三十日。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11月21日、11月27日被申请人组织双方两次调解均未成功。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因证据不足违法事实不能成立，11月28日，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被申请人作出不予行政处罚决定</w:t>
      </w:r>
      <w:r>
        <w:rPr>
          <w:rFonts w:hint="eastAsia" w:ascii="仿宋_GB2312" w:hAnsi="仿宋_GB2312" w:cs="仿宋_GB2312"/>
          <w:color w:val="auto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auto"/>
          <w:szCs w:val="32"/>
          <w:shd w:val="clear" w:color="auto" w:fill="auto"/>
          <w:lang w:eastAsia="zh-CN"/>
        </w:rPr>
      </w:pP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3.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裁量适当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申请人与第三人邻里纠纷已久，虽经被申请人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多次调解，但因双方主观原因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均未成功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。申请人报称被推搡行为仅有申请人本人陈述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，缺少其他证据佐证。第三人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涉嫌违法的事实不清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证据不足，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申请人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指认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的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违法行为不能成立。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被申请人作出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不予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行政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处罚决定，裁量适当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有效尊重和保障了当事人合法权益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1" w:firstLineChars="0"/>
        <w:textAlignment w:val="auto"/>
        <w:rPr>
          <w:rFonts w:ascii="黑体" w:hAnsi="黑体" w:eastAsia="黑体" w:cs="黑体"/>
          <w:color w:val="auto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Cs w:val="32"/>
          <w:shd w:val="clear" w:color="auto" w:fill="auto"/>
        </w:rPr>
        <w:t>经</w:t>
      </w:r>
      <w:r>
        <w:rPr>
          <w:rFonts w:hint="eastAsia" w:ascii="黑体" w:hAnsi="黑体" w:eastAsia="黑体" w:cs="黑体"/>
          <w:color w:val="auto"/>
          <w:szCs w:val="32"/>
          <w:shd w:val="clear" w:color="auto" w:fill="auto"/>
          <w:lang w:val="en-US" w:eastAsia="zh-CN"/>
        </w:rPr>
        <w:t>审理</w:t>
      </w:r>
      <w:r>
        <w:rPr>
          <w:rFonts w:hint="eastAsia" w:ascii="黑体" w:hAnsi="黑体" w:eastAsia="黑体" w:cs="黑体"/>
          <w:color w:val="auto"/>
          <w:szCs w:val="32"/>
          <w:shd w:val="clear" w:color="auto" w:fill="auto"/>
        </w:rPr>
        <w:t>查明：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default" w:ascii="仿宋_GB2312" w:hAnsi="仿宋" w:eastAsia="仿宋_GB2312" w:cs="仿宋_GB2312"/>
          <w:color w:val="auto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申请人与第三人系上下楼邻居</w:t>
      </w:r>
      <w:r>
        <w:rPr>
          <w:rFonts w:hint="eastAsia" w:ascii="仿宋_GB2312" w:hAnsi="仿宋"/>
          <w:color w:val="auto"/>
          <w:szCs w:val="32"/>
          <w:shd w:val="clear" w:color="auto" w:fill="auto"/>
          <w:lang w:val="en-US" w:eastAsia="zh-CN"/>
        </w:rPr>
        <w:t>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2023年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月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30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日，申请人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报警称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9月26日上午，在六安市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XX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XX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小区XX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 xml:space="preserve"> 栋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单元1楼楼梯道，其与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第三人相遇时被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对方用手朝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其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肩颈部位推了一下，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申请人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认为该行为属于殴打。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同日，被申请人以行政案件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依法受理该案，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并出具《受案回执》。9月30日、10月16日、11月15日被申请人先后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询问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申请人、第三人及申请人邻居姚XX并制作询问笔录。申请人称被第三人殴打，其无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明显伤情。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第三人称与申请人在楼梯上肩膀轻微碰撞，没有殴打辱骂申请人，申请人因养狗问题多次报警影响其生活。邻居姚XX称申请人与第三人因养狗产生矛盾，没听说有打架行为。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10月26日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被申请人决定延长办案期限三十日。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default" w:ascii="仿宋_GB2312" w:hAnsi="仿宋" w:cs="仿宋_GB2312"/>
          <w:color w:val="auto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期间，被申请人组织两次调解无果。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ascii="仿宋_GB2312" w:hAnsi="仿宋" w:cs="仿宋_GB2312"/>
          <w:color w:val="auto"/>
          <w:shd w:val="clear" w:color="auto" w:fill="auto"/>
        </w:rPr>
      </w:pP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11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月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  <w:lang w:val="en-US" w:eastAsia="zh-CN"/>
        </w:rPr>
        <w:t>28</w:t>
      </w:r>
      <w:r>
        <w:rPr>
          <w:rFonts w:hint="eastAsia" w:ascii="仿宋_GB2312" w:hAnsi="仿宋" w:cs="仿宋_GB2312"/>
          <w:color w:val="auto"/>
          <w:szCs w:val="32"/>
          <w:shd w:val="clear" w:color="auto" w:fill="auto"/>
        </w:rPr>
        <w:t>日</w:t>
      </w:r>
      <w:r>
        <w:rPr>
          <w:rFonts w:hint="eastAsia" w:ascii="仿宋_GB2312" w:hAnsi="仿宋" w:cs="仿宋_GB2312"/>
          <w:color w:val="auto"/>
          <w:shd w:val="clear" w:color="auto" w:fill="auto"/>
        </w:rPr>
        <w:t>，</w:t>
      </w:r>
      <w:r>
        <w:rPr>
          <w:rFonts w:hint="eastAsia" w:ascii="仿宋_GB2312" w:hAnsi="仿宋" w:cs="仿宋_GB2312"/>
          <w:color w:val="auto"/>
          <w:shd w:val="clear" w:color="auto" w:fill="auto"/>
          <w:lang w:val="en-US" w:eastAsia="zh-CN"/>
        </w:rPr>
        <w:t>被申请人告知第三人拟作出不予行政处罚决定，第三人表示不陈述不申辩。同日，</w:t>
      </w:r>
      <w:r>
        <w:rPr>
          <w:rFonts w:hint="eastAsia" w:ascii="仿宋_GB2312" w:hAnsi="仿宋" w:cs="仿宋_GB2312"/>
          <w:color w:val="auto"/>
          <w:shd w:val="clear" w:color="auto" w:fill="auto"/>
        </w:rPr>
        <w:t>被申请人作出</w:t>
      </w:r>
      <w:r>
        <w:rPr>
          <w:rFonts w:hint="eastAsia" w:ascii="仿宋_GB2312" w:hAnsi="仿宋"/>
          <w:color w:val="auto"/>
          <w:shd w:val="clear" w:color="auto" w:fill="auto"/>
        </w:rPr>
        <w:t>30号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《决定书》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并送达第三人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，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次日</w:t>
      </w:r>
      <w:r>
        <w:rPr>
          <w:rFonts w:hint="eastAsia" w:ascii="仿宋_GB2312" w:hAnsi="仿宋" w:cs="仿宋_GB2312"/>
          <w:color w:val="auto"/>
          <w:shd w:val="clear" w:color="auto" w:fill="auto"/>
        </w:rPr>
        <w:t>送达申请人。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ascii="仿宋_GB2312" w:hAnsi="仿宋" w:cs="仿宋_GB2312"/>
          <w:color w:val="auto"/>
          <w:shd w:val="clear" w:color="auto" w:fill="auto"/>
        </w:rPr>
      </w:pPr>
      <w:r>
        <w:rPr>
          <w:rFonts w:hint="eastAsia" w:ascii="仿宋_GB2312" w:hAnsi="仿宋"/>
          <w:color w:val="auto"/>
          <w:shd w:val="clear" w:color="auto" w:fill="auto"/>
        </w:rPr>
        <w:t>30号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《决定书》</w:t>
      </w:r>
      <w:r>
        <w:rPr>
          <w:rFonts w:hint="eastAsia" w:ascii="仿宋_GB2312" w:hAnsi="仿宋" w:cs="仿宋_GB2312"/>
          <w:color w:val="auto"/>
          <w:shd w:val="clear" w:color="auto" w:fill="auto"/>
        </w:rPr>
        <w:t>载明</w:t>
      </w:r>
      <w:r>
        <w:rPr>
          <w:rFonts w:hint="eastAsia" w:ascii="仿宋_GB2312" w:hAnsi="仿宋" w:cs="仿宋_GB2312"/>
          <w:color w:val="auto"/>
          <w:shd w:val="clear" w:color="auto" w:fill="auto"/>
          <w:lang w:eastAsia="zh-CN"/>
        </w:rPr>
        <w:t>：</w:t>
      </w:r>
      <w:r>
        <w:rPr>
          <w:rFonts w:hint="eastAsia" w:ascii="仿宋_GB2312" w:hAnsi="仿宋" w:cs="仿宋_GB2312"/>
          <w:color w:val="auto"/>
          <w:shd w:val="clear" w:color="auto" w:fill="auto"/>
        </w:rPr>
        <w:t>9月26日上午，</w:t>
      </w:r>
      <w:r>
        <w:rPr>
          <w:rFonts w:hint="eastAsia" w:ascii="仿宋_GB2312" w:hAnsi="仿宋" w:cs="仿宋_GB2312"/>
          <w:color w:val="auto"/>
          <w:shd w:val="clear" w:color="auto" w:fill="auto"/>
          <w:lang w:val="en-US" w:eastAsia="zh-CN"/>
        </w:rPr>
        <w:t>申请人</w:t>
      </w:r>
      <w:r>
        <w:rPr>
          <w:rFonts w:hint="eastAsia" w:ascii="仿宋_GB2312" w:hAnsi="仿宋" w:cs="仿宋_GB2312"/>
          <w:color w:val="auto"/>
          <w:shd w:val="clear" w:color="auto" w:fill="auto"/>
        </w:rPr>
        <w:t>在六安市</w:t>
      </w:r>
      <w:r>
        <w:rPr>
          <w:rFonts w:hint="eastAsia" w:ascii="仿宋_GB2312" w:hAnsi="仿宋" w:cs="仿宋_GB2312"/>
          <w:color w:val="auto"/>
          <w:shd w:val="clear" w:color="auto" w:fill="auto"/>
          <w:lang w:eastAsia="zh-CN"/>
        </w:rPr>
        <w:t>XX</w:t>
      </w:r>
      <w:r>
        <w:rPr>
          <w:rFonts w:hint="eastAsia" w:ascii="仿宋_GB2312" w:hAnsi="仿宋" w:cs="仿宋_GB2312"/>
          <w:color w:val="auto"/>
          <w:shd w:val="clear" w:color="auto" w:fill="auto"/>
        </w:rPr>
        <w:t>区</w:t>
      </w:r>
      <w:r>
        <w:rPr>
          <w:rFonts w:hint="eastAsia" w:ascii="仿宋_GB2312" w:hAnsi="仿宋" w:cs="仿宋_GB2312"/>
          <w:color w:val="auto"/>
          <w:shd w:val="clear" w:color="auto" w:fill="auto"/>
          <w:lang w:eastAsia="zh-CN"/>
        </w:rPr>
        <w:t>XX</w:t>
      </w:r>
      <w:r>
        <w:rPr>
          <w:rFonts w:hint="eastAsia" w:ascii="仿宋_GB2312" w:hAnsi="仿宋" w:cs="仿宋_GB2312"/>
          <w:color w:val="auto"/>
          <w:shd w:val="clear" w:color="auto" w:fill="auto"/>
          <w:lang w:val="en-US" w:eastAsia="zh-CN"/>
        </w:rPr>
        <w:t>小区XX</w:t>
      </w:r>
      <w:r>
        <w:rPr>
          <w:rFonts w:hint="eastAsia" w:ascii="仿宋_GB2312" w:hAnsi="仿宋" w:cs="仿宋_GB2312"/>
          <w:color w:val="auto"/>
          <w:shd w:val="clear" w:color="auto" w:fill="auto"/>
        </w:rPr>
        <w:t>栋</w:t>
      </w:r>
      <w:r>
        <w:rPr>
          <w:rFonts w:hint="eastAsia" w:ascii="仿宋_GB2312" w:hAnsi="仿宋" w:cs="仿宋_GB2312"/>
          <w:color w:val="auto"/>
          <w:shd w:val="clear" w:color="auto" w:fill="auto"/>
          <w:lang w:val="en-US" w:eastAsia="zh-CN"/>
        </w:rPr>
        <w:t>XX</w:t>
      </w:r>
      <w:r>
        <w:rPr>
          <w:rFonts w:hint="eastAsia" w:ascii="仿宋_GB2312" w:hAnsi="仿宋" w:cs="仿宋_GB2312"/>
          <w:color w:val="auto"/>
          <w:shd w:val="clear" w:color="auto" w:fill="auto"/>
        </w:rPr>
        <w:t>单元1楼楼梯道，</w:t>
      </w:r>
      <w:r>
        <w:rPr>
          <w:rFonts w:hint="eastAsia" w:ascii="仿宋_GB2312" w:hAnsi="仿宋" w:cs="仿宋_GB2312"/>
          <w:color w:val="auto"/>
          <w:shd w:val="clear" w:color="auto" w:fill="auto"/>
          <w:lang w:val="en-US" w:eastAsia="zh-CN"/>
        </w:rPr>
        <w:t>第三人</w:t>
      </w:r>
      <w:r>
        <w:rPr>
          <w:rFonts w:hint="eastAsia" w:ascii="仿宋_GB2312" w:hAnsi="仿宋" w:cs="仿宋_GB2312"/>
          <w:color w:val="auto"/>
          <w:shd w:val="clear" w:color="auto" w:fill="auto"/>
        </w:rPr>
        <w:t>与其迎面行走在公用楼梯道内时，用手</w:t>
      </w:r>
      <w:r>
        <w:rPr>
          <w:rFonts w:hint="eastAsia" w:ascii="仿宋_GB2312" w:hAnsi="仿宋" w:cs="仿宋_GB2312"/>
          <w:color w:val="auto"/>
          <w:shd w:val="clear" w:color="auto" w:fill="auto"/>
          <w:lang w:val="en-US" w:eastAsia="zh-CN"/>
        </w:rPr>
        <w:t>朝申请人</w:t>
      </w:r>
      <w:r>
        <w:rPr>
          <w:rFonts w:hint="eastAsia" w:ascii="仿宋_GB2312" w:hAnsi="仿宋" w:cs="仿宋_GB2312"/>
          <w:color w:val="auto"/>
          <w:shd w:val="clear" w:color="auto" w:fill="auto"/>
        </w:rPr>
        <w:t>肩颈部位推了一下，</w:t>
      </w:r>
      <w:r>
        <w:rPr>
          <w:rFonts w:hint="eastAsia" w:ascii="仿宋_GB2312" w:hAnsi="仿宋" w:cs="仿宋_GB2312"/>
          <w:color w:val="auto"/>
          <w:shd w:val="clear" w:color="auto" w:fill="auto"/>
          <w:lang w:val="en-US" w:eastAsia="zh-CN"/>
        </w:rPr>
        <w:t>申请人</w:t>
      </w:r>
      <w:r>
        <w:rPr>
          <w:rFonts w:hint="eastAsia" w:ascii="仿宋_GB2312" w:hAnsi="仿宋" w:cs="仿宋_GB2312"/>
          <w:color w:val="auto"/>
          <w:shd w:val="clear" w:color="auto" w:fill="auto"/>
        </w:rPr>
        <w:t>认为该行为属于殴打。认定以上事实证据不足，指认的违法行为不能成立。根据《中华人民共和国治安管理处罚法》第九十五条第（二）项</w:t>
      </w:r>
      <w:r>
        <w:rPr>
          <w:rFonts w:hint="eastAsia" w:ascii="仿宋_GB2312" w:hAnsi="仿宋" w:cs="仿宋_GB2312"/>
          <w:color w:val="auto"/>
          <w:shd w:val="clear" w:color="auto" w:fill="auto"/>
          <w:lang w:val="en-US" w:eastAsia="zh-CN"/>
        </w:rPr>
        <w:t>的</w:t>
      </w:r>
      <w:r>
        <w:rPr>
          <w:rFonts w:hint="eastAsia" w:ascii="仿宋_GB2312" w:hAnsi="仿宋" w:cs="仿宋_GB2312"/>
          <w:color w:val="auto"/>
          <w:shd w:val="clear" w:color="auto" w:fill="auto"/>
        </w:rPr>
        <w:t>规定，决定不予</w:t>
      </w:r>
      <w:r>
        <w:rPr>
          <w:rFonts w:hint="eastAsia" w:ascii="仿宋_GB2312" w:hAnsi="仿宋" w:cs="仿宋_GB2312"/>
          <w:color w:val="auto"/>
          <w:shd w:val="clear" w:color="auto" w:fill="auto"/>
          <w:lang w:val="en-US" w:eastAsia="zh-CN"/>
        </w:rPr>
        <w:t>行政</w:t>
      </w:r>
      <w:r>
        <w:rPr>
          <w:rFonts w:hint="eastAsia" w:ascii="仿宋_GB2312" w:hAnsi="仿宋" w:cs="仿宋_GB2312"/>
          <w:color w:val="auto"/>
          <w:shd w:val="clear" w:color="auto" w:fill="auto"/>
        </w:rPr>
        <w:t>处罚。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ascii="仿宋_GB2312" w:hAnsi="仿宋" w:cs="仿宋_GB2312"/>
          <w:color w:val="auto"/>
          <w:szCs w:val="32"/>
          <w:shd w:val="clear" w:color="auto" w:fill="auto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申请人不服</w:t>
      </w:r>
      <w:r>
        <w:rPr>
          <w:rFonts w:hint="eastAsia" w:ascii="仿宋_GB2312" w:hAnsi="仿宋"/>
          <w:color w:val="auto"/>
          <w:shd w:val="clear" w:color="auto" w:fill="auto"/>
        </w:rPr>
        <w:t>30号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《决定书》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，遂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>向本机关申请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行政复议。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b/>
          <w:bCs/>
          <w:color w:val="auto"/>
          <w:shd w:val="clear" w:color="auto" w:fill="auto"/>
        </w:rPr>
      </w:pPr>
      <w:r>
        <w:rPr>
          <w:rFonts w:hint="eastAsia"/>
          <w:b/>
          <w:bCs/>
          <w:color w:val="auto"/>
          <w:shd w:val="clear" w:color="auto" w:fill="auto"/>
        </w:rPr>
        <w:t>上述事实有下列证据在卷佐证：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ascii="仿宋_GB2312" w:hAnsi="仿宋_GB2312" w:cs="仿宋_GB2312"/>
          <w:color w:val="auto"/>
          <w:shd w:val="clear" w:color="auto" w:fill="auto"/>
        </w:rPr>
      </w:pPr>
      <w:r>
        <w:rPr>
          <w:rFonts w:hint="eastAsia" w:ascii="仿宋_GB2312" w:hAnsi="仿宋_GB2312" w:cs="仿宋_GB2312"/>
          <w:color w:val="auto"/>
          <w:shd w:val="clear" w:color="auto" w:fill="auto"/>
        </w:rPr>
        <w:t>1.《受案登记表》（六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XX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hd w:val="clear" w:color="auto" w:fill="auto"/>
        </w:rPr>
        <w:t>〔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派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〕受案字〔2023〕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5034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号）《受案回执》；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default" w:ascii="仿宋_GB2312" w:hAnsi="仿宋_GB2312" w:eastAsia="仿宋_GB2312" w:cs="仿宋_GB2312"/>
          <w:color w:val="auto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《询问笔录》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份</w:t>
      </w:r>
      <w:r>
        <w:rPr>
          <w:rFonts w:hint="eastAsia" w:ascii="仿宋_GB2312" w:hAnsi="仿宋_GB2312" w:cs="仿宋_GB2312"/>
          <w:color w:val="auto"/>
          <w:shd w:val="clear" w:color="auto" w:fill="auto"/>
          <w:lang w:eastAsia="zh-CN"/>
        </w:rPr>
        <w:t>；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调解笔录2份；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ascii="仿宋_GB2312" w:hAnsi="仿宋_GB2312" w:cs="仿宋_GB2312"/>
          <w:color w:val="auto"/>
          <w:shd w:val="clear" w:color="auto" w:fill="auto"/>
        </w:rPr>
      </w:pP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《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不予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行政处罚告知笔录》；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ascii="仿宋_GB2312" w:hAnsi="仿宋_GB2312" w:cs="仿宋_GB2312"/>
          <w:color w:val="auto"/>
          <w:shd w:val="clear" w:color="auto" w:fill="auto"/>
          <w:lang w:eastAsia="zh-CN"/>
        </w:rPr>
      </w:pP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《延长办案期限审批表》《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不予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行政处罚审批表》</w:t>
      </w:r>
      <w:r>
        <w:rPr>
          <w:rFonts w:hint="eastAsia" w:ascii="仿宋_GB2312" w:hAnsi="仿宋_GB2312" w:cs="仿宋_GB2312"/>
          <w:color w:val="auto"/>
          <w:shd w:val="clear" w:color="auto" w:fill="auto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default" w:ascii="仿宋_GB2312" w:hAnsi="仿宋_GB2312" w:cs="仿宋_GB2312"/>
          <w:color w:val="auto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5. 30号《决定书》。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ascii="黑体" w:hAnsi="黑体" w:eastAsia="黑体" w:cs="黑体"/>
          <w:color w:val="auto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Cs w:val="32"/>
          <w:shd w:val="clear" w:color="auto" w:fill="auto"/>
        </w:rPr>
        <w:t>本机关认为：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16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一、被申请人作出30号《决定书》的事实清楚、证据确凿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16"/>
        <w:textAlignment w:val="auto"/>
        <w:rPr>
          <w:rFonts w:hint="eastAsia" w:ascii="仿宋_GB2312" w:hAnsi="楷体" w:cs="楷体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楷体" w:cs="楷体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本案中，申请人陈述称第三人实施了殴打行为，但是经被申请人调查，两人一直存在矛盾纠纷，因此在双方之间存在利害关系的情况下，申请人陈述不能单独作为认定第三人殴打申请人的证据，且第三人亦否认实施了上述违法行为。此外，证人姚XX的证言并未证实第三人实施了殴打行为。同时，申请人也未能提供其他证据证明第三人实施了殴打行为。据此，仅有申请人陈述不足以认定第三人实施了殴打申请人的违法行为，故被申请人认定违法事实不成立事实清楚，证据确凿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16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二、被申请人作出30号《决定书》的适用依据正确，内容适当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default" w:ascii="黑体" w:hAnsi="黑体" w:eastAsia="仿宋_GB2312" w:cs="黑体"/>
          <w:color w:val="auto"/>
          <w:spacing w:val="-6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依照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ascii="仿宋_GB2312" w:hAnsi="仿宋_GB2312" w:cs="仿宋_GB2312"/>
          <w:color w:val="auto"/>
          <w:shd w:val="clear" w:color="auto" w:fill="auto"/>
        </w:rPr>
        <w:instrText xml:space="preserve"> HYPERLINK "javascript:void(0);" </w:instrText>
      </w:r>
      <w:r>
        <w:rPr>
          <w:rFonts w:hint="eastAsia" w:ascii="仿宋_GB2312" w:hAnsi="仿宋_GB2312" w:cs="仿宋_GB2312"/>
          <w:color w:val="auto"/>
          <w:shd w:val="clear" w:color="auto" w:fill="auto"/>
        </w:rPr>
        <w:fldChar w:fldCharType="separate"/>
      </w:r>
      <w:r>
        <w:rPr>
          <w:rFonts w:hint="eastAsia" w:ascii="仿宋_GB2312" w:hAnsi="仿宋_GB2312" w:cs="仿宋_GB2312"/>
          <w:color w:val="auto"/>
          <w:shd w:val="clear" w:color="auto" w:fill="auto"/>
        </w:rPr>
        <w:fldChar w:fldCharType="end"/>
      </w:r>
      <w:r>
        <w:rPr>
          <w:rFonts w:hint="eastAsia" w:ascii="仿宋_GB2312" w:hAnsi="仿宋_GB2312" w:cs="仿宋_GB2312"/>
          <w:color w:val="auto"/>
          <w:shd w:val="clear" w:color="auto" w:fill="auto"/>
        </w:rPr>
        <w:t>《</w:t>
      </w:r>
      <w:r>
        <w:rPr>
          <w:rFonts w:ascii="仿宋_GB2312" w:hAnsi="仿宋_GB2312" w:cs="仿宋_GB2312"/>
          <w:color w:val="auto"/>
          <w:shd w:val="clear" w:color="auto" w:fill="auto"/>
        </w:rPr>
        <w:t>中华人民共和国治安管理处罚法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》</w:t>
      </w:r>
      <w:r>
        <w:rPr>
          <w:rFonts w:ascii="仿宋_GB2312" w:hAnsi="仿宋_GB2312" w:cs="仿宋_GB2312"/>
          <w:color w:val="auto"/>
          <w:shd w:val="clear" w:color="auto" w:fill="auto"/>
        </w:rPr>
        <w:t>第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九十五</w:t>
      </w:r>
      <w:r>
        <w:rPr>
          <w:rFonts w:ascii="仿宋_GB2312" w:hAnsi="仿宋_GB2312" w:cs="仿宋_GB2312"/>
          <w:color w:val="auto"/>
          <w:shd w:val="clear" w:color="auto" w:fill="auto"/>
        </w:rPr>
        <w:t>条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第</w:t>
      </w:r>
      <w:r>
        <w:rPr>
          <w:rFonts w:hint="eastAsia" w:ascii="仿宋_GB2312" w:hAnsi="仿宋" w:cs="仿宋_GB2312"/>
          <w:color w:val="auto"/>
          <w:shd w:val="clear" w:color="auto" w:fill="auto"/>
        </w:rPr>
        <w:t>（二）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项规定，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治安案件调查结束后，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公安机关认定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违法事实不能成立的，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应当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作出不予处罚决定</w:t>
      </w:r>
      <w:r>
        <w:rPr>
          <w:rFonts w:hint="eastAsia" w:ascii="仿宋_GB2312" w:hAnsi="仿宋_GB2312" w:cs="仿宋_GB2312"/>
          <w:color w:val="auto"/>
          <w:shd w:val="clear" w:color="auto" w:fill="auto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本案中，被申请人在经调查取证后，认定第三人违法事实不能成立。遂作出不予行政处罚的决定，适用依据正确，内容适当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16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三、被申请人作出30号《决定书》的程序合法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申请人报案后，被申请人依法履行了受理</w:t>
      </w:r>
      <w:r>
        <w:rPr>
          <w:rFonts w:hint="eastAsia" w:ascii="仿宋_GB2312" w:hAnsi="仿宋_GB2312" w:cs="仿宋_GB2312"/>
          <w:color w:val="auto"/>
          <w:lang w:eastAsia="zh-CN"/>
        </w:rPr>
        <w:t>、</w:t>
      </w:r>
      <w:r>
        <w:rPr>
          <w:rFonts w:hint="eastAsia" w:ascii="仿宋_GB2312" w:hAnsi="仿宋_GB2312" w:cs="仿宋_GB2312"/>
          <w:color w:val="auto"/>
        </w:rPr>
        <w:t>调查、延期、</w:t>
      </w:r>
      <w:r>
        <w:rPr>
          <w:rFonts w:hint="eastAsia" w:ascii="仿宋_GB2312" w:hAnsi="仿宋_GB2312" w:cs="仿宋_GB2312"/>
          <w:color w:val="auto"/>
          <w:lang w:val="en-US" w:eastAsia="zh-CN"/>
        </w:rPr>
        <w:t>决定并送达</w:t>
      </w:r>
      <w:r>
        <w:rPr>
          <w:rFonts w:hint="eastAsia" w:ascii="仿宋_GB2312" w:hAnsi="仿宋_GB2312" w:cs="仿宋_GB2312"/>
          <w:color w:val="auto"/>
        </w:rPr>
        <w:t>等程序</w:t>
      </w:r>
      <w:r>
        <w:rPr>
          <w:rFonts w:hint="eastAsia" w:ascii="仿宋_GB2312" w:hAnsi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</w:rPr>
        <w:t>符合《中华人民共和国治安管理处罚法》第九条、第七十七条、第八十五条、第九十五条</w:t>
      </w:r>
      <w:r>
        <w:rPr>
          <w:rFonts w:hint="eastAsia" w:ascii="仿宋_GB2312" w:hAnsi="仿宋_GB2312" w:cs="仿宋_GB2312"/>
          <w:color w:val="auto"/>
          <w:lang w:val="en-US" w:eastAsia="zh-CN"/>
        </w:rPr>
        <w:t>第（二）项</w:t>
      </w:r>
      <w:r>
        <w:rPr>
          <w:rFonts w:hint="eastAsia" w:ascii="仿宋_GB2312" w:hAnsi="仿宋_GB2312" w:cs="仿宋_GB2312"/>
          <w:color w:val="auto"/>
        </w:rPr>
        <w:t>、第九十九条</w:t>
      </w:r>
      <w:r>
        <w:rPr>
          <w:rFonts w:hint="eastAsia" w:ascii="仿宋_GB2312" w:hAnsi="仿宋_GB2312" w:cs="仿宋_GB2312"/>
          <w:color w:val="auto"/>
          <w:lang w:val="en-US" w:eastAsia="zh-CN"/>
        </w:rPr>
        <w:t>和</w:t>
      </w:r>
      <w:r>
        <w:rPr>
          <w:rFonts w:hint="eastAsia" w:ascii="仿宋_GB2312" w:hAnsi="仿宋_GB2312" w:cs="仿宋_GB2312"/>
          <w:color w:val="auto"/>
        </w:rPr>
        <w:t>《公安机关办理行政案件程序规定》第三十六条、第一百六十五条第一款、第一百六十七条第三款、第一百七十二条第三款、第一百八十条等规定，程序合法。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ascii="仿宋_GB2312" w:hAnsi="仿宋_GB2312" w:cs="仿宋_GB2312"/>
          <w:color w:val="auto"/>
          <w:shd w:val="clear" w:color="auto" w:fill="auto"/>
        </w:rPr>
      </w:pPr>
      <w:r>
        <w:rPr>
          <w:rFonts w:hint="eastAsia" w:ascii="仿宋_GB2312" w:hAnsi="仿宋_GB2312" w:cs="仿宋_GB2312"/>
          <w:color w:val="auto"/>
          <w:shd w:val="clear" w:color="auto" w:fill="auto"/>
        </w:rPr>
        <w:t>综上，被申请人作出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的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30号《决定书》</w:t>
      </w:r>
      <w:r>
        <w:rPr>
          <w:rFonts w:hint="eastAsia" w:ascii="仿宋_GB2312" w:hAnsi="仿宋_GB2312" w:cs="仿宋_GB2312"/>
          <w:color w:val="auto"/>
          <w:shd w:val="clear" w:color="auto" w:fill="auto"/>
          <w:lang w:val="en-US" w:eastAsia="zh-CN"/>
        </w:rPr>
        <w:t>认定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事实清楚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>证据确凿，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适用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>依据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正确，程序合法，内容适当。依照《中华人民共和国行政复议法》第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>六十八条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规定，本机关决定</w:t>
      </w:r>
      <w:r>
        <w:rPr>
          <w:rFonts w:hint="eastAsia" w:ascii="仿宋_GB2312" w:hAnsi="仿宋_GB2312" w:cs="仿宋_GB2312"/>
          <w:color w:val="auto"/>
          <w:shd w:val="clear" w:color="auto" w:fill="auto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ascii="仿宋_GB2312" w:hAnsi="仿宋_GB2312" w:cs="仿宋_GB2312"/>
          <w:color w:val="auto"/>
          <w:shd w:val="clear" w:color="auto" w:fill="auto"/>
        </w:rPr>
      </w:pPr>
      <w:r>
        <w:rPr>
          <w:rFonts w:hint="eastAsia" w:ascii="仿宋_GB2312" w:hAnsi="仿宋_GB2312" w:cs="仿宋_GB2312"/>
          <w:color w:val="auto"/>
          <w:shd w:val="clear" w:color="auto" w:fill="auto"/>
        </w:rPr>
        <w:t>维持被申请人作出的30号《决定书》。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 xml:space="preserve">如不服本决定，可以自收到本决定书之日起十五日内依法向人民法院提起行政诉讼。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202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年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月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>28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日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 xml:space="preserve">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cs="仿宋_GB2312"/>
          <w:color w:val="auto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Cs w:val="32"/>
          <w:shd w:val="clear" w:color="auto" w:fill="auto"/>
        </w:rPr>
        <w:t>附：相关法律依据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color w:val="auto"/>
          <w:shd w:val="clear" w:color="auto" w:fill="auto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960" w:firstLineChars="300"/>
        <w:textAlignment w:val="auto"/>
        <w:rPr>
          <w:rFonts w:ascii="仿宋_GB2312" w:hAnsi="仿宋_GB2312" w:cs="仿宋_GB2312"/>
          <w:color w:val="auto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Cs w:val="32"/>
          <w:shd w:val="clear" w:color="auto" w:fill="auto"/>
        </w:rPr>
        <w:t>《</w:t>
      </w:r>
      <w:r>
        <w:rPr>
          <w:rFonts w:ascii="黑体" w:hAnsi="黑体" w:eastAsia="黑体" w:cs="黑体"/>
          <w:color w:val="auto"/>
          <w:szCs w:val="32"/>
          <w:shd w:val="clear" w:color="auto" w:fill="auto"/>
        </w:rPr>
        <w:t>中华人民共和国治安管理处罚法</w:t>
      </w:r>
      <w:r>
        <w:rPr>
          <w:rFonts w:hint="eastAsia" w:ascii="黑体" w:hAnsi="黑体" w:eastAsia="黑体" w:cs="黑体"/>
          <w:color w:val="auto"/>
          <w:szCs w:val="32"/>
          <w:shd w:val="clear" w:color="auto" w:fill="auto"/>
        </w:rPr>
        <w:t>》</w:t>
      </w:r>
      <w:r>
        <w:rPr>
          <w:rFonts w:ascii="黑体" w:hAnsi="黑体" w:eastAsia="黑体" w:cs="黑体"/>
          <w:color w:val="auto"/>
          <w:shd w:val="clear" w:color="auto" w:fill="auto"/>
        </w:rPr>
        <w:t>(2012</w:t>
      </w:r>
      <w:r>
        <w:rPr>
          <w:rFonts w:hint="eastAsia" w:ascii="黑体" w:hAnsi="黑体" w:eastAsia="黑体" w:cs="黑体"/>
          <w:color w:val="auto"/>
          <w:shd w:val="clear" w:color="auto" w:fill="auto"/>
        </w:rPr>
        <w:t>年</w:t>
      </w:r>
      <w:r>
        <w:rPr>
          <w:rFonts w:ascii="黑体" w:hAnsi="黑体" w:eastAsia="黑体" w:cs="黑体"/>
          <w:color w:val="auto"/>
          <w:shd w:val="clear" w:color="auto" w:fill="auto"/>
        </w:rPr>
        <w:t>修正)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/>
          <w:color w:val="auto"/>
          <w:szCs w:val="32"/>
          <w:shd w:val="clear" w:color="auto" w:fill="auto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/>
          <w:color w:val="auto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shd w:val="clear" w:color="auto" w:fill="auto"/>
          <w:lang w:val="en-US" w:eastAsia="zh-CN"/>
        </w:rPr>
        <w:t>第九十五条</w:t>
      </w:r>
      <w:r>
        <w:rPr>
          <w:rFonts w:hint="eastAsia"/>
          <w:color w:val="auto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/>
          <w:color w:val="auto"/>
          <w:szCs w:val="32"/>
          <w:shd w:val="clear" w:color="auto" w:fill="auto"/>
          <w:lang w:eastAsia="zh-CN"/>
        </w:rPr>
        <w:t>治安案件调查结束后，公安机关应当根据不同情况，分别作出以下处理：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jc w:val="left"/>
        <w:textAlignment w:val="auto"/>
        <w:rPr>
          <w:color w:val="auto"/>
          <w:szCs w:val="32"/>
          <w:shd w:val="clear" w:color="auto" w:fill="auto"/>
        </w:rPr>
      </w:pPr>
      <w:r>
        <w:rPr>
          <w:rFonts w:hint="eastAsia"/>
          <w:color w:val="auto"/>
          <w:szCs w:val="32"/>
          <w:shd w:val="clear" w:color="auto" w:fill="auto"/>
        </w:rPr>
        <w:t>......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/>
          <w:color w:val="auto"/>
          <w:szCs w:val="32"/>
          <w:shd w:val="clear" w:color="auto" w:fill="auto"/>
          <w:lang w:eastAsia="zh-CN"/>
        </w:rPr>
      </w:pPr>
      <w:r>
        <w:rPr>
          <w:rFonts w:hint="eastAsia"/>
          <w:color w:val="auto"/>
          <w:szCs w:val="32"/>
          <w:shd w:val="clear" w:color="auto" w:fill="auto"/>
          <w:lang w:eastAsia="zh-CN"/>
        </w:rPr>
        <w:t>（二）依法不予处罚的，或者违法事实不能成立的，作出不予处罚决定；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 xml:space="preserve"> ……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shd w:val="clear" w:color="auto" w:fill="auto"/>
          <w:lang w:val="en-US" w:eastAsia="zh-CN"/>
        </w:rPr>
        <w:t>第九十九条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 xml:space="preserve">  公安机关办理治安案件的期限，自受理之日起不得超过三十日；案情重大、复杂的，经上一级公安机关批准，可以延长三十日。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  <w:t>为了查明案情进行鉴定的期间，不计入办理治安案件的期限。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ascii="黑体" w:hAnsi="黑体" w:eastAsia="黑体" w:cs="黑体"/>
          <w:color w:val="auto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hd w:val="clear" w:color="auto" w:fill="auto"/>
        </w:rPr>
        <w:t>《</w:t>
      </w:r>
      <w:r>
        <w:rPr>
          <w:rFonts w:ascii="黑体" w:hAnsi="黑体" w:eastAsia="黑体" w:cs="黑体"/>
          <w:color w:val="auto"/>
          <w:shd w:val="clear" w:color="auto" w:fill="auto"/>
        </w:rPr>
        <w:t>中华人民共和国行政复议法</w:t>
      </w:r>
      <w:r>
        <w:rPr>
          <w:rFonts w:hint="eastAsia" w:ascii="黑体" w:hAnsi="黑体" w:eastAsia="黑体" w:cs="黑体"/>
          <w:color w:val="auto"/>
          <w:shd w:val="clear" w:color="auto" w:fill="auto"/>
        </w:rPr>
        <w:t>》</w:t>
      </w:r>
      <w:r>
        <w:rPr>
          <w:rFonts w:ascii="黑体" w:hAnsi="黑体" w:eastAsia="黑体" w:cs="黑体"/>
          <w:color w:val="auto"/>
          <w:shd w:val="clear" w:color="auto" w:fill="auto"/>
        </w:rPr>
        <w:t>(20</w:t>
      </w:r>
      <w:r>
        <w:rPr>
          <w:rFonts w:hint="eastAsia" w:ascii="黑体" w:hAnsi="黑体" w:eastAsia="黑体" w:cs="黑体"/>
          <w:color w:val="auto"/>
          <w:shd w:val="clear" w:color="auto" w:fill="auto"/>
          <w:lang w:val="en-US" w:eastAsia="zh-CN"/>
        </w:rPr>
        <w:t>23</w:t>
      </w:r>
      <w:r>
        <w:rPr>
          <w:rFonts w:hint="eastAsia" w:ascii="黑体" w:hAnsi="黑体" w:eastAsia="黑体" w:cs="黑体"/>
          <w:color w:val="auto"/>
          <w:shd w:val="clear" w:color="auto" w:fill="auto"/>
        </w:rPr>
        <w:t>年</w:t>
      </w:r>
      <w:r>
        <w:rPr>
          <w:rFonts w:ascii="黑体" w:hAnsi="黑体" w:eastAsia="黑体" w:cs="黑体"/>
          <w:color w:val="auto"/>
          <w:shd w:val="clear" w:color="auto" w:fill="auto"/>
        </w:rPr>
        <w:t>修正)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ascii="黑体" w:hAnsi="黑体" w:eastAsia="黑体" w:cs="黑体"/>
          <w:color w:val="auto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Cs w:val="32"/>
          <w:shd w:val="clear" w:color="auto" w:fill="auto"/>
        </w:rPr>
        <w:t>第</w:t>
      </w:r>
      <w:r>
        <w:rPr>
          <w:rFonts w:hint="eastAsia" w:ascii="黑体" w:hAnsi="黑体" w:eastAsia="黑体" w:cs="黑体"/>
          <w:color w:val="auto"/>
          <w:szCs w:val="32"/>
          <w:shd w:val="clear" w:color="auto" w:fill="auto"/>
          <w:lang w:val="en-US" w:eastAsia="zh-CN"/>
        </w:rPr>
        <w:t>六十八条</w:t>
      </w:r>
      <w:r>
        <w:rPr>
          <w:rFonts w:hint="eastAsia" w:ascii="黑体" w:hAnsi="黑体" w:eastAsia="黑体" w:cs="黑体"/>
          <w:color w:val="auto"/>
          <w:szCs w:val="32"/>
          <w:shd w:val="clear" w:color="auto" w:fill="auto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shd w:val="clear" w:color="auto" w:fill="auto"/>
        </w:rPr>
        <w:t>行政行为认定事实清楚，证据确凿，适用依据正确，程序合法，内容适当的，行政复议机关决定维持该行政行为。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仿宋_GB2312" w:hAnsi="仿宋_GB2312" w:cs="仿宋_GB2312"/>
          <w:color w:val="auto"/>
          <w:szCs w:val="32"/>
          <w:shd w:val="clear" w:color="auto" w:fill="auto"/>
        </w:rPr>
      </w:pPr>
    </w:p>
    <w:sectPr>
      <w:footerReference r:id="rId3" w:type="default"/>
      <w:pgSz w:w="11906" w:h="16838"/>
      <w:pgMar w:top="1814" w:right="1474" w:bottom="175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zViZGYxN2VkZWNiODc2YzczYzQ5N2I0MjRjZWUifQ=="/>
    <w:docVar w:name="KSO_WPS_MARK_KEY" w:val="2e7b9305-d9e0-41bd-be84-82fb6e223374"/>
  </w:docVars>
  <w:rsids>
    <w:rsidRoot w:val="00173391"/>
    <w:rsid w:val="00031173"/>
    <w:rsid w:val="000C1653"/>
    <w:rsid w:val="000D4C40"/>
    <w:rsid w:val="000E6B12"/>
    <w:rsid w:val="001023A1"/>
    <w:rsid w:val="00117E70"/>
    <w:rsid w:val="0013728A"/>
    <w:rsid w:val="00173391"/>
    <w:rsid w:val="00194C73"/>
    <w:rsid w:val="001C64DA"/>
    <w:rsid w:val="001F1A56"/>
    <w:rsid w:val="001F6C72"/>
    <w:rsid w:val="00276BB3"/>
    <w:rsid w:val="002835C7"/>
    <w:rsid w:val="003404E6"/>
    <w:rsid w:val="00367999"/>
    <w:rsid w:val="00391F05"/>
    <w:rsid w:val="003C468C"/>
    <w:rsid w:val="003D6D3C"/>
    <w:rsid w:val="00407FC2"/>
    <w:rsid w:val="0044169C"/>
    <w:rsid w:val="00441FA8"/>
    <w:rsid w:val="0044291D"/>
    <w:rsid w:val="0044317E"/>
    <w:rsid w:val="00464672"/>
    <w:rsid w:val="004B1D3E"/>
    <w:rsid w:val="005369A7"/>
    <w:rsid w:val="005B5649"/>
    <w:rsid w:val="005B5D4E"/>
    <w:rsid w:val="005C4102"/>
    <w:rsid w:val="00677FAA"/>
    <w:rsid w:val="00697442"/>
    <w:rsid w:val="0069744B"/>
    <w:rsid w:val="006A044C"/>
    <w:rsid w:val="006B7ACF"/>
    <w:rsid w:val="006C166C"/>
    <w:rsid w:val="00723AD6"/>
    <w:rsid w:val="00791B01"/>
    <w:rsid w:val="007B31C8"/>
    <w:rsid w:val="007C77FF"/>
    <w:rsid w:val="0087751A"/>
    <w:rsid w:val="00956680"/>
    <w:rsid w:val="00975C06"/>
    <w:rsid w:val="009C00AB"/>
    <w:rsid w:val="00A70359"/>
    <w:rsid w:val="00B16F27"/>
    <w:rsid w:val="00B34A4D"/>
    <w:rsid w:val="00B44A13"/>
    <w:rsid w:val="00B55436"/>
    <w:rsid w:val="00B675B0"/>
    <w:rsid w:val="00B71951"/>
    <w:rsid w:val="00BE798C"/>
    <w:rsid w:val="00C3679C"/>
    <w:rsid w:val="00CB0218"/>
    <w:rsid w:val="00CC3885"/>
    <w:rsid w:val="00D334FE"/>
    <w:rsid w:val="00D565C6"/>
    <w:rsid w:val="00DE6A21"/>
    <w:rsid w:val="00DF3A35"/>
    <w:rsid w:val="00DF6C27"/>
    <w:rsid w:val="00E857DB"/>
    <w:rsid w:val="00ED7459"/>
    <w:rsid w:val="00F5682B"/>
    <w:rsid w:val="00F66CCD"/>
    <w:rsid w:val="00F72D2F"/>
    <w:rsid w:val="00F876D7"/>
    <w:rsid w:val="01D72E6A"/>
    <w:rsid w:val="01DA695E"/>
    <w:rsid w:val="02186746"/>
    <w:rsid w:val="022D1645"/>
    <w:rsid w:val="02772ADE"/>
    <w:rsid w:val="027D07C4"/>
    <w:rsid w:val="027E6B59"/>
    <w:rsid w:val="0296166D"/>
    <w:rsid w:val="03314FED"/>
    <w:rsid w:val="034260A0"/>
    <w:rsid w:val="03C87616"/>
    <w:rsid w:val="03E12C8F"/>
    <w:rsid w:val="03FE67A3"/>
    <w:rsid w:val="040F61C6"/>
    <w:rsid w:val="043D0022"/>
    <w:rsid w:val="046152A6"/>
    <w:rsid w:val="04760B3E"/>
    <w:rsid w:val="049F3286"/>
    <w:rsid w:val="04CE7D65"/>
    <w:rsid w:val="04D27E36"/>
    <w:rsid w:val="04F21153"/>
    <w:rsid w:val="0520115D"/>
    <w:rsid w:val="05703D02"/>
    <w:rsid w:val="05810D93"/>
    <w:rsid w:val="0593717D"/>
    <w:rsid w:val="05A21451"/>
    <w:rsid w:val="05B11678"/>
    <w:rsid w:val="060106BC"/>
    <w:rsid w:val="063606F9"/>
    <w:rsid w:val="066045DF"/>
    <w:rsid w:val="07073C48"/>
    <w:rsid w:val="070E04B0"/>
    <w:rsid w:val="073524D7"/>
    <w:rsid w:val="07365893"/>
    <w:rsid w:val="07675AA8"/>
    <w:rsid w:val="07BD796A"/>
    <w:rsid w:val="07CD42F3"/>
    <w:rsid w:val="07E44DDB"/>
    <w:rsid w:val="082C364B"/>
    <w:rsid w:val="083F3DE0"/>
    <w:rsid w:val="08634CE3"/>
    <w:rsid w:val="08BB5894"/>
    <w:rsid w:val="090E546B"/>
    <w:rsid w:val="093709C3"/>
    <w:rsid w:val="099C124E"/>
    <w:rsid w:val="099F5984"/>
    <w:rsid w:val="09B4334D"/>
    <w:rsid w:val="0A6D57A4"/>
    <w:rsid w:val="0A7C48A2"/>
    <w:rsid w:val="0AAA603F"/>
    <w:rsid w:val="0AD36590"/>
    <w:rsid w:val="0AF3192F"/>
    <w:rsid w:val="0C3039EC"/>
    <w:rsid w:val="0C760F26"/>
    <w:rsid w:val="0C9972C5"/>
    <w:rsid w:val="0D4A38BF"/>
    <w:rsid w:val="0D523F2E"/>
    <w:rsid w:val="0DE70F06"/>
    <w:rsid w:val="0E10249A"/>
    <w:rsid w:val="0F27078A"/>
    <w:rsid w:val="0F275F02"/>
    <w:rsid w:val="0F3660E8"/>
    <w:rsid w:val="0F5F05FD"/>
    <w:rsid w:val="0F9A44A0"/>
    <w:rsid w:val="10652FF2"/>
    <w:rsid w:val="10857DEA"/>
    <w:rsid w:val="1087349F"/>
    <w:rsid w:val="10950BCF"/>
    <w:rsid w:val="10A51DDA"/>
    <w:rsid w:val="11085A27"/>
    <w:rsid w:val="11734BA8"/>
    <w:rsid w:val="119D7D4A"/>
    <w:rsid w:val="1279351E"/>
    <w:rsid w:val="128C67A4"/>
    <w:rsid w:val="12BF3FAA"/>
    <w:rsid w:val="13364ECE"/>
    <w:rsid w:val="13724175"/>
    <w:rsid w:val="13806B2E"/>
    <w:rsid w:val="14290F74"/>
    <w:rsid w:val="14C3227A"/>
    <w:rsid w:val="14D5007F"/>
    <w:rsid w:val="15636DB7"/>
    <w:rsid w:val="15673B02"/>
    <w:rsid w:val="158D6A2F"/>
    <w:rsid w:val="159C3BE0"/>
    <w:rsid w:val="15BB6735"/>
    <w:rsid w:val="1645297C"/>
    <w:rsid w:val="165435B8"/>
    <w:rsid w:val="167A3931"/>
    <w:rsid w:val="16985F3D"/>
    <w:rsid w:val="16C27D85"/>
    <w:rsid w:val="16D056D6"/>
    <w:rsid w:val="16FA5527"/>
    <w:rsid w:val="16FF3ED5"/>
    <w:rsid w:val="171E4694"/>
    <w:rsid w:val="17905079"/>
    <w:rsid w:val="18034F05"/>
    <w:rsid w:val="182A09E8"/>
    <w:rsid w:val="185775BB"/>
    <w:rsid w:val="185F054A"/>
    <w:rsid w:val="18B75001"/>
    <w:rsid w:val="18BB10A8"/>
    <w:rsid w:val="18EB4D5B"/>
    <w:rsid w:val="19182AFC"/>
    <w:rsid w:val="191C10A7"/>
    <w:rsid w:val="19BD6E2D"/>
    <w:rsid w:val="19CF11B1"/>
    <w:rsid w:val="19FB6F0E"/>
    <w:rsid w:val="1A4E34E2"/>
    <w:rsid w:val="1B16428C"/>
    <w:rsid w:val="1B391A9C"/>
    <w:rsid w:val="1B90083D"/>
    <w:rsid w:val="1BA6097A"/>
    <w:rsid w:val="1BEA548C"/>
    <w:rsid w:val="1C134017"/>
    <w:rsid w:val="1C1F59E6"/>
    <w:rsid w:val="1C224C26"/>
    <w:rsid w:val="1C725380"/>
    <w:rsid w:val="1C955475"/>
    <w:rsid w:val="1D194475"/>
    <w:rsid w:val="1D530557"/>
    <w:rsid w:val="1D7962CE"/>
    <w:rsid w:val="1D864D41"/>
    <w:rsid w:val="1DAF6B70"/>
    <w:rsid w:val="1DE73854"/>
    <w:rsid w:val="1DEB786F"/>
    <w:rsid w:val="1E22560A"/>
    <w:rsid w:val="1E2D1EFA"/>
    <w:rsid w:val="1E3469B1"/>
    <w:rsid w:val="1E65704C"/>
    <w:rsid w:val="1ED574BB"/>
    <w:rsid w:val="1F310D5A"/>
    <w:rsid w:val="1F962A26"/>
    <w:rsid w:val="1FD21C27"/>
    <w:rsid w:val="20874782"/>
    <w:rsid w:val="21772DFE"/>
    <w:rsid w:val="21A41C3A"/>
    <w:rsid w:val="21AA2FEF"/>
    <w:rsid w:val="21E119C1"/>
    <w:rsid w:val="22090967"/>
    <w:rsid w:val="222206FA"/>
    <w:rsid w:val="222C235B"/>
    <w:rsid w:val="22C12ADA"/>
    <w:rsid w:val="23203056"/>
    <w:rsid w:val="23A255C0"/>
    <w:rsid w:val="23BB159D"/>
    <w:rsid w:val="23BB5AD0"/>
    <w:rsid w:val="242E465A"/>
    <w:rsid w:val="24334CE9"/>
    <w:rsid w:val="248023AC"/>
    <w:rsid w:val="24C04F97"/>
    <w:rsid w:val="24D440CB"/>
    <w:rsid w:val="257C23D6"/>
    <w:rsid w:val="259250C6"/>
    <w:rsid w:val="25DA4368"/>
    <w:rsid w:val="26133EC2"/>
    <w:rsid w:val="26651665"/>
    <w:rsid w:val="269F118D"/>
    <w:rsid w:val="271215C5"/>
    <w:rsid w:val="27135897"/>
    <w:rsid w:val="27353C36"/>
    <w:rsid w:val="27363937"/>
    <w:rsid w:val="279C5764"/>
    <w:rsid w:val="282E04AF"/>
    <w:rsid w:val="28430893"/>
    <w:rsid w:val="284B2E0F"/>
    <w:rsid w:val="28B324CC"/>
    <w:rsid w:val="28F41CEE"/>
    <w:rsid w:val="290C6B0C"/>
    <w:rsid w:val="2996390B"/>
    <w:rsid w:val="2A257690"/>
    <w:rsid w:val="2A9450DD"/>
    <w:rsid w:val="2AC87F39"/>
    <w:rsid w:val="2B0E319E"/>
    <w:rsid w:val="2B5D5F72"/>
    <w:rsid w:val="2B7C6327"/>
    <w:rsid w:val="2B821F6A"/>
    <w:rsid w:val="2BF42BDA"/>
    <w:rsid w:val="2CDD41DD"/>
    <w:rsid w:val="2D734909"/>
    <w:rsid w:val="2D8C42FF"/>
    <w:rsid w:val="2E2040A7"/>
    <w:rsid w:val="2E2077A4"/>
    <w:rsid w:val="2E571C64"/>
    <w:rsid w:val="2EB41C8B"/>
    <w:rsid w:val="2ECD2B82"/>
    <w:rsid w:val="2EF53A80"/>
    <w:rsid w:val="2F0F4187"/>
    <w:rsid w:val="2F2D14C0"/>
    <w:rsid w:val="2F3D48A7"/>
    <w:rsid w:val="2F7321C6"/>
    <w:rsid w:val="2FC91561"/>
    <w:rsid w:val="303C1284"/>
    <w:rsid w:val="309D5B75"/>
    <w:rsid w:val="30B46E55"/>
    <w:rsid w:val="310517D7"/>
    <w:rsid w:val="311D7312"/>
    <w:rsid w:val="31421818"/>
    <w:rsid w:val="314C6D75"/>
    <w:rsid w:val="3189579A"/>
    <w:rsid w:val="31A6432B"/>
    <w:rsid w:val="31FE3BA8"/>
    <w:rsid w:val="324820CF"/>
    <w:rsid w:val="32AE3959"/>
    <w:rsid w:val="32B345E9"/>
    <w:rsid w:val="32B77592"/>
    <w:rsid w:val="32FC6591"/>
    <w:rsid w:val="33634778"/>
    <w:rsid w:val="33CA5F86"/>
    <w:rsid w:val="33FA7774"/>
    <w:rsid w:val="340824FC"/>
    <w:rsid w:val="34531178"/>
    <w:rsid w:val="345E2322"/>
    <w:rsid w:val="34644E8A"/>
    <w:rsid w:val="34930017"/>
    <w:rsid w:val="35102C1B"/>
    <w:rsid w:val="35132F74"/>
    <w:rsid w:val="35284797"/>
    <w:rsid w:val="352D61B6"/>
    <w:rsid w:val="355754E9"/>
    <w:rsid w:val="361114DB"/>
    <w:rsid w:val="361909F0"/>
    <w:rsid w:val="36504A70"/>
    <w:rsid w:val="365C18B7"/>
    <w:rsid w:val="36806379"/>
    <w:rsid w:val="3704552C"/>
    <w:rsid w:val="37155ED0"/>
    <w:rsid w:val="378F5A76"/>
    <w:rsid w:val="37A175F6"/>
    <w:rsid w:val="3817046E"/>
    <w:rsid w:val="38547DED"/>
    <w:rsid w:val="38750F00"/>
    <w:rsid w:val="387657EE"/>
    <w:rsid w:val="38810BBF"/>
    <w:rsid w:val="38934FA3"/>
    <w:rsid w:val="392C5D54"/>
    <w:rsid w:val="3936081A"/>
    <w:rsid w:val="3B297383"/>
    <w:rsid w:val="3B583D69"/>
    <w:rsid w:val="3BAF7E88"/>
    <w:rsid w:val="3BF72DE1"/>
    <w:rsid w:val="3C5B40CF"/>
    <w:rsid w:val="3C811F17"/>
    <w:rsid w:val="3CBC71AA"/>
    <w:rsid w:val="3CCA65A0"/>
    <w:rsid w:val="3CDD23BC"/>
    <w:rsid w:val="3CE85859"/>
    <w:rsid w:val="3D2D610D"/>
    <w:rsid w:val="3D3D17A6"/>
    <w:rsid w:val="3D8D3ED2"/>
    <w:rsid w:val="3DC843C7"/>
    <w:rsid w:val="3DDC47DD"/>
    <w:rsid w:val="3E512768"/>
    <w:rsid w:val="3E7D01A9"/>
    <w:rsid w:val="40A614F0"/>
    <w:rsid w:val="40B151FF"/>
    <w:rsid w:val="410113CA"/>
    <w:rsid w:val="41881FEC"/>
    <w:rsid w:val="418F7DB9"/>
    <w:rsid w:val="41972D41"/>
    <w:rsid w:val="41C510C9"/>
    <w:rsid w:val="41EA1A5C"/>
    <w:rsid w:val="421B4C12"/>
    <w:rsid w:val="426C60AD"/>
    <w:rsid w:val="42A55D43"/>
    <w:rsid w:val="42B26EC7"/>
    <w:rsid w:val="43303F4C"/>
    <w:rsid w:val="43937642"/>
    <w:rsid w:val="43BC460F"/>
    <w:rsid w:val="447941A6"/>
    <w:rsid w:val="44C0755B"/>
    <w:rsid w:val="44F041A8"/>
    <w:rsid w:val="45202985"/>
    <w:rsid w:val="45AB54E4"/>
    <w:rsid w:val="45DB0EE9"/>
    <w:rsid w:val="46056014"/>
    <w:rsid w:val="461F5793"/>
    <w:rsid w:val="46A71977"/>
    <w:rsid w:val="46B1257F"/>
    <w:rsid w:val="46B17D20"/>
    <w:rsid w:val="4760647F"/>
    <w:rsid w:val="47B079B9"/>
    <w:rsid w:val="480758A0"/>
    <w:rsid w:val="481A2F5E"/>
    <w:rsid w:val="48F71984"/>
    <w:rsid w:val="490D12B3"/>
    <w:rsid w:val="496A0E7F"/>
    <w:rsid w:val="49A964DD"/>
    <w:rsid w:val="4A710636"/>
    <w:rsid w:val="4AAD4EE2"/>
    <w:rsid w:val="4AF64152"/>
    <w:rsid w:val="4B32209B"/>
    <w:rsid w:val="4B416796"/>
    <w:rsid w:val="4BF20426"/>
    <w:rsid w:val="4C0E30AC"/>
    <w:rsid w:val="4C101AF6"/>
    <w:rsid w:val="4C2E1B9C"/>
    <w:rsid w:val="4CC80299"/>
    <w:rsid w:val="4D130CEA"/>
    <w:rsid w:val="4D9D7C02"/>
    <w:rsid w:val="4DEC0832"/>
    <w:rsid w:val="4DF94F37"/>
    <w:rsid w:val="4E4B6072"/>
    <w:rsid w:val="4E6017B2"/>
    <w:rsid w:val="4EA81C5C"/>
    <w:rsid w:val="4EA96360"/>
    <w:rsid w:val="4EB41951"/>
    <w:rsid w:val="4EFB6A8D"/>
    <w:rsid w:val="4F43070F"/>
    <w:rsid w:val="4F49251D"/>
    <w:rsid w:val="4F610FE6"/>
    <w:rsid w:val="4F7A52E9"/>
    <w:rsid w:val="4F7A7396"/>
    <w:rsid w:val="4F830703"/>
    <w:rsid w:val="4FBD3D43"/>
    <w:rsid w:val="4FD1713F"/>
    <w:rsid w:val="4FD8516C"/>
    <w:rsid w:val="4FF45451"/>
    <w:rsid w:val="501C5EBE"/>
    <w:rsid w:val="50E23731"/>
    <w:rsid w:val="518966F4"/>
    <w:rsid w:val="51E04748"/>
    <w:rsid w:val="52AF0E5B"/>
    <w:rsid w:val="53046013"/>
    <w:rsid w:val="53F20074"/>
    <w:rsid w:val="54563EAA"/>
    <w:rsid w:val="55697EAC"/>
    <w:rsid w:val="558C4967"/>
    <w:rsid w:val="55950239"/>
    <w:rsid w:val="564353A9"/>
    <w:rsid w:val="565A3AAA"/>
    <w:rsid w:val="566273F2"/>
    <w:rsid w:val="567672D1"/>
    <w:rsid w:val="56807FCC"/>
    <w:rsid w:val="56B75990"/>
    <w:rsid w:val="56F06FCB"/>
    <w:rsid w:val="571B7CCD"/>
    <w:rsid w:val="57CD0530"/>
    <w:rsid w:val="583810A7"/>
    <w:rsid w:val="589D40DE"/>
    <w:rsid w:val="58B30F17"/>
    <w:rsid w:val="58D26AB1"/>
    <w:rsid w:val="58FC65B2"/>
    <w:rsid w:val="591E46FE"/>
    <w:rsid w:val="597B168D"/>
    <w:rsid w:val="59846165"/>
    <w:rsid w:val="59C62686"/>
    <w:rsid w:val="59DE7B4D"/>
    <w:rsid w:val="5A166713"/>
    <w:rsid w:val="5A2E67C2"/>
    <w:rsid w:val="5A363CD4"/>
    <w:rsid w:val="5A9F4C37"/>
    <w:rsid w:val="5AA1673B"/>
    <w:rsid w:val="5AAE0892"/>
    <w:rsid w:val="5B36303F"/>
    <w:rsid w:val="5B54642A"/>
    <w:rsid w:val="5B712E3D"/>
    <w:rsid w:val="5B9C41BA"/>
    <w:rsid w:val="5C045D56"/>
    <w:rsid w:val="5C4C6B7A"/>
    <w:rsid w:val="5C695CAA"/>
    <w:rsid w:val="5CFD3742"/>
    <w:rsid w:val="5D577585"/>
    <w:rsid w:val="5DA94FAB"/>
    <w:rsid w:val="5E707684"/>
    <w:rsid w:val="5E800D5D"/>
    <w:rsid w:val="5F115EE2"/>
    <w:rsid w:val="5F263FF8"/>
    <w:rsid w:val="5F2B6081"/>
    <w:rsid w:val="5F6829B2"/>
    <w:rsid w:val="5F6A4197"/>
    <w:rsid w:val="5F6A5577"/>
    <w:rsid w:val="5F9B7402"/>
    <w:rsid w:val="608C0C1C"/>
    <w:rsid w:val="608F2502"/>
    <w:rsid w:val="612761C7"/>
    <w:rsid w:val="61691333"/>
    <w:rsid w:val="617E4983"/>
    <w:rsid w:val="61BC3E5A"/>
    <w:rsid w:val="61E33C31"/>
    <w:rsid w:val="620D56BC"/>
    <w:rsid w:val="623D5D91"/>
    <w:rsid w:val="625725F2"/>
    <w:rsid w:val="62DC047C"/>
    <w:rsid w:val="63076160"/>
    <w:rsid w:val="634B35F7"/>
    <w:rsid w:val="635F1818"/>
    <w:rsid w:val="638B7692"/>
    <w:rsid w:val="63C36786"/>
    <w:rsid w:val="642A3D99"/>
    <w:rsid w:val="648275DD"/>
    <w:rsid w:val="65027C0E"/>
    <w:rsid w:val="653F18BF"/>
    <w:rsid w:val="65735926"/>
    <w:rsid w:val="65A66E9C"/>
    <w:rsid w:val="65AA6A83"/>
    <w:rsid w:val="65CC7CC0"/>
    <w:rsid w:val="65DF0A5F"/>
    <w:rsid w:val="66556DAC"/>
    <w:rsid w:val="66735651"/>
    <w:rsid w:val="67024A05"/>
    <w:rsid w:val="67307075"/>
    <w:rsid w:val="676C6322"/>
    <w:rsid w:val="67B312C0"/>
    <w:rsid w:val="6844104D"/>
    <w:rsid w:val="687F5F85"/>
    <w:rsid w:val="68901F99"/>
    <w:rsid w:val="68991F6D"/>
    <w:rsid w:val="691A565F"/>
    <w:rsid w:val="695D2AA9"/>
    <w:rsid w:val="69821524"/>
    <w:rsid w:val="69856BDF"/>
    <w:rsid w:val="6A9F07BD"/>
    <w:rsid w:val="6C0E796B"/>
    <w:rsid w:val="6CA87DFD"/>
    <w:rsid w:val="6CC603A4"/>
    <w:rsid w:val="6D32218E"/>
    <w:rsid w:val="6D8C05DE"/>
    <w:rsid w:val="6D975567"/>
    <w:rsid w:val="6D9E4D5C"/>
    <w:rsid w:val="6DA027D6"/>
    <w:rsid w:val="6DDB1A9B"/>
    <w:rsid w:val="6E445903"/>
    <w:rsid w:val="6E7B48A4"/>
    <w:rsid w:val="6E7D30ED"/>
    <w:rsid w:val="6E9144C8"/>
    <w:rsid w:val="6EE549A9"/>
    <w:rsid w:val="6F0D2C19"/>
    <w:rsid w:val="6F1D21F1"/>
    <w:rsid w:val="6F6B1399"/>
    <w:rsid w:val="6F8310B9"/>
    <w:rsid w:val="6F9C5066"/>
    <w:rsid w:val="700711D0"/>
    <w:rsid w:val="7022593B"/>
    <w:rsid w:val="7025522B"/>
    <w:rsid w:val="70747DDC"/>
    <w:rsid w:val="70F25AEA"/>
    <w:rsid w:val="710651D3"/>
    <w:rsid w:val="71265794"/>
    <w:rsid w:val="713B2C00"/>
    <w:rsid w:val="714901CB"/>
    <w:rsid w:val="71EC3EF0"/>
    <w:rsid w:val="720A7E6E"/>
    <w:rsid w:val="72195B6E"/>
    <w:rsid w:val="72384B28"/>
    <w:rsid w:val="728844A7"/>
    <w:rsid w:val="72BA3330"/>
    <w:rsid w:val="72D05167"/>
    <w:rsid w:val="73176D4C"/>
    <w:rsid w:val="73363D3D"/>
    <w:rsid w:val="73462B9D"/>
    <w:rsid w:val="7379604F"/>
    <w:rsid w:val="744C5512"/>
    <w:rsid w:val="74BF5CE3"/>
    <w:rsid w:val="755F08BE"/>
    <w:rsid w:val="75DE1C05"/>
    <w:rsid w:val="75E224E4"/>
    <w:rsid w:val="76125471"/>
    <w:rsid w:val="765B7719"/>
    <w:rsid w:val="76D17F50"/>
    <w:rsid w:val="773F3A5C"/>
    <w:rsid w:val="779C18FC"/>
    <w:rsid w:val="784A3E2B"/>
    <w:rsid w:val="786C1799"/>
    <w:rsid w:val="78934448"/>
    <w:rsid w:val="78CE6169"/>
    <w:rsid w:val="78F50385"/>
    <w:rsid w:val="791976C8"/>
    <w:rsid w:val="796F5254"/>
    <w:rsid w:val="79A0784B"/>
    <w:rsid w:val="79B871A5"/>
    <w:rsid w:val="7A1203BE"/>
    <w:rsid w:val="7A3B579C"/>
    <w:rsid w:val="7A89515F"/>
    <w:rsid w:val="7A97500D"/>
    <w:rsid w:val="7AEA4317"/>
    <w:rsid w:val="7B265068"/>
    <w:rsid w:val="7B3F5FCF"/>
    <w:rsid w:val="7C2949D1"/>
    <w:rsid w:val="7C442F72"/>
    <w:rsid w:val="7C444D20"/>
    <w:rsid w:val="7C5C1D7A"/>
    <w:rsid w:val="7C6769D8"/>
    <w:rsid w:val="7C95557C"/>
    <w:rsid w:val="7C990E07"/>
    <w:rsid w:val="7CCB2A07"/>
    <w:rsid w:val="7D6513F2"/>
    <w:rsid w:val="7ECD5689"/>
    <w:rsid w:val="7ED055AD"/>
    <w:rsid w:val="7FBC4DF2"/>
    <w:rsid w:val="7FD4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szCs w:val="22"/>
    </w:rPr>
  </w:style>
  <w:style w:type="character" w:customStyle="1" w:styleId="9">
    <w:name w:val="页眉 Char"/>
    <w:basedOn w:val="8"/>
    <w:link w:val="5"/>
    <w:qFormat/>
    <w:uiPriority w:val="0"/>
    <w:rPr>
      <w:rFonts w:ascii="Calibri" w:hAnsi="Calibri" w:eastAsia="仿宋_GB2312"/>
      <w:kern w:val="2"/>
      <w:sz w:val="18"/>
      <w:szCs w:val="24"/>
    </w:rPr>
  </w:style>
  <w:style w:type="character" w:customStyle="1" w:styleId="10">
    <w:name w:val="fulltext-wrap_navtiao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2840</Words>
  <Characters>2951</Characters>
  <Lines>33</Lines>
  <Paragraphs>9</Paragraphs>
  <TotalTime>452</TotalTime>
  <ScaleCrop>false</ScaleCrop>
  <LinksUpToDate>false</LinksUpToDate>
  <CharactersWithSpaces>2973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2022-07-29T08:02:00Z</dcterms:created>
  <dc:creator>yj</dc:creator>
  <cp:lastModifiedBy>悬悬的大口袋</cp:lastModifiedBy>
  <cp:lastPrinted>2024-03-15T00:19:00Z</cp:lastPrinted>
  <dcterms:modified xsi:type="dcterms:W3CDTF">2025-03-03T10:29:46Z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7EBFFCFBD59E4D9A9593E8A1D8ED8D34_13</vt:lpwstr>
  </property>
</Properties>
</file>