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
    <w:p/>
    <w:p/>
    <w:p>
      <w:pPr>
        <w:spacing w:line="360" w:lineRule="auto"/>
        <w:jc w:val="center"/>
        <w:rPr>
          <w:rFonts w:ascii="黑体" w:hAnsi="黑体" w:eastAsia="黑体" w:cs="黑体"/>
          <w:b/>
          <w:sz w:val="48"/>
          <w:szCs w:val="48"/>
        </w:rPr>
      </w:pPr>
      <w:r>
        <w:rPr>
          <w:rFonts w:hint="eastAsia" w:ascii="黑体" w:hAnsi="黑体" w:eastAsia="黑体" w:cs="黑体"/>
          <w:b/>
          <w:sz w:val="48"/>
          <w:szCs w:val="48"/>
        </w:rPr>
        <w:t>六安市水资源综合规划</w:t>
      </w:r>
    </w:p>
    <w:p>
      <w:pPr>
        <w:spacing w:line="360" w:lineRule="auto"/>
        <w:jc w:val="center"/>
        <w:rPr>
          <w:rFonts w:ascii="黑体" w:hAnsi="黑体" w:eastAsia="黑体" w:cs="黑体"/>
          <w:b/>
          <w:sz w:val="48"/>
          <w:szCs w:val="48"/>
        </w:rPr>
      </w:pPr>
      <w:r>
        <w:rPr>
          <w:rFonts w:hint="eastAsia" w:ascii="黑体" w:hAnsi="黑体" w:eastAsia="黑体" w:cs="黑体"/>
          <w:b/>
          <w:sz w:val="48"/>
          <w:szCs w:val="48"/>
        </w:rPr>
        <w:t>（2020-</w:t>
      </w:r>
      <w:r>
        <w:rPr>
          <w:rFonts w:ascii="黑体" w:hAnsi="黑体" w:eastAsia="黑体" w:cs="黑体"/>
          <w:b/>
          <w:sz w:val="48"/>
          <w:szCs w:val="48"/>
        </w:rPr>
        <w:t>2030</w:t>
      </w:r>
      <w:r>
        <w:rPr>
          <w:rFonts w:hint="eastAsia" w:ascii="黑体" w:hAnsi="黑体" w:eastAsia="黑体" w:cs="黑体"/>
          <w:b/>
          <w:sz w:val="48"/>
          <w:szCs w:val="48"/>
        </w:rPr>
        <w:t>年）</w:t>
      </w:r>
    </w:p>
    <w:p>
      <w:pPr>
        <w:spacing w:line="360" w:lineRule="auto"/>
        <w:jc w:val="center"/>
        <w:rPr>
          <w:rFonts w:ascii="黑体" w:hAnsi="黑体" w:eastAsia="黑体" w:cs="黑体"/>
          <w:b/>
          <w:sz w:val="48"/>
          <w:szCs w:val="48"/>
        </w:rPr>
      </w:pPr>
    </w:p>
    <w:p>
      <w:pPr>
        <w:spacing w:line="360" w:lineRule="auto"/>
        <w:jc w:val="center"/>
        <w:rPr>
          <w:rFonts w:ascii="宋体" w:hAnsi="宋体" w:cs="宋体"/>
          <w:b/>
          <w:sz w:val="44"/>
          <w:szCs w:val="44"/>
        </w:rPr>
      </w:pPr>
      <w:r>
        <w:rPr>
          <w:rFonts w:hint="eastAsia" w:ascii="宋体" w:hAnsi="宋体" w:cs="宋体"/>
          <w:b/>
          <w:sz w:val="44"/>
          <w:szCs w:val="44"/>
        </w:rPr>
        <w:t>（</w:t>
      </w:r>
      <w:r>
        <w:rPr>
          <w:rFonts w:hint="eastAsia" w:ascii="宋体" w:hAnsi="宋体" w:cs="宋体"/>
          <w:b/>
          <w:sz w:val="44"/>
          <w:szCs w:val="44"/>
          <w:lang w:eastAsia="zh-CN"/>
        </w:rPr>
        <w:t>征求意见</w:t>
      </w:r>
      <w:r>
        <w:rPr>
          <w:rFonts w:hint="eastAsia" w:ascii="宋体" w:hAnsi="宋体" w:cs="宋体"/>
          <w:b/>
          <w:sz w:val="44"/>
          <w:szCs w:val="44"/>
        </w:rPr>
        <w:t>稿）</w:t>
      </w:r>
    </w:p>
    <w:p>
      <w:pPr>
        <w:spacing w:line="360" w:lineRule="auto"/>
        <w:jc w:val="center"/>
        <w:rPr>
          <w:b/>
          <w:sz w:val="48"/>
          <w:szCs w:val="48"/>
        </w:rPr>
      </w:pPr>
    </w:p>
    <w:p>
      <w:pPr>
        <w:spacing w:line="360" w:lineRule="auto"/>
        <w:rPr>
          <w:sz w:val="24"/>
          <w:szCs w:val="24"/>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jc w:val="center"/>
        <w:rPr>
          <w:b/>
          <w:sz w:val="32"/>
          <w:szCs w:val="32"/>
        </w:rPr>
      </w:pPr>
      <w:r>
        <w:rPr>
          <w:rFonts w:hint="eastAsia"/>
          <w:b/>
          <w:sz w:val="32"/>
          <w:szCs w:val="32"/>
        </w:rPr>
        <w:t>六安市水利局</w:t>
      </w:r>
    </w:p>
    <w:p>
      <w:pPr>
        <w:spacing w:line="360" w:lineRule="auto"/>
        <w:jc w:val="center"/>
        <w:rPr>
          <w:b/>
          <w:sz w:val="32"/>
          <w:szCs w:val="32"/>
        </w:rPr>
      </w:pPr>
      <w:r>
        <w:rPr>
          <w:rFonts w:hint="eastAsia"/>
          <w:b/>
          <w:sz w:val="32"/>
          <w:szCs w:val="32"/>
        </w:rPr>
        <w:t>水发设计有限公司</w:t>
      </w:r>
    </w:p>
    <w:p>
      <w:pPr>
        <w:spacing w:line="360" w:lineRule="auto"/>
        <w:jc w:val="center"/>
        <w:rPr>
          <w:b/>
          <w:bCs/>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二</w:t>
      </w:r>
      <w:r>
        <w:rPr>
          <w:rFonts w:hint="eastAsia"/>
          <w:b/>
          <w:bCs/>
          <w:color w:val="000000" w:themeColor="text1"/>
          <w:sz w:val="36"/>
          <w:szCs w:val="36"/>
          <w14:textFill>
            <w14:solidFill>
              <w14:schemeClr w14:val="tx1"/>
            </w14:solidFill>
          </w14:textFill>
        </w:rPr>
        <w:t>〇</w:t>
      </w:r>
      <w:r>
        <w:rPr>
          <w:b/>
          <w:bCs/>
          <w:color w:val="000000" w:themeColor="text1"/>
          <w:sz w:val="36"/>
          <w:szCs w:val="36"/>
          <w14:textFill>
            <w14:solidFill>
              <w14:schemeClr w14:val="tx1"/>
            </w14:solidFill>
          </w14:textFill>
        </w:rPr>
        <w:t>二</w:t>
      </w:r>
      <w:r>
        <w:rPr>
          <w:rFonts w:hint="eastAsia"/>
          <w:b/>
          <w:bCs/>
          <w:color w:val="000000" w:themeColor="text1"/>
          <w:sz w:val="36"/>
          <w:szCs w:val="36"/>
          <w14:textFill>
            <w14:solidFill>
              <w14:schemeClr w14:val="tx1"/>
            </w14:solidFill>
          </w14:textFill>
        </w:rPr>
        <w:t>一</w:t>
      </w:r>
      <w:r>
        <w:rPr>
          <w:b/>
          <w:bCs/>
          <w:color w:val="000000" w:themeColor="text1"/>
          <w:sz w:val="36"/>
          <w:szCs w:val="36"/>
          <w14:textFill>
            <w14:solidFill>
              <w14:schemeClr w14:val="tx1"/>
            </w14:solidFill>
          </w14:textFill>
        </w:rPr>
        <w:t>年</w:t>
      </w:r>
      <w:r>
        <w:rPr>
          <w:rFonts w:hint="eastAsia"/>
          <w:b/>
          <w:bCs/>
          <w:color w:val="000000" w:themeColor="text1"/>
          <w:sz w:val="36"/>
          <w:szCs w:val="36"/>
          <w14:textFill>
            <w14:solidFill>
              <w14:schemeClr w14:val="tx1"/>
            </w14:solidFill>
          </w14:textFill>
        </w:rPr>
        <w:t>十一</w:t>
      </w:r>
      <w:r>
        <w:rPr>
          <w:b/>
          <w:bCs/>
          <w:color w:val="000000" w:themeColor="text1"/>
          <w:sz w:val="36"/>
          <w:szCs w:val="36"/>
          <w14:textFill>
            <w14:solidFill>
              <w14:schemeClr w14:val="tx1"/>
            </w14:solidFill>
          </w14:textFill>
        </w:rPr>
        <w:t>月</w:t>
      </w:r>
    </w:p>
    <w:p>
      <w:pPr>
        <w:spacing w:line="360" w:lineRule="auto"/>
        <w:jc w:val="center"/>
        <w:rPr>
          <w:b/>
          <w:bCs/>
          <w:sz w:val="36"/>
          <w:szCs w:val="36"/>
        </w:rPr>
      </w:pPr>
    </w:p>
    <w:p>
      <w:pPr>
        <w:spacing w:line="360" w:lineRule="auto"/>
        <w:jc w:val="center"/>
        <w:rPr>
          <w:b/>
          <w:bCs/>
          <w:sz w:val="36"/>
          <w:szCs w:val="36"/>
        </w:rPr>
        <w:sectPr>
          <w:headerReference r:id="rId3" w:type="default"/>
          <w:footerReference r:id="rId4" w:type="default"/>
          <w:pgSz w:w="11906" w:h="16838"/>
          <w:pgMar w:top="1440" w:right="1797" w:bottom="1440" w:left="1797" w:header="680" w:footer="992" w:gutter="0"/>
          <w:cols w:space="425" w:num="1"/>
          <w:docGrid w:type="lines" w:linePitch="326" w:charSpace="0"/>
        </w:sectPr>
      </w:pPr>
    </w:p>
    <w:p>
      <w:pPr>
        <w:keepNext/>
        <w:keepLines/>
        <w:adjustRightInd w:val="0"/>
        <w:snapToGrid w:val="0"/>
        <w:spacing w:before="326" w:beforeLines="100" w:after="326" w:afterLines="100" w:line="360" w:lineRule="auto"/>
        <w:jc w:val="center"/>
        <w:outlineLvl w:val="0"/>
        <w:rPr>
          <w:rFonts w:ascii="黑体" w:hAnsi="黑体" w:eastAsia="黑体" w:cs="黑体"/>
          <w:bCs/>
          <w:kern w:val="44"/>
          <w:sz w:val="36"/>
          <w:szCs w:val="36"/>
        </w:rPr>
      </w:pPr>
      <w:bookmarkStart w:id="0" w:name="_Toc77602503"/>
      <w:bookmarkStart w:id="1" w:name="_Toc85743440"/>
      <w:bookmarkStart w:id="2" w:name="_Toc81502080"/>
      <w:bookmarkStart w:id="3" w:name="_Toc85790975"/>
      <w:bookmarkStart w:id="4" w:name="_Toc95382427"/>
      <w:r>
        <w:rPr>
          <w:rFonts w:hint="eastAsia" w:ascii="黑体" w:hAnsi="黑体" w:eastAsia="黑体" w:cs="黑体"/>
          <w:bCs/>
          <w:kern w:val="44"/>
          <w:sz w:val="36"/>
          <w:szCs w:val="36"/>
        </w:rPr>
        <w:t>前言</w:t>
      </w:r>
      <w:bookmarkEnd w:id="0"/>
      <w:bookmarkEnd w:id="1"/>
      <w:bookmarkEnd w:id="2"/>
      <w:bookmarkEnd w:id="3"/>
      <w:bookmarkEnd w:id="4"/>
    </w:p>
    <w:p>
      <w:pPr>
        <w:adjustRightInd w:val="0"/>
        <w:snapToGrid w:val="0"/>
        <w:spacing w:line="360" w:lineRule="auto"/>
        <w:ind w:firstLine="424" w:firstLineChars="177"/>
        <w:rPr>
          <w:sz w:val="24"/>
          <w:szCs w:val="24"/>
        </w:rPr>
      </w:pPr>
      <w:r>
        <w:rPr>
          <w:rFonts w:hint="eastAsia"/>
          <w:sz w:val="24"/>
          <w:szCs w:val="24"/>
        </w:rPr>
        <w:t>水资源是基础性的自然资源和战略性的经济资源，是生态环境的重要控制要素，是经济社会可持续发展的重要保障。制定水资源综合规划是加强水资源管理的基础。</w:t>
      </w:r>
    </w:p>
    <w:p>
      <w:pPr>
        <w:adjustRightInd w:val="0"/>
        <w:snapToGrid w:val="0"/>
        <w:spacing w:line="360" w:lineRule="auto"/>
        <w:ind w:firstLine="424" w:firstLineChars="177"/>
        <w:rPr>
          <w:sz w:val="24"/>
          <w:szCs w:val="24"/>
        </w:rPr>
      </w:pPr>
      <w:r>
        <w:rPr>
          <w:rFonts w:hint="eastAsia"/>
          <w:sz w:val="24"/>
          <w:szCs w:val="24"/>
        </w:rPr>
        <w:t>六安市位于安徽省西部，地处长江与淮河之间，大别山北麓，长江三角洲经济区西翼。现辖霍邱、金寨、霍山、舒城四县和金安、裕安、叶集三区，土地面积15451.2平方公里，2020年常驻人口439.37万人，其中城镇人口213.03万人。区内水资源丰富、水生态环境良好，现状水资源开发利用主要为当地地表水和过境水量，随着城镇化、工业化进程推进和美好乡村建设，区域水资源需求态势发生变化，水生态环境保护面临压力。为落实最严格水资源管理制度，合理开发利用和有效保护水资源，保障城乡供水安全，全面推进节水减排，维护河湖健康，建设保护大别山生态屏障，编制并实施水资源综合规划具有重要意义。</w:t>
      </w:r>
    </w:p>
    <w:p>
      <w:pPr>
        <w:adjustRightInd w:val="0"/>
        <w:snapToGrid w:val="0"/>
        <w:spacing w:line="360" w:lineRule="auto"/>
        <w:ind w:firstLine="424" w:firstLineChars="177"/>
        <w:rPr>
          <w:sz w:val="24"/>
          <w:szCs w:val="24"/>
        </w:rPr>
      </w:pPr>
      <w:r>
        <w:rPr>
          <w:rFonts w:hint="eastAsia"/>
          <w:sz w:val="24"/>
          <w:szCs w:val="24"/>
        </w:rPr>
        <w:t>《六安市水资源综合规划（2011年~2030年）》</w:t>
      </w:r>
      <w:r>
        <w:rPr>
          <w:sz w:val="24"/>
          <w:szCs w:val="24"/>
        </w:rPr>
        <w:t>（以下简称</w:t>
      </w:r>
      <w:r>
        <w:rPr>
          <w:rFonts w:hint="eastAsia"/>
          <w:sz w:val="24"/>
          <w:szCs w:val="24"/>
        </w:rPr>
        <w:t>“2</w:t>
      </w:r>
      <w:r>
        <w:rPr>
          <w:sz w:val="24"/>
          <w:szCs w:val="24"/>
        </w:rPr>
        <w:t>011</w:t>
      </w:r>
      <w:r>
        <w:rPr>
          <w:rFonts w:hint="eastAsia"/>
          <w:sz w:val="24"/>
          <w:szCs w:val="24"/>
        </w:rPr>
        <w:t>版</w:t>
      </w:r>
      <w:r>
        <w:rPr>
          <w:sz w:val="24"/>
          <w:szCs w:val="24"/>
        </w:rPr>
        <w:t>规划</w:t>
      </w:r>
      <w:r>
        <w:rPr>
          <w:rFonts w:hint="eastAsia"/>
          <w:sz w:val="24"/>
          <w:szCs w:val="24"/>
        </w:rPr>
        <w:t>”</w:t>
      </w:r>
      <w:r>
        <w:rPr>
          <w:sz w:val="24"/>
          <w:szCs w:val="24"/>
        </w:rPr>
        <w:t>）</w:t>
      </w:r>
      <w:r>
        <w:rPr>
          <w:rFonts w:hint="eastAsia"/>
          <w:sz w:val="24"/>
          <w:szCs w:val="24"/>
        </w:rPr>
        <w:t>于2</w:t>
      </w:r>
      <w:r>
        <w:rPr>
          <w:sz w:val="24"/>
          <w:szCs w:val="24"/>
        </w:rPr>
        <w:t>012</w:t>
      </w:r>
      <w:r>
        <w:rPr>
          <w:rFonts w:hint="eastAsia"/>
          <w:sz w:val="24"/>
          <w:szCs w:val="24"/>
        </w:rPr>
        <w:t>年编制完成；2</w:t>
      </w:r>
      <w:r>
        <w:rPr>
          <w:sz w:val="24"/>
          <w:szCs w:val="24"/>
        </w:rPr>
        <w:t>014</w:t>
      </w:r>
      <w:r>
        <w:rPr>
          <w:rFonts w:hint="eastAsia"/>
          <w:sz w:val="24"/>
          <w:szCs w:val="24"/>
        </w:rPr>
        <w:t>年通过安徽省水利规划办公室组织的专家审查会；2015年4月获得六安市人民政府的批准实施。经多年实施效果验证，2</w:t>
      </w:r>
      <w:r>
        <w:rPr>
          <w:sz w:val="24"/>
          <w:szCs w:val="24"/>
        </w:rPr>
        <w:t>011</w:t>
      </w:r>
      <w:r>
        <w:rPr>
          <w:rFonts w:hint="eastAsia"/>
          <w:sz w:val="24"/>
          <w:szCs w:val="24"/>
        </w:rPr>
        <w:t>版规划在全市水资源利用、节约、保护和管理工作中发挥了良好的指导作用。</w:t>
      </w:r>
    </w:p>
    <w:p>
      <w:pPr>
        <w:adjustRightInd w:val="0"/>
        <w:snapToGrid w:val="0"/>
        <w:spacing w:line="360" w:lineRule="auto"/>
        <w:ind w:firstLine="480" w:firstLineChars="200"/>
        <w:rPr>
          <w:sz w:val="24"/>
          <w:szCs w:val="24"/>
        </w:rPr>
      </w:pPr>
      <w:r>
        <w:rPr>
          <w:sz w:val="24"/>
          <w:szCs w:val="24"/>
        </w:rPr>
        <w:t>“十三五”以来，</w:t>
      </w:r>
      <w:r>
        <w:rPr>
          <w:rFonts w:hint="eastAsia"/>
          <w:sz w:val="24"/>
          <w:szCs w:val="24"/>
        </w:rPr>
        <w:t>六安市水资源管理工作面临新的形势，2</w:t>
      </w:r>
      <w:r>
        <w:rPr>
          <w:sz w:val="24"/>
          <w:szCs w:val="24"/>
        </w:rPr>
        <w:t>011</w:t>
      </w:r>
      <w:r>
        <w:rPr>
          <w:rFonts w:hint="eastAsia"/>
          <w:sz w:val="24"/>
          <w:szCs w:val="24"/>
        </w:rPr>
        <w:t>版规划已不满足当前新时代水资源管理的需求，亟需进行修编。</w:t>
      </w:r>
    </w:p>
    <w:p>
      <w:pPr>
        <w:adjustRightInd w:val="0"/>
        <w:snapToGrid w:val="0"/>
        <w:spacing w:line="360" w:lineRule="auto"/>
        <w:ind w:firstLine="424" w:firstLineChars="177"/>
        <w:rPr>
          <w:sz w:val="24"/>
          <w:szCs w:val="24"/>
        </w:rPr>
      </w:pPr>
      <w:r>
        <w:rPr>
          <w:rFonts w:hint="eastAsia"/>
          <w:sz w:val="24"/>
          <w:szCs w:val="24"/>
        </w:rPr>
        <w:t>1、规划修编是践行新时代治水思路的需求</w:t>
      </w:r>
    </w:p>
    <w:p>
      <w:pPr>
        <w:adjustRightInd w:val="0"/>
        <w:snapToGrid w:val="0"/>
        <w:spacing w:line="360" w:lineRule="auto"/>
        <w:ind w:firstLine="424" w:firstLineChars="177"/>
        <w:rPr>
          <w:sz w:val="24"/>
          <w:szCs w:val="24"/>
        </w:rPr>
      </w:pPr>
      <w:r>
        <w:rPr>
          <w:rFonts w:hint="eastAsia"/>
          <w:sz w:val="24"/>
          <w:szCs w:val="24"/>
        </w:rPr>
        <w:t>习近平总书记2014年就保障国家水安全提出了“节水优先、空间均衡、系统治理、两手发力”的治水思路；2019年在黄河流域生态保护和高质量发展座谈会上的讲话中进一步提出坚持生态优先、绿色发展，以水而定、量水而行，因地制宜、分类施策，上下游、干支流、左右岸统筹谋划，共同抓好大保护，协同推进大治理，着力加强生态保护治理、促进全流域高质量发展。2020年11月在全面推动长江经济带发展座谈会上提出，要加强生态环境系统保护修复，构建综合治理新体系，统筹考虑水环境、水生态、水资源、水安全、水文化和岸线等多方面有机联系。</w:t>
      </w:r>
    </w:p>
    <w:p>
      <w:pPr>
        <w:adjustRightInd w:val="0"/>
        <w:snapToGrid w:val="0"/>
        <w:spacing w:line="360" w:lineRule="auto"/>
        <w:ind w:firstLine="480" w:firstLineChars="200"/>
        <w:rPr>
          <w:sz w:val="24"/>
          <w:szCs w:val="24"/>
        </w:rPr>
      </w:pPr>
      <w:r>
        <w:rPr>
          <w:rFonts w:hint="eastAsia"/>
          <w:sz w:val="24"/>
          <w:szCs w:val="24"/>
        </w:rPr>
        <w:t>为贯彻落实习近平总书记新时代治水思路，适应六安市当前经济社会发展需要，着力解决新时代水资源开发、利用、配置、节约、保护和治理等重大问题，加强水资源科学管理、提高水的利用效率，建立节水型社会，以水资源可持续利用，支持经济社会可持续发展，促进全市经济社会和环境的高质量发展，开展六安市水资源综合规划的修编工作十分必要。</w:t>
      </w:r>
    </w:p>
    <w:p>
      <w:pPr>
        <w:adjustRightInd w:val="0"/>
        <w:snapToGrid w:val="0"/>
        <w:spacing w:line="360" w:lineRule="auto"/>
        <w:ind w:firstLine="424" w:firstLineChars="177"/>
        <w:rPr>
          <w:sz w:val="24"/>
          <w:szCs w:val="24"/>
        </w:rPr>
      </w:pPr>
      <w:r>
        <w:rPr>
          <w:rFonts w:hint="eastAsia"/>
          <w:sz w:val="24"/>
          <w:szCs w:val="24"/>
        </w:rPr>
        <w:t>2、规划修编是满足六安市水资源工作的需求</w:t>
      </w:r>
    </w:p>
    <w:p>
      <w:pPr>
        <w:adjustRightInd w:val="0"/>
        <w:snapToGrid w:val="0"/>
        <w:spacing w:line="360" w:lineRule="auto"/>
        <w:ind w:firstLine="424" w:firstLineChars="177"/>
        <w:rPr>
          <w:sz w:val="24"/>
          <w:szCs w:val="24"/>
        </w:rPr>
      </w:pPr>
      <w:r>
        <w:rPr>
          <w:rFonts w:hint="eastAsia"/>
          <w:sz w:val="24"/>
          <w:szCs w:val="24"/>
        </w:rPr>
        <w:t>“十三五”以来，六安市水资源管理工作紧紧围绕习近平生态文明思想，积极践行新时代治水思路。实施国家节水行动，贯彻落实最严格水资源管理制度，以全面推行河长制为抓手，深入实施“水利六安”、“生态六安”战略，强化最严格水资源管理，完善考核机制，落实管理责任，统筹实施工程措施和非工程措施，深入推进最严格水资源管理制度，努力促进水资源优化配置和节约保护，为全市经济社会持续健康发展提供有力保障，成效显著。</w:t>
      </w:r>
    </w:p>
    <w:p>
      <w:pPr>
        <w:adjustRightInd w:val="0"/>
        <w:snapToGrid w:val="0"/>
        <w:spacing w:line="360" w:lineRule="auto"/>
        <w:ind w:firstLine="424" w:firstLineChars="177"/>
        <w:rPr>
          <w:sz w:val="24"/>
          <w:szCs w:val="24"/>
        </w:rPr>
      </w:pPr>
      <w:r>
        <w:rPr>
          <w:rFonts w:hint="eastAsia"/>
          <w:sz w:val="24"/>
          <w:szCs w:val="24"/>
        </w:rPr>
        <w:t>一是积极开展水资源规划编制工作。市、县级层面相继编制完成各项水资源规划、节水型社会建设规划等，为全市和各县区水资源工作提供重要支撑。二是积极开展节水型社会建设工作。经过节水创建，建立和完善了城市节水管理体系，提升了科学用水、节约用水的意识，加强了水资源保护和节约利用。三是水资源管理进一步加强。市、县政府加强了水资源管理工作的组织领导，落实最严格水资源管理制度，实施水资源消耗总量和强度双控行动。</w:t>
      </w:r>
    </w:p>
    <w:p>
      <w:pPr>
        <w:adjustRightInd w:val="0"/>
        <w:snapToGrid w:val="0"/>
        <w:spacing w:line="360" w:lineRule="auto"/>
        <w:ind w:firstLine="424" w:firstLineChars="177"/>
        <w:rPr>
          <w:sz w:val="24"/>
          <w:szCs w:val="24"/>
        </w:rPr>
      </w:pPr>
      <w:r>
        <w:rPr>
          <w:rFonts w:hint="eastAsia"/>
          <w:sz w:val="24"/>
          <w:szCs w:val="24"/>
        </w:rPr>
        <w:t>同时在水资源管理方面也出现了新的问题。一是水资源合理配置和高效利用体系尚未完善，区域水资源配置能力不强，灌区工程设施不完善，小型水源工程调蓄能力较低。二是水生态保护与修复仍然滞后，河湖水域岸线管控不到位，地表水污染、河湖水系缺少连通等问题日益凸显。三是水利信息标准化和规范化工作相对滞后。</w:t>
      </w:r>
    </w:p>
    <w:p>
      <w:pPr>
        <w:adjustRightInd w:val="0"/>
        <w:snapToGrid w:val="0"/>
        <w:spacing w:line="360" w:lineRule="auto"/>
        <w:ind w:firstLine="424" w:firstLineChars="177"/>
        <w:rPr>
          <w:sz w:val="24"/>
          <w:szCs w:val="24"/>
        </w:rPr>
      </w:pPr>
      <w:r>
        <w:rPr>
          <w:rFonts w:hint="eastAsia"/>
          <w:sz w:val="24"/>
          <w:szCs w:val="24"/>
        </w:rPr>
        <w:t>开展规划修编工作，一方面是对近年来六安市在水资源管理方面工作成效的总结和反映；另一方面探索解决近期水资源管理工作中出现的新问题，对未来一段时间内全市水资源管理工作提出新要求。</w:t>
      </w:r>
    </w:p>
    <w:p>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3、规划修编是六安市当前水资源情势变化的需求</w:t>
      </w:r>
    </w:p>
    <w:p>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六安市行政区划调整对全市水资源情势带来变化。一是寿县划归淮南市管辖，六安市行政区域面积由原来的17979平方公里降为15451平方公里，使全市水资源总量、水资源开发利用量、用水效率指标方面发生了变化；二是霍邱县和叶集区的行政区划面积进行调整，这两个县（区）的社会经济指标、水资源及开发利用同样也受到了影响。</w:t>
      </w:r>
    </w:p>
    <w:p>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开展规划修编工作，一方面是在行政区划调整的基础上对六安市现状水资源及开发利用情况重新进行评价计算，完善水资源管理的基础支撑；另一方面是在现状评价的基础上，对全市水资源供需分析、水量配置进行重新核算，提出新时代全市水资源调配体系的总体格局，为水资源节约、保护、管理指明方向。</w:t>
      </w:r>
    </w:p>
    <w:p>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《六安市水资源综合规划（2020-2030年）》编制工作自20</w:t>
      </w:r>
      <w:r>
        <w:rPr>
          <w:kern w:val="1"/>
          <w:sz w:val="24"/>
          <w:szCs w:val="24"/>
        </w:rPr>
        <w:t>19</w:t>
      </w:r>
      <w:r>
        <w:rPr>
          <w:rFonts w:hint="eastAsia"/>
          <w:kern w:val="1"/>
          <w:sz w:val="24"/>
          <w:szCs w:val="24"/>
        </w:rPr>
        <w:t>年</w:t>
      </w:r>
      <w:r>
        <w:rPr>
          <w:kern w:val="1"/>
          <w:sz w:val="24"/>
          <w:szCs w:val="24"/>
        </w:rPr>
        <w:t>10</w:t>
      </w:r>
      <w:r>
        <w:rPr>
          <w:rFonts w:hint="eastAsia"/>
          <w:kern w:val="1"/>
          <w:sz w:val="24"/>
          <w:szCs w:val="24"/>
        </w:rPr>
        <w:t>月份启动。201</w:t>
      </w:r>
      <w:r>
        <w:rPr>
          <w:kern w:val="1"/>
          <w:sz w:val="24"/>
          <w:szCs w:val="24"/>
        </w:rPr>
        <w:t>9</w:t>
      </w:r>
      <w:r>
        <w:rPr>
          <w:rFonts w:hint="eastAsia"/>
          <w:kern w:val="1"/>
          <w:sz w:val="24"/>
          <w:szCs w:val="24"/>
        </w:rPr>
        <w:t>年</w:t>
      </w:r>
      <w:r>
        <w:rPr>
          <w:kern w:val="1"/>
          <w:sz w:val="24"/>
          <w:szCs w:val="24"/>
        </w:rPr>
        <w:t>12</w:t>
      </w:r>
      <w:r>
        <w:rPr>
          <w:rFonts w:hint="eastAsia"/>
          <w:kern w:val="1"/>
          <w:sz w:val="24"/>
          <w:szCs w:val="24"/>
        </w:rPr>
        <w:t>月份编制完成《六安市水资源综合规划（2020-2030年）编制工作大纲》。2019年12月14日，六安市水利局在六安组织召开《六安市水资源综合规划（2020-2030年）编制工作大纲》（以下简称《大纲》）审查会，与会专家对《大纲》提出了咨询意见。会后编制单位根据《大纲》开始规划修编工作。历时1年时间，于20</w:t>
      </w:r>
      <w:r>
        <w:rPr>
          <w:kern w:val="1"/>
          <w:sz w:val="24"/>
          <w:szCs w:val="24"/>
        </w:rPr>
        <w:t>20</w:t>
      </w:r>
      <w:r>
        <w:rPr>
          <w:rFonts w:hint="eastAsia"/>
          <w:kern w:val="1"/>
          <w:sz w:val="24"/>
          <w:szCs w:val="24"/>
        </w:rPr>
        <w:t>年1</w:t>
      </w:r>
      <w:r>
        <w:rPr>
          <w:kern w:val="1"/>
          <w:sz w:val="24"/>
          <w:szCs w:val="24"/>
        </w:rPr>
        <w:t>2</w:t>
      </w:r>
      <w:r>
        <w:rPr>
          <w:rFonts w:hint="eastAsia"/>
          <w:kern w:val="1"/>
          <w:sz w:val="24"/>
          <w:szCs w:val="24"/>
        </w:rPr>
        <w:t>月编制完成《六安市水资源综合规划（2020-2030年）》（初稿）。</w:t>
      </w:r>
    </w:p>
    <w:p>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2</w:t>
      </w:r>
      <w:r>
        <w:rPr>
          <w:kern w:val="1"/>
          <w:sz w:val="24"/>
          <w:szCs w:val="24"/>
        </w:rPr>
        <w:t>021</w:t>
      </w:r>
      <w:r>
        <w:rPr>
          <w:rFonts w:hint="eastAsia"/>
          <w:kern w:val="1"/>
          <w:sz w:val="24"/>
          <w:szCs w:val="24"/>
        </w:rPr>
        <w:t>年6月，六安市水利局将《六安市水资源综合规划（2020-2030年）》（初稿）向全市各主要职能部门、各县区水利（务）局征求修改意见。编制单位根据多方征求意见对报告进行修改完善，形成《六安市水资源综合规划（2020-2030年）》（送审稿）。</w:t>
      </w:r>
    </w:p>
    <w:p>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2</w:t>
      </w:r>
      <w:r>
        <w:rPr>
          <w:kern w:val="1"/>
          <w:sz w:val="24"/>
          <w:szCs w:val="24"/>
        </w:rPr>
        <w:t>021</w:t>
      </w:r>
      <w:r>
        <w:rPr>
          <w:rFonts w:hint="eastAsia"/>
          <w:kern w:val="1"/>
          <w:sz w:val="24"/>
          <w:szCs w:val="24"/>
        </w:rPr>
        <w:t>年8月1</w:t>
      </w:r>
      <w:r>
        <w:rPr>
          <w:kern w:val="1"/>
          <w:sz w:val="24"/>
          <w:szCs w:val="24"/>
        </w:rPr>
        <w:t>8</w:t>
      </w:r>
      <w:r>
        <w:rPr>
          <w:rFonts w:hint="eastAsia"/>
          <w:kern w:val="1"/>
          <w:sz w:val="24"/>
          <w:szCs w:val="24"/>
        </w:rPr>
        <w:t>日，六安市水利局在合肥组织召开《六安市水资源综合规划（2020-2030年）》（以下简称“规划”）审查会，与会专家和代表经过认真评议，通过了对规划的审查。根据审查会的审查意见及专家和代表的建议，编制单位对送审稿进行了修改与补充，正式完成《六安市水资源综合规划（2020-2030年）》（报批稿）。</w:t>
      </w:r>
    </w:p>
    <w:p>
      <w:pPr>
        <w:suppressAutoHyphens/>
        <w:autoSpaceDE w:val="0"/>
        <w:autoSpaceDN w:val="0"/>
        <w:adjustRightInd w:val="0"/>
        <w:snapToGrid w:val="0"/>
        <w:spacing w:line="360" w:lineRule="auto"/>
        <w:ind w:firstLine="480" w:firstLineChars="200"/>
        <w:rPr>
          <w:kern w:val="1"/>
          <w:sz w:val="24"/>
          <w:szCs w:val="24"/>
        </w:rPr>
        <w:sectPr>
          <w:footerReference r:id="rId5" w:type="default"/>
          <w:pgSz w:w="11906" w:h="16838"/>
          <w:pgMar w:top="1440" w:right="1797" w:bottom="1440" w:left="1797" w:header="680" w:footer="992" w:gutter="0"/>
          <w:pgNumType w:fmt="numberInDash" w:start="1"/>
          <w:cols w:space="425" w:num="1"/>
          <w:docGrid w:type="lines" w:linePitch="326" w:charSpace="0"/>
        </w:sectPr>
      </w:pPr>
    </w:p>
    <w:p>
      <w:pPr>
        <w:keepNext/>
        <w:keepLines/>
        <w:adjustRightInd w:val="0"/>
        <w:snapToGrid w:val="0"/>
        <w:spacing w:before="326" w:beforeLines="100" w:after="326" w:afterLines="100" w:line="360" w:lineRule="auto"/>
        <w:jc w:val="center"/>
        <w:outlineLvl w:val="0"/>
        <w:rPr>
          <w:rFonts w:ascii="黑体" w:hAnsi="黑体" w:eastAsia="黑体" w:cs="黑体"/>
          <w:bCs/>
          <w:kern w:val="44"/>
          <w:sz w:val="36"/>
          <w:szCs w:val="36"/>
        </w:rPr>
      </w:pPr>
      <w:bookmarkStart w:id="5" w:name="_Toc85743441"/>
      <w:bookmarkStart w:id="6" w:name="_Toc95382428"/>
      <w:bookmarkStart w:id="7" w:name="_Toc77602504"/>
      <w:bookmarkStart w:id="8" w:name="_Toc81502081"/>
      <w:bookmarkStart w:id="9" w:name="_Toc85790976"/>
      <w:r>
        <w:rPr>
          <w:rFonts w:hint="eastAsia" w:ascii="黑体" w:hAnsi="黑体" w:eastAsia="黑体" w:cs="黑体"/>
          <w:bCs/>
          <w:kern w:val="44"/>
          <w:sz w:val="36"/>
          <w:szCs w:val="36"/>
        </w:rPr>
        <w:t>目录</w:t>
      </w:r>
      <w:bookmarkEnd w:id="5"/>
      <w:bookmarkEnd w:id="6"/>
      <w:bookmarkEnd w:id="7"/>
      <w:bookmarkEnd w:id="8"/>
      <w:bookmarkEnd w:id="9"/>
      <w:r>
        <w:fldChar w:fldCharType="begin"/>
      </w:r>
      <w:r>
        <w:instrText xml:space="preserve"> TOC \o "1-3" \h \z \u </w:instrText>
      </w:r>
      <w:r>
        <w:fldChar w:fldCharType="separate"/>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"_Toc95382429" </w:instrText>
      </w:r>
      <w:r>
        <w:fldChar w:fldCharType="separate"/>
      </w:r>
      <w:r>
        <w:rPr>
          <w:rStyle w:val="40"/>
          <w:rFonts w:ascii="黑体" w:hAnsi="黑体" w:eastAsia="黑体" w:cs="黑体"/>
          <w:kern w:val="44"/>
        </w:rPr>
        <w:t>概述</w:t>
      </w:r>
      <w:r>
        <w:tab/>
      </w:r>
      <w:r>
        <w:fldChar w:fldCharType="begin"/>
      </w:r>
      <w:r>
        <w:instrText xml:space="preserve"> PAGEREF _Toc95382429 \h </w:instrText>
      </w:r>
      <w:r>
        <w:fldChar w:fldCharType="separate"/>
      </w:r>
      <w:r>
        <w:t>1</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"_Toc95382430" </w:instrText>
      </w:r>
      <w:r>
        <w:fldChar w:fldCharType="separate"/>
      </w:r>
      <w:r>
        <w:rPr>
          <w:rStyle w:val="40"/>
          <w:rFonts w:ascii="黑体" w:hAnsi="黑体" w:eastAsia="黑体" w:cs="黑体"/>
          <w:kern w:val="44"/>
        </w:rPr>
        <w:t>第一章 概况</w:t>
      </w:r>
      <w:r>
        <w:tab/>
      </w:r>
      <w:r>
        <w:fldChar w:fldCharType="begin"/>
      </w:r>
      <w:r>
        <w:instrText xml:space="preserve"> PAGEREF _Toc95382430 \h </w:instrText>
      </w:r>
      <w:r>
        <w:fldChar w:fldCharType="separate"/>
      </w:r>
      <w:r>
        <w:t>4</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"_Toc95382431" </w:instrText>
      </w:r>
      <w:r>
        <w:fldChar w:fldCharType="separate"/>
      </w:r>
      <w:r>
        <w:rPr>
          <w:rStyle w:val="40"/>
        </w:rPr>
        <w:t>第一节 自然地理</w:t>
      </w:r>
      <w:r>
        <w:tab/>
      </w:r>
      <w:r>
        <w:fldChar w:fldCharType="begin"/>
      </w:r>
      <w:r>
        <w:instrText xml:space="preserve"> PAGEREF _Toc95382431 \h </w:instrText>
      </w:r>
      <w:r>
        <w:fldChar w:fldCharType="separate"/>
      </w:r>
      <w:r>
        <w:t>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"_Toc95382432" </w:instrText>
      </w:r>
      <w:r>
        <w:fldChar w:fldCharType="separate"/>
      </w:r>
      <w:r>
        <w:rPr>
          <w:rStyle w:val="40"/>
        </w:rPr>
        <w:t>一、地理位置</w:t>
      </w:r>
      <w:r>
        <w:tab/>
      </w:r>
      <w:r>
        <w:fldChar w:fldCharType="begin"/>
      </w:r>
      <w:r>
        <w:instrText xml:space="preserve"> PAGEREF _Toc95382432 \h </w:instrText>
      </w:r>
      <w:r>
        <w:fldChar w:fldCharType="separate"/>
      </w:r>
      <w:r>
        <w:t>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"_Toc95382433" </w:instrText>
      </w:r>
      <w:r>
        <w:fldChar w:fldCharType="separate"/>
      </w:r>
      <w:r>
        <w:rPr>
          <w:rStyle w:val="40"/>
        </w:rPr>
        <w:t>二、地形地貌</w:t>
      </w:r>
      <w:r>
        <w:tab/>
      </w:r>
      <w:r>
        <w:fldChar w:fldCharType="begin"/>
      </w:r>
      <w:r>
        <w:instrText xml:space="preserve"> PAGEREF _Toc95382433 \h </w:instrText>
      </w:r>
      <w:r>
        <w:fldChar w:fldCharType="separate"/>
      </w:r>
      <w:r>
        <w:t>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"_Toc95382434" </w:instrText>
      </w:r>
      <w:r>
        <w:fldChar w:fldCharType="separate"/>
      </w:r>
      <w:r>
        <w:rPr>
          <w:rStyle w:val="40"/>
        </w:rPr>
        <w:t>三、水文气象</w:t>
      </w:r>
      <w:r>
        <w:tab/>
      </w:r>
      <w:r>
        <w:fldChar w:fldCharType="begin"/>
      </w:r>
      <w:r>
        <w:instrText xml:space="preserve"> PAGEREF _Toc95382434 \h </w:instrText>
      </w:r>
      <w:r>
        <w:fldChar w:fldCharType="separate"/>
      </w:r>
      <w:r>
        <w:t>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"_Toc95382435" </w:instrText>
      </w:r>
      <w:r>
        <w:fldChar w:fldCharType="separate"/>
      </w:r>
      <w:r>
        <w:rPr>
          <w:rStyle w:val="40"/>
        </w:rPr>
        <w:t>四、河流水系</w:t>
      </w:r>
      <w:r>
        <w:tab/>
      </w:r>
      <w:r>
        <w:fldChar w:fldCharType="begin"/>
      </w:r>
      <w:r>
        <w:instrText xml:space="preserve"> PAGEREF _Toc95382435 \h </w:instrText>
      </w:r>
      <w:r>
        <w:fldChar w:fldCharType="separate"/>
      </w:r>
      <w:r>
        <w:t>5</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"_Toc95382436" </w:instrText>
      </w:r>
      <w:r>
        <w:fldChar w:fldCharType="separate"/>
      </w:r>
      <w:r>
        <w:rPr>
          <w:rStyle w:val="40"/>
        </w:rPr>
        <w:t>第二节 规划范围及水平年</w:t>
      </w:r>
      <w:r>
        <w:tab/>
      </w:r>
      <w:r>
        <w:fldChar w:fldCharType="begin"/>
      </w:r>
      <w:r>
        <w:instrText xml:space="preserve"> PAGEREF _Toc95382436 \h </w:instrText>
      </w:r>
      <w:r>
        <w:fldChar w:fldCharType="separate"/>
      </w:r>
      <w:r>
        <w:t>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"_Toc95382437" </w:instrText>
      </w:r>
      <w:r>
        <w:fldChar w:fldCharType="separate"/>
      </w:r>
      <w:r>
        <w:rPr>
          <w:rStyle w:val="40"/>
        </w:rPr>
        <w:t>一、规划范围</w:t>
      </w:r>
      <w:r>
        <w:tab/>
      </w:r>
      <w:r>
        <w:fldChar w:fldCharType="begin"/>
      </w:r>
      <w:r>
        <w:instrText xml:space="preserve"> PAGEREF _Toc95382437 \h </w:instrText>
      </w:r>
      <w:r>
        <w:fldChar w:fldCharType="separate"/>
      </w:r>
      <w:r>
        <w:t>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"_Toc95382438" </w:instrText>
      </w:r>
      <w:r>
        <w:fldChar w:fldCharType="separate"/>
      </w:r>
      <w:r>
        <w:rPr>
          <w:rStyle w:val="40"/>
        </w:rPr>
        <w:t>二、规划水平年</w:t>
      </w:r>
      <w:r>
        <w:tab/>
      </w:r>
      <w:r>
        <w:fldChar w:fldCharType="begin"/>
      </w:r>
      <w:r>
        <w:instrText xml:space="preserve"> PAGEREF _Toc95382438 \h </w:instrText>
      </w:r>
      <w:r>
        <w:fldChar w:fldCharType="separate"/>
      </w:r>
      <w:r>
        <w:t>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"_Toc95382439" </w:instrText>
      </w:r>
      <w:r>
        <w:fldChar w:fldCharType="separate"/>
      </w:r>
      <w:r>
        <w:rPr>
          <w:rStyle w:val="40"/>
        </w:rPr>
        <w:t>第三节 规划分区</w:t>
      </w:r>
      <w:r>
        <w:tab/>
      </w:r>
      <w:r>
        <w:fldChar w:fldCharType="begin"/>
      </w:r>
      <w:r>
        <w:instrText xml:space="preserve"> PAGEREF _Toc95382439 \h </w:instrText>
      </w:r>
      <w:r>
        <w:fldChar w:fldCharType="separate"/>
      </w:r>
      <w:r>
        <w:t>7</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"_Toc95382440" </w:instrText>
      </w:r>
      <w:r>
        <w:fldChar w:fldCharType="separate"/>
      </w:r>
      <w:r>
        <w:rPr>
          <w:rStyle w:val="40"/>
        </w:rPr>
        <w:t>一、水资源分区</w:t>
      </w:r>
      <w:r>
        <w:tab/>
      </w:r>
      <w:r>
        <w:fldChar w:fldCharType="begin"/>
      </w:r>
      <w:r>
        <w:instrText xml:space="preserve"> PAGEREF _Toc95382440 \h </w:instrText>
      </w:r>
      <w:r>
        <w:fldChar w:fldCharType="separate"/>
      </w:r>
      <w:r>
        <w:t>7</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"_Toc95382441" </w:instrText>
      </w:r>
      <w:r>
        <w:fldChar w:fldCharType="separate"/>
      </w:r>
      <w:r>
        <w:rPr>
          <w:rStyle w:val="40"/>
        </w:rPr>
        <w:t>二、分区概况</w:t>
      </w:r>
      <w:r>
        <w:tab/>
      </w:r>
      <w:r>
        <w:fldChar w:fldCharType="begin"/>
      </w:r>
      <w:r>
        <w:instrText xml:space="preserve"> PAGEREF _Toc95382441 \h </w:instrText>
      </w:r>
      <w:r>
        <w:fldChar w:fldCharType="separate"/>
      </w:r>
      <w:r>
        <w:t>7</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"_Toc95382442" </w:instrText>
      </w:r>
      <w:r>
        <w:fldChar w:fldCharType="separate"/>
      </w:r>
      <w:r>
        <w:rPr>
          <w:rStyle w:val="40"/>
        </w:rPr>
        <w:t>第四节 社会经济</w:t>
      </w:r>
      <w:r>
        <w:tab/>
      </w:r>
      <w:r>
        <w:fldChar w:fldCharType="begin"/>
      </w:r>
      <w:r>
        <w:instrText xml:space="preserve"> PAGEREF _Toc95382442 \h </w:instrText>
      </w:r>
      <w:r>
        <w:fldChar w:fldCharType="separate"/>
      </w:r>
      <w:r>
        <w:t>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"_Toc95382443" </w:instrText>
      </w:r>
      <w:r>
        <w:fldChar w:fldCharType="separate"/>
      </w:r>
      <w:r>
        <w:rPr>
          <w:rStyle w:val="40"/>
        </w:rPr>
        <w:t>一、社会经济总体概况</w:t>
      </w:r>
      <w:r>
        <w:tab/>
      </w:r>
      <w:r>
        <w:fldChar w:fldCharType="begin"/>
      </w:r>
      <w:r>
        <w:instrText xml:space="preserve"> PAGEREF _Toc95382443 \h </w:instrText>
      </w:r>
      <w:r>
        <w:fldChar w:fldCharType="separate"/>
      </w:r>
      <w:r>
        <w:t>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"_Toc95382444" </w:instrText>
      </w:r>
      <w:r>
        <w:fldChar w:fldCharType="separate"/>
      </w:r>
      <w:r>
        <w:rPr>
          <w:rStyle w:val="40"/>
        </w:rPr>
        <w:t>二、市域城镇及开发区概况</w:t>
      </w:r>
      <w:r>
        <w:tab/>
      </w:r>
      <w:r>
        <w:fldChar w:fldCharType="begin"/>
      </w:r>
      <w:r>
        <w:instrText xml:space="preserve"> PAGEREF _Toc95382444 \h </w:instrText>
      </w:r>
      <w:r>
        <w:fldChar w:fldCharType="separate"/>
      </w:r>
      <w:r>
        <w:t>9</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"_Toc95382445" </w:instrText>
      </w:r>
      <w:r>
        <w:fldChar w:fldCharType="separate"/>
      </w:r>
      <w:r>
        <w:rPr>
          <w:rStyle w:val="40"/>
        </w:rPr>
        <w:t>三、灌区分布及范围情况</w:t>
      </w:r>
      <w:r>
        <w:tab/>
      </w:r>
      <w:r>
        <w:fldChar w:fldCharType="begin"/>
      </w:r>
      <w:r>
        <w:instrText xml:space="preserve"> PAGEREF _Toc95382445 \h </w:instrText>
      </w:r>
      <w:r>
        <w:fldChar w:fldCharType="separate"/>
      </w:r>
      <w:r>
        <w:t>13</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"_Toc95382446" </w:instrText>
      </w:r>
      <w:r>
        <w:fldChar w:fldCharType="separate"/>
      </w:r>
      <w:r>
        <w:rPr>
          <w:rStyle w:val="40"/>
          <w:rFonts w:ascii="黑体" w:hAnsi="黑体" w:eastAsia="黑体" w:cs="黑体"/>
          <w:kern w:val="44"/>
        </w:rPr>
        <w:t>第二章 指导思想和目标任务</w:t>
      </w:r>
      <w:r>
        <w:tab/>
      </w:r>
      <w:r>
        <w:fldChar w:fldCharType="begin"/>
      </w:r>
      <w:r>
        <w:instrText xml:space="preserve"> PAGEREF _Toc95382446 \h </w:instrText>
      </w:r>
      <w:r>
        <w:fldChar w:fldCharType="separate"/>
      </w:r>
      <w:r>
        <w:t>16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"_Toc95382447" </w:instrText>
      </w:r>
      <w:r>
        <w:fldChar w:fldCharType="separate"/>
      </w:r>
      <w:r>
        <w:rPr>
          <w:rStyle w:val="40"/>
        </w:rPr>
        <w:t>第一节 指导思想和基本原则</w:t>
      </w:r>
      <w:r>
        <w:tab/>
      </w:r>
      <w:r>
        <w:fldChar w:fldCharType="begin"/>
      </w:r>
      <w:r>
        <w:instrText xml:space="preserve"> PAGEREF _Toc95382447 \h </w:instrText>
      </w:r>
      <w:r>
        <w:fldChar w:fldCharType="separate"/>
      </w:r>
      <w:r>
        <w:t>16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"_Toc95382448" </w:instrText>
      </w:r>
      <w:r>
        <w:fldChar w:fldCharType="separate"/>
      </w:r>
      <w:r>
        <w:rPr>
          <w:rStyle w:val="40"/>
        </w:rPr>
        <w:t>一、指导思想</w:t>
      </w:r>
      <w:r>
        <w:tab/>
      </w:r>
      <w:r>
        <w:fldChar w:fldCharType="begin"/>
      </w:r>
      <w:r>
        <w:instrText xml:space="preserve"> PAGEREF _Toc95382448 \h </w:instrText>
      </w:r>
      <w:r>
        <w:fldChar w:fldCharType="separate"/>
      </w:r>
      <w:r>
        <w:t>16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"_Toc95382449" </w:instrText>
      </w:r>
      <w:r>
        <w:fldChar w:fldCharType="separate"/>
      </w:r>
      <w:r>
        <w:rPr>
          <w:rStyle w:val="40"/>
        </w:rPr>
        <w:t>二、基本原则</w:t>
      </w:r>
      <w:r>
        <w:tab/>
      </w:r>
      <w:r>
        <w:fldChar w:fldCharType="begin"/>
      </w:r>
      <w:r>
        <w:instrText xml:space="preserve"> PAGEREF _Toc95382449 \h </w:instrText>
      </w:r>
      <w:r>
        <w:fldChar w:fldCharType="separate"/>
      </w:r>
      <w:r>
        <w:t>16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"_Toc95382450" </w:instrText>
      </w:r>
      <w:r>
        <w:fldChar w:fldCharType="separate"/>
      </w:r>
      <w:r>
        <w:rPr>
          <w:rStyle w:val="40"/>
        </w:rPr>
        <w:t>第二节 规划目标</w:t>
      </w:r>
      <w:r>
        <w:tab/>
      </w:r>
      <w:r>
        <w:fldChar w:fldCharType="begin"/>
      </w:r>
      <w:r>
        <w:instrText xml:space="preserve"> PAGEREF _Toc95382450 \h </w:instrText>
      </w:r>
      <w:r>
        <w:fldChar w:fldCharType="separate"/>
      </w:r>
      <w:r>
        <w:t>17</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"_Toc95382451" </w:instrText>
      </w:r>
      <w:r>
        <w:fldChar w:fldCharType="separate"/>
      </w:r>
      <w:r>
        <w:rPr>
          <w:rStyle w:val="40"/>
        </w:rPr>
        <w:t>第三节 主要任务</w:t>
      </w:r>
      <w:r>
        <w:tab/>
      </w:r>
      <w:r>
        <w:fldChar w:fldCharType="begin"/>
      </w:r>
      <w:r>
        <w:instrText xml:space="preserve"> PAGEREF _Toc95382451 \h </w:instrText>
      </w:r>
      <w:r>
        <w:fldChar w:fldCharType="separate"/>
      </w:r>
      <w:r>
        <w:t>18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"_Toc95382452" </w:instrText>
      </w:r>
      <w:r>
        <w:fldChar w:fldCharType="separate"/>
      </w:r>
      <w:r>
        <w:rPr>
          <w:rStyle w:val="40"/>
        </w:rPr>
        <w:t>一、建立节水优先的科学用水模式</w:t>
      </w:r>
      <w:r>
        <w:tab/>
      </w:r>
      <w:r>
        <w:fldChar w:fldCharType="begin"/>
      </w:r>
      <w:r>
        <w:instrText xml:space="preserve"> PAGEREF _Toc95382452 \h </w:instrText>
      </w:r>
      <w:r>
        <w:fldChar w:fldCharType="separate"/>
      </w:r>
      <w:r>
        <w:t>18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"_Toc95382453" </w:instrText>
      </w:r>
      <w:r>
        <w:fldChar w:fldCharType="separate"/>
      </w:r>
      <w:r>
        <w:rPr>
          <w:rStyle w:val="40"/>
        </w:rPr>
        <w:t>二、完善水资源合理配置方案</w:t>
      </w:r>
      <w:r>
        <w:tab/>
      </w:r>
      <w:r>
        <w:fldChar w:fldCharType="begin"/>
      </w:r>
      <w:r>
        <w:instrText xml:space="preserve"> PAGEREF _Toc95382453 \h </w:instrText>
      </w:r>
      <w:r>
        <w:fldChar w:fldCharType="separate"/>
      </w:r>
      <w:r>
        <w:t>18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"_Toc95382454" </w:instrText>
      </w:r>
      <w:r>
        <w:fldChar w:fldCharType="separate"/>
      </w:r>
      <w:r>
        <w:rPr>
          <w:rStyle w:val="40"/>
        </w:rPr>
        <w:t>三、加强水资源保护、水生态修复与管控</w:t>
      </w:r>
      <w:r>
        <w:tab/>
      </w:r>
      <w:r>
        <w:fldChar w:fldCharType="begin"/>
      </w:r>
      <w:r>
        <w:instrText xml:space="preserve"> PAGEREF _Toc95382454 \h </w:instrText>
      </w:r>
      <w:r>
        <w:fldChar w:fldCharType="separate"/>
      </w:r>
      <w:r>
        <w:t>19</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"_Toc95382455" </w:instrText>
      </w:r>
      <w:r>
        <w:fldChar w:fldCharType="separate"/>
      </w:r>
      <w:r>
        <w:rPr>
          <w:rStyle w:val="40"/>
        </w:rPr>
        <w:t>四、推进水资源综合监督管理</w:t>
      </w:r>
      <w:r>
        <w:tab/>
      </w:r>
      <w:r>
        <w:fldChar w:fldCharType="begin"/>
      </w:r>
      <w:r>
        <w:instrText xml:space="preserve"> PAGEREF _Toc95382455 \h </w:instrText>
      </w:r>
      <w:r>
        <w:fldChar w:fldCharType="separate"/>
      </w:r>
      <w:r>
        <w:t>20</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"_Toc95382456" </w:instrText>
      </w:r>
      <w:r>
        <w:fldChar w:fldCharType="separate"/>
      </w:r>
      <w:r>
        <w:rPr>
          <w:rStyle w:val="40"/>
          <w:rFonts w:ascii="黑体" w:hAnsi="黑体" w:eastAsia="黑体" w:cs="黑体"/>
          <w:kern w:val="44"/>
        </w:rPr>
        <w:t>第三章 水资源及其开发利用现状评价</w:t>
      </w:r>
      <w:r>
        <w:tab/>
      </w:r>
      <w:r>
        <w:fldChar w:fldCharType="begin"/>
      </w:r>
      <w:r>
        <w:instrText xml:space="preserve"> PAGEREF _Toc95382456 \h </w:instrText>
      </w:r>
      <w:r>
        <w:fldChar w:fldCharType="separate"/>
      </w:r>
      <w:r>
        <w:t>21</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"_Toc95382457" </w:instrText>
      </w:r>
      <w:r>
        <w:fldChar w:fldCharType="separate"/>
      </w:r>
      <w:r>
        <w:rPr>
          <w:rStyle w:val="40"/>
        </w:rPr>
        <w:t>第一节 水资源调查评价</w:t>
      </w:r>
      <w:r>
        <w:tab/>
      </w:r>
      <w:r>
        <w:fldChar w:fldCharType="begin"/>
      </w:r>
      <w:r>
        <w:instrText xml:space="preserve"> PAGEREF _Toc95382457 \h </w:instrText>
      </w:r>
      <w:r>
        <w:fldChar w:fldCharType="separate"/>
      </w:r>
      <w:r>
        <w:t>21</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"_Toc95382458" </w:instrText>
      </w:r>
      <w:r>
        <w:fldChar w:fldCharType="separate"/>
      </w:r>
      <w:r>
        <w:rPr>
          <w:rStyle w:val="40"/>
        </w:rPr>
        <w:t>一、降水</w:t>
      </w:r>
      <w:r>
        <w:tab/>
      </w:r>
      <w:r>
        <w:fldChar w:fldCharType="begin"/>
      </w:r>
      <w:r>
        <w:instrText xml:space="preserve"> PAGEREF _Toc95382458 \h </w:instrText>
      </w:r>
      <w:r>
        <w:fldChar w:fldCharType="separate"/>
      </w:r>
      <w:r>
        <w:t>21</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"_Toc95382459" </w:instrText>
      </w:r>
      <w:r>
        <w:fldChar w:fldCharType="separate"/>
      </w:r>
      <w:r>
        <w:rPr>
          <w:rStyle w:val="40"/>
        </w:rPr>
        <w:t>二、蒸发</w:t>
      </w:r>
      <w:r>
        <w:tab/>
      </w:r>
      <w:r>
        <w:fldChar w:fldCharType="begin"/>
      </w:r>
      <w:r>
        <w:instrText xml:space="preserve"> PAGEREF _Toc95382459 \h </w:instrText>
      </w:r>
      <w:r>
        <w:fldChar w:fldCharType="separate"/>
      </w:r>
      <w:r>
        <w:t>25</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"_Toc95382460" </w:instrText>
      </w:r>
      <w:r>
        <w:fldChar w:fldCharType="separate"/>
      </w:r>
      <w:r>
        <w:rPr>
          <w:rStyle w:val="40"/>
        </w:rPr>
        <w:t>三、地表水资源</w:t>
      </w:r>
      <w:r>
        <w:tab/>
      </w:r>
      <w:r>
        <w:fldChar w:fldCharType="begin"/>
      </w:r>
      <w:r>
        <w:instrText xml:space="preserve"> PAGEREF _Toc95382460 \h </w:instrText>
      </w:r>
      <w:r>
        <w:fldChar w:fldCharType="separate"/>
      </w:r>
      <w:r>
        <w:t>26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"_Toc95382461" </w:instrText>
      </w:r>
      <w:r>
        <w:fldChar w:fldCharType="separate"/>
      </w:r>
      <w:r>
        <w:rPr>
          <w:rStyle w:val="40"/>
        </w:rPr>
        <w:t>四、地下水资源</w:t>
      </w:r>
      <w:r>
        <w:tab/>
      </w:r>
      <w:r>
        <w:fldChar w:fldCharType="begin"/>
      </w:r>
      <w:r>
        <w:instrText xml:space="preserve"> PAGEREF _Toc95382461 \h </w:instrText>
      </w:r>
      <w:r>
        <w:fldChar w:fldCharType="separate"/>
      </w:r>
      <w:r>
        <w:t>30</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"_Toc95382462" </w:instrText>
      </w:r>
      <w:r>
        <w:fldChar w:fldCharType="separate"/>
      </w:r>
      <w:r>
        <w:rPr>
          <w:rStyle w:val="40"/>
        </w:rPr>
        <w:t>五、水资源总量</w:t>
      </w:r>
      <w:r>
        <w:tab/>
      </w:r>
      <w:r>
        <w:fldChar w:fldCharType="begin"/>
      </w:r>
      <w:r>
        <w:instrText xml:space="preserve"> PAGEREF _Toc95382462 \h </w:instrText>
      </w:r>
      <w:r>
        <w:fldChar w:fldCharType="separate"/>
      </w:r>
      <w:r>
        <w:t>31</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"_Toc95382463" </w:instrText>
      </w:r>
      <w:r>
        <w:fldChar w:fldCharType="separate"/>
      </w:r>
      <w:r>
        <w:rPr>
          <w:rStyle w:val="40"/>
        </w:rPr>
        <w:t>六、水资源可利用量</w:t>
      </w:r>
      <w:r>
        <w:tab/>
      </w:r>
      <w:r>
        <w:fldChar w:fldCharType="begin"/>
      </w:r>
      <w:r>
        <w:instrText xml:space="preserve"> PAGEREF _Toc95382463 \h </w:instrText>
      </w:r>
      <w:r>
        <w:fldChar w:fldCharType="separate"/>
      </w:r>
      <w:r>
        <w:t>33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"_Toc95382464" </w:instrText>
      </w:r>
      <w:r>
        <w:fldChar w:fldCharType="separate"/>
      </w:r>
      <w:r>
        <w:rPr>
          <w:rStyle w:val="40"/>
        </w:rPr>
        <w:t>七、出入境水量</w:t>
      </w:r>
      <w:r>
        <w:tab/>
      </w:r>
      <w:r>
        <w:fldChar w:fldCharType="begin"/>
      </w:r>
      <w:r>
        <w:instrText xml:space="preserve"> PAGEREF _Toc95382464 \h </w:instrText>
      </w:r>
      <w:r>
        <w:fldChar w:fldCharType="separate"/>
      </w:r>
      <w:r>
        <w:t>35</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"_Toc95382465" </w:instrText>
      </w:r>
      <w:r>
        <w:fldChar w:fldCharType="separate"/>
      </w:r>
      <w:r>
        <w:rPr>
          <w:rStyle w:val="40"/>
        </w:rPr>
        <w:t>八、水资源质量</w:t>
      </w:r>
      <w:r>
        <w:tab/>
      </w:r>
      <w:r>
        <w:fldChar w:fldCharType="begin"/>
      </w:r>
      <w:r>
        <w:instrText xml:space="preserve"> PAGEREF _Toc95382465 \h </w:instrText>
      </w:r>
      <w:r>
        <w:fldChar w:fldCharType="separate"/>
      </w:r>
      <w:r>
        <w:t>35</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"_Toc95382466" </w:instrText>
      </w:r>
      <w:r>
        <w:fldChar w:fldCharType="separate"/>
      </w:r>
      <w:r>
        <w:rPr>
          <w:rStyle w:val="40"/>
        </w:rPr>
        <w:t>第二节 水资源开发利用现状</w:t>
      </w:r>
      <w:r>
        <w:tab/>
      </w:r>
      <w:r>
        <w:fldChar w:fldCharType="begin"/>
      </w:r>
      <w:r>
        <w:instrText xml:space="preserve"> PAGEREF _Toc95382466 \h </w:instrText>
      </w:r>
      <w:r>
        <w:fldChar w:fldCharType="separate"/>
      </w:r>
      <w:r>
        <w:t>36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"_Toc95382467" </w:instrText>
      </w:r>
      <w:r>
        <w:fldChar w:fldCharType="separate"/>
      </w:r>
      <w:r>
        <w:rPr>
          <w:rStyle w:val="40"/>
        </w:rPr>
        <w:t>一、供水工程和供水水源</w:t>
      </w:r>
      <w:r>
        <w:tab/>
      </w:r>
      <w:r>
        <w:fldChar w:fldCharType="begin"/>
      </w:r>
      <w:r>
        <w:instrText xml:space="preserve"> PAGEREF _Toc95382467 \h </w:instrText>
      </w:r>
      <w:r>
        <w:fldChar w:fldCharType="separate"/>
      </w:r>
      <w:r>
        <w:t>36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"_Toc95382468" </w:instrText>
      </w:r>
      <w:r>
        <w:fldChar w:fldCharType="separate"/>
      </w:r>
      <w:r>
        <w:rPr>
          <w:rStyle w:val="40"/>
        </w:rPr>
        <w:t>二、供水量及其组成</w:t>
      </w:r>
      <w:r>
        <w:tab/>
      </w:r>
      <w:r>
        <w:fldChar w:fldCharType="begin"/>
      </w:r>
      <w:r>
        <w:instrText xml:space="preserve"> PAGEREF _Toc95382468 \h </w:instrText>
      </w:r>
      <w:r>
        <w:fldChar w:fldCharType="separate"/>
      </w:r>
      <w:r>
        <w:t>39</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"_Toc95382469" </w:instrText>
      </w:r>
      <w:r>
        <w:fldChar w:fldCharType="separate"/>
      </w:r>
      <w:r>
        <w:rPr>
          <w:rStyle w:val="40"/>
        </w:rPr>
        <w:t>三、用水量及其构成</w:t>
      </w:r>
      <w:r>
        <w:tab/>
      </w:r>
      <w:r>
        <w:fldChar w:fldCharType="begin"/>
      </w:r>
      <w:r>
        <w:instrText xml:space="preserve"> PAGEREF _Toc95382469 \h </w:instrText>
      </w:r>
      <w:r>
        <w:fldChar w:fldCharType="separate"/>
      </w:r>
      <w:r>
        <w:t>42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"_Toc95382470" </w:instrText>
      </w:r>
      <w:r>
        <w:fldChar w:fldCharType="separate"/>
      </w:r>
      <w:r>
        <w:rPr>
          <w:rStyle w:val="40"/>
        </w:rPr>
        <w:t>四、用水消耗量分析计算</w:t>
      </w:r>
      <w:r>
        <w:tab/>
      </w:r>
      <w:r>
        <w:fldChar w:fldCharType="begin"/>
      </w:r>
      <w:r>
        <w:instrText xml:space="preserve"> PAGEREF _Toc95382470 \h </w:instrText>
      </w:r>
      <w:r>
        <w:fldChar w:fldCharType="separate"/>
      </w:r>
      <w:r>
        <w:t>45</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"_Toc95382471" </w:instrText>
      </w:r>
      <w:r>
        <w:fldChar w:fldCharType="separate"/>
      </w:r>
      <w:r>
        <w:rPr>
          <w:rStyle w:val="40"/>
        </w:rPr>
        <w:t>五、用水指标及其分析评价</w:t>
      </w:r>
      <w:r>
        <w:tab/>
      </w:r>
      <w:r>
        <w:fldChar w:fldCharType="begin"/>
      </w:r>
      <w:r>
        <w:instrText xml:space="preserve"> PAGEREF _Toc95382471 \h </w:instrText>
      </w:r>
      <w:r>
        <w:fldChar w:fldCharType="separate"/>
      </w:r>
      <w:r>
        <w:t>48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"_Toc95382472" </w:instrText>
      </w:r>
      <w:r>
        <w:fldChar w:fldCharType="separate"/>
      </w:r>
      <w:r>
        <w:rPr>
          <w:rStyle w:val="40"/>
        </w:rPr>
        <w:t>六、2019年干旱年情况介绍</w:t>
      </w:r>
      <w:r>
        <w:tab/>
      </w:r>
      <w:r>
        <w:fldChar w:fldCharType="begin"/>
      </w:r>
      <w:r>
        <w:instrText xml:space="preserve"> PAGEREF _Toc95382472 \h </w:instrText>
      </w:r>
      <w:r>
        <w:fldChar w:fldCharType="separate"/>
      </w:r>
      <w:r>
        <w:t>51</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"_Toc95382473" </w:instrText>
      </w:r>
      <w:r>
        <w:fldChar w:fldCharType="separate"/>
      </w:r>
      <w:r>
        <w:rPr>
          <w:rStyle w:val="40"/>
        </w:rPr>
        <w:t>第三节 水资源开发利用评价</w:t>
      </w:r>
      <w:r>
        <w:tab/>
      </w:r>
      <w:r>
        <w:fldChar w:fldCharType="begin"/>
      </w:r>
      <w:r>
        <w:instrText xml:space="preserve"> PAGEREF _Toc95382473 \h </w:instrText>
      </w:r>
      <w:r>
        <w:fldChar w:fldCharType="separate"/>
      </w:r>
      <w:r>
        <w:t>53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"_Toc95382474" </w:instrText>
      </w:r>
      <w:r>
        <w:fldChar w:fldCharType="separate"/>
      </w:r>
      <w:r>
        <w:rPr>
          <w:rStyle w:val="40"/>
        </w:rPr>
        <w:t>一、水资源量评价</w:t>
      </w:r>
      <w:r>
        <w:tab/>
      </w:r>
      <w:r>
        <w:fldChar w:fldCharType="begin"/>
      </w:r>
      <w:r>
        <w:instrText xml:space="preserve"> PAGEREF _Toc95382474 \h </w:instrText>
      </w:r>
      <w:r>
        <w:fldChar w:fldCharType="separate"/>
      </w:r>
      <w:r>
        <w:t>53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"_Toc95382475" </w:instrText>
      </w:r>
      <w:r>
        <w:fldChar w:fldCharType="separate"/>
      </w:r>
      <w:r>
        <w:rPr>
          <w:rStyle w:val="40"/>
        </w:rPr>
        <w:t>二、水资源开发利用评价</w:t>
      </w:r>
      <w:r>
        <w:tab/>
      </w:r>
      <w:r>
        <w:fldChar w:fldCharType="begin"/>
      </w:r>
      <w:r>
        <w:instrText xml:space="preserve"> PAGEREF _Toc95382475 \h </w:instrText>
      </w:r>
      <w:r>
        <w:fldChar w:fldCharType="separate"/>
      </w:r>
      <w:r>
        <w:t>54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"_Toc95382476" </w:instrText>
      </w:r>
      <w:r>
        <w:fldChar w:fldCharType="separate"/>
      </w:r>
      <w:r>
        <w:rPr>
          <w:rStyle w:val="40"/>
        </w:rPr>
        <w:t>三、存在问题和建议</w:t>
      </w:r>
      <w:r>
        <w:tab/>
      </w:r>
      <w:r>
        <w:fldChar w:fldCharType="begin"/>
      </w:r>
      <w:r>
        <w:instrText xml:space="preserve"> PAGEREF _Toc95382476 \h </w:instrText>
      </w:r>
      <w:r>
        <w:fldChar w:fldCharType="separate"/>
      </w:r>
      <w:r>
        <w:t>54</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"_Toc95382477" </w:instrText>
      </w:r>
      <w:r>
        <w:fldChar w:fldCharType="separate"/>
      </w:r>
      <w:r>
        <w:rPr>
          <w:rStyle w:val="40"/>
          <w:rFonts w:ascii="黑体" w:hAnsi="黑体" w:eastAsia="黑体" w:cs="黑体"/>
          <w:kern w:val="44"/>
        </w:rPr>
        <w:t>第四章 水资源需求预测</w:t>
      </w:r>
      <w:r>
        <w:tab/>
      </w:r>
      <w:r>
        <w:fldChar w:fldCharType="begin"/>
      </w:r>
      <w:r>
        <w:instrText xml:space="preserve"> PAGEREF _Toc95382477 \h </w:instrText>
      </w:r>
      <w:r>
        <w:fldChar w:fldCharType="separate"/>
      </w:r>
      <w:r>
        <w:t>56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"_Toc95382478" </w:instrText>
      </w:r>
      <w:r>
        <w:fldChar w:fldCharType="separate"/>
      </w:r>
      <w:r>
        <w:rPr>
          <w:rStyle w:val="40"/>
        </w:rPr>
        <w:t>第一节 经济社会发展指标预测</w:t>
      </w:r>
      <w:r>
        <w:tab/>
      </w:r>
      <w:r>
        <w:fldChar w:fldCharType="begin"/>
      </w:r>
      <w:r>
        <w:instrText xml:space="preserve"> PAGEREF _Toc95382478 \h </w:instrText>
      </w:r>
      <w:r>
        <w:fldChar w:fldCharType="separate"/>
      </w:r>
      <w:r>
        <w:t>56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"_Toc95382479" </w:instrText>
      </w:r>
      <w:r>
        <w:fldChar w:fldCharType="separate"/>
      </w:r>
      <w:r>
        <w:rPr>
          <w:rStyle w:val="40"/>
        </w:rPr>
        <w:t>一、经济社会发展布局及规划情况</w:t>
      </w:r>
      <w:r>
        <w:tab/>
      </w:r>
      <w:r>
        <w:fldChar w:fldCharType="begin"/>
      </w:r>
      <w:r>
        <w:instrText xml:space="preserve"> PAGEREF _Toc95382479 \h </w:instrText>
      </w:r>
      <w:r>
        <w:fldChar w:fldCharType="separate"/>
      </w:r>
      <w:r>
        <w:t>56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"_Toc95382480" </w:instrText>
      </w:r>
      <w:r>
        <w:fldChar w:fldCharType="separate"/>
      </w:r>
      <w:r>
        <w:rPr>
          <w:rStyle w:val="40"/>
        </w:rPr>
        <w:t>二、人口与城镇化预测</w:t>
      </w:r>
      <w:r>
        <w:tab/>
      </w:r>
      <w:r>
        <w:fldChar w:fldCharType="begin"/>
      </w:r>
      <w:r>
        <w:instrText xml:space="preserve"> PAGEREF _Toc95382480 \h </w:instrText>
      </w:r>
      <w:r>
        <w:fldChar w:fldCharType="separate"/>
      </w:r>
      <w:r>
        <w:t>60</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"_Toc95382481" </w:instrText>
      </w:r>
      <w:r>
        <w:fldChar w:fldCharType="separate"/>
      </w:r>
      <w:r>
        <w:rPr>
          <w:rStyle w:val="40"/>
        </w:rPr>
        <w:t>三、经济发展指标预测</w:t>
      </w:r>
      <w:r>
        <w:tab/>
      </w:r>
      <w:r>
        <w:fldChar w:fldCharType="begin"/>
      </w:r>
      <w:r>
        <w:instrText xml:space="preserve"> PAGEREF _Toc95382481 \h </w:instrText>
      </w:r>
      <w:r>
        <w:fldChar w:fldCharType="separate"/>
      </w:r>
      <w:r>
        <w:t>60</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"_Toc95382482" </w:instrText>
      </w:r>
      <w:r>
        <w:fldChar w:fldCharType="separate"/>
      </w:r>
      <w:r>
        <w:rPr>
          <w:rStyle w:val="40"/>
        </w:rPr>
        <w:t>四、农业发展指标预测</w:t>
      </w:r>
      <w:r>
        <w:tab/>
      </w:r>
      <w:r>
        <w:fldChar w:fldCharType="begin"/>
      </w:r>
      <w:r>
        <w:instrText xml:space="preserve"> PAGEREF _Toc95382482 \h </w:instrText>
      </w:r>
      <w:r>
        <w:fldChar w:fldCharType="separate"/>
      </w:r>
      <w:r>
        <w:t>61</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"_Toc95382483" </w:instrText>
      </w:r>
      <w:r>
        <w:fldChar w:fldCharType="separate"/>
      </w:r>
      <w:r>
        <w:rPr>
          <w:rStyle w:val="40"/>
        </w:rPr>
        <w:t>第二节 经济社会需水预测</w:t>
      </w:r>
      <w:r>
        <w:tab/>
      </w:r>
      <w:r>
        <w:fldChar w:fldCharType="begin"/>
      </w:r>
      <w:r>
        <w:instrText xml:space="preserve"> PAGEREF _Toc95382483 \h </w:instrText>
      </w:r>
      <w:r>
        <w:fldChar w:fldCharType="separate"/>
      </w:r>
      <w:r>
        <w:t>62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"_Toc95382484" </w:instrText>
      </w:r>
      <w:r>
        <w:fldChar w:fldCharType="separate"/>
      </w:r>
      <w:r>
        <w:rPr>
          <w:rStyle w:val="40"/>
        </w:rPr>
        <w:t>一、现状水平年需水分析</w:t>
      </w:r>
      <w:r>
        <w:tab/>
      </w:r>
      <w:r>
        <w:fldChar w:fldCharType="begin"/>
      </w:r>
      <w:r>
        <w:instrText xml:space="preserve"> PAGEREF _Toc95382484 \h </w:instrText>
      </w:r>
      <w:r>
        <w:fldChar w:fldCharType="separate"/>
      </w:r>
      <w:r>
        <w:t>62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"_Toc95382485" </w:instrText>
      </w:r>
      <w:r>
        <w:fldChar w:fldCharType="separate"/>
      </w:r>
      <w:r>
        <w:rPr>
          <w:rStyle w:val="40"/>
        </w:rPr>
        <w:t>二、规划水平年需水分析</w:t>
      </w:r>
      <w:r>
        <w:tab/>
      </w:r>
      <w:r>
        <w:fldChar w:fldCharType="begin"/>
      </w:r>
      <w:r>
        <w:instrText xml:space="preserve"> PAGEREF _Toc95382485 \h </w:instrText>
      </w:r>
      <w:r>
        <w:fldChar w:fldCharType="separate"/>
      </w:r>
      <w:r>
        <w:t>62</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"_Toc95382486" </w:instrText>
      </w:r>
      <w:r>
        <w:fldChar w:fldCharType="separate"/>
      </w:r>
      <w:r>
        <w:rPr>
          <w:rStyle w:val="40"/>
        </w:rPr>
        <w:t>第三节 总需水量</w:t>
      </w:r>
      <w:r>
        <w:tab/>
      </w:r>
      <w:r>
        <w:fldChar w:fldCharType="begin"/>
      </w:r>
      <w:r>
        <w:instrText xml:space="preserve"> PAGEREF _Toc95382486 \h </w:instrText>
      </w:r>
      <w:r>
        <w:fldChar w:fldCharType="separate"/>
      </w:r>
      <w:r>
        <w:t>70</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"_Toc95382487" </w:instrText>
      </w:r>
      <w:r>
        <w:fldChar w:fldCharType="separate"/>
      </w:r>
      <w:r>
        <w:rPr>
          <w:rStyle w:val="40"/>
        </w:rPr>
        <w:t>第四节 需水成果合理性分析</w:t>
      </w:r>
      <w:r>
        <w:tab/>
      </w:r>
      <w:r>
        <w:fldChar w:fldCharType="begin"/>
      </w:r>
      <w:r>
        <w:instrText xml:space="preserve"> PAGEREF _Toc95382487 \h </w:instrText>
      </w:r>
      <w:r>
        <w:fldChar w:fldCharType="separate"/>
      </w:r>
      <w:r>
        <w:t>73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"_Toc95382488" </w:instrText>
      </w:r>
      <w:r>
        <w:fldChar w:fldCharType="separate"/>
      </w:r>
      <w:r>
        <w:rPr>
          <w:rStyle w:val="40"/>
        </w:rPr>
        <w:t>一、增长趋势分析</w:t>
      </w:r>
      <w:r>
        <w:tab/>
      </w:r>
      <w:r>
        <w:fldChar w:fldCharType="begin"/>
      </w:r>
      <w:r>
        <w:instrText xml:space="preserve"> PAGEREF _Toc95382488 \h </w:instrText>
      </w:r>
      <w:r>
        <w:fldChar w:fldCharType="separate"/>
      </w:r>
      <w:r>
        <w:t>73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"_Toc95382489" </w:instrText>
      </w:r>
      <w:r>
        <w:fldChar w:fldCharType="separate"/>
      </w:r>
      <w:r>
        <w:rPr>
          <w:rStyle w:val="40"/>
        </w:rPr>
        <w:t>二、需水结构变化</w:t>
      </w:r>
      <w:r>
        <w:tab/>
      </w:r>
      <w:r>
        <w:fldChar w:fldCharType="begin"/>
      </w:r>
      <w:r>
        <w:instrText xml:space="preserve"> PAGEREF _Toc95382489 \h </w:instrText>
      </w:r>
      <w:r>
        <w:fldChar w:fldCharType="separate"/>
      </w:r>
      <w:r>
        <w:t>73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"_Toc95382490" </w:instrText>
      </w:r>
      <w:r>
        <w:fldChar w:fldCharType="separate"/>
      </w:r>
      <w:r>
        <w:rPr>
          <w:rStyle w:val="40"/>
        </w:rPr>
        <w:t>三、用水水平和效率</w:t>
      </w:r>
      <w:r>
        <w:tab/>
      </w:r>
      <w:r>
        <w:fldChar w:fldCharType="begin"/>
      </w:r>
      <w:r>
        <w:instrText xml:space="preserve"> PAGEREF _Toc95382490 \h </w:instrText>
      </w:r>
      <w:r>
        <w:fldChar w:fldCharType="separate"/>
      </w:r>
      <w:r>
        <w:t>75</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"_Toc95382491" </w:instrText>
      </w:r>
      <w:r>
        <w:fldChar w:fldCharType="separate"/>
      </w:r>
      <w:r>
        <w:rPr>
          <w:rStyle w:val="40"/>
          <w:rFonts w:ascii="黑体" w:hAnsi="黑体" w:eastAsia="黑体" w:cs="黑体"/>
          <w:kern w:val="44"/>
        </w:rPr>
        <w:t>第五章 水资源节约利用</w:t>
      </w:r>
      <w:r>
        <w:tab/>
      </w:r>
      <w:r>
        <w:fldChar w:fldCharType="begin"/>
      </w:r>
      <w:r>
        <w:instrText xml:space="preserve"> PAGEREF _Toc95382491 \h </w:instrText>
      </w:r>
      <w:r>
        <w:fldChar w:fldCharType="separate"/>
      </w:r>
      <w:r>
        <w:t>76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"_Toc95382492" </w:instrText>
      </w:r>
      <w:r>
        <w:fldChar w:fldCharType="separate"/>
      </w:r>
      <w:r>
        <w:rPr>
          <w:rStyle w:val="40"/>
        </w:rPr>
        <w:t>第一节 现状用水水平分析</w:t>
      </w:r>
      <w:r>
        <w:tab/>
      </w:r>
      <w:r>
        <w:fldChar w:fldCharType="begin"/>
      </w:r>
      <w:r>
        <w:instrText xml:space="preserve"> PAGEREF _Toc95382492 \h </w:instrText>
      </w:r>
      <w:r>
        <w:fldChar w:fldCharType="separate"/>
      </w:r>
      <w:r>
        <w:t>76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"_Toc95382493" </w:instrText>
      </w:r>
      <w:r>
        <w:fldChar w:fldCharType="separate"/>
      </w:r>
      <w:r>
        <w:rPr>
          <w:rStyle w:val="40"/>
        </w:rPr>
        <w:t>一、用水综合效率</w:t>
      </w:r>
      <w:r>
        <w:tab/>
      </w:r>
      <w:r>
        <w:fldChar w:fldCharType="begin"/>
      </w:r>
      <w:r>
        <w:instrText xml:space="preserve"> PAGEREF _Toc95382493 \h </w:instrText>
      </w:r>
      <w:r>
        <w:fldChar w:fldCharType="separate"/>
      </w:r>
      <w:r>
        <w:t>76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"_Toc95382494" </w:instrText>
      </w:r>
      <w:r>
        <w:fldChar w:fldCharType="separate"/>
      </w:r>
      <w:r>
        <w:rPr>
          <w:rStyle w:val="40"/>
        </w:rPr>
        <w:t>二、生活用水现状</w:t>
      </w:r>
      <w:r>
        <w:tab/>
      </w:r>
      <w:r>
        <w:fldChar w:fldCharType="begin"/>
      </w:r>
      <w:r>
        <w:instrText xml:space="preserve"> PAGEREF _Toc95382494 \h </w:instrText>
      </w:r>
      <w:r>
        <w:fldChar w:fldCharType="separate"/>
      </w:r>
      <w:r>
        <w:t>76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"_Toc95382495" </w:instrText>
      </w:r>
      <w:r>
        <w:fldChar w:fldCharType="separate"/>
      </w:r>
      <w:r>
        <w:rPr>
          <w:rStyle w:val="40"/>
        </w:rPr>
        <w:t>三、生产用水现状</w:t>
      </w:r>
      <w:r>
        <w:tab/>
      </w:r>
      <w:r>
        <w:fldChar w:fldCharType="begin"/>
      </w:r>
      <w:r>
        <w:instrText xml:space="preserve"> PAGEREF _Toc95382495 \h </w:instrText>
      </w:r>
      <w:r>
        <w:fldChar w:fldCharType="separate"/>
      </w:r>
      <w:r>
        <w:t>77</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"_Toc95382496" </w:instrText>
      </w:r>
      <w:r>
        <w:fldChar w:fldCharType="separate"/>
      </w:r>
      <w:r>
        <w:rPr>
          <w:rStyle w:val="40"/>
        </w:rPr>
        <w:t>第二节 节水潜力分析</w:t>
      </w:r>
      <w:r>
        <w:tab/>
      </w:r>
      <w:r>
        <w:fldChar w:fldCharType="begin"/>
      </w:r>
      <w:r>
        <w:instrText xml:space="preserve"> PAGEREF _Toc95382496 \h </w:instrText>
      </w:r>
      <w:r>
        <w:fldChar w:fldCharType="separate"/>
      </w:r>
      <w:r>
        <w:t>78</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"_Toc95382497" </w:instrText>
      </w:r>
      <w:r>
        <w:fldChar w:fldCharType="separate"/>
      </w:r>
      <w:r>
        <w:rPr>
          <w:rStyle w:val="40"/>
        </w:rPr>
        <w:t>第三节 节水目标和总体布局</w:t>
      </w:r>
      <w:r>
        <w:tab/>
      </w:r>
      <w:r>
        <w:fldChar w:fldCharType="begin"/>
      </w:r>
      <w:r>
        <w:instrText xml:space="preserve"> PAGEREF _Toc95382497 \h </w:instrText>
      </w:r>
      <w:r>
        <w:fldChar w:fldCharType="separate"/>
      </w:r>
      <w:r>
        <w:t>79</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"_Toc95382498" </w:instrText>
      </w:r>
      <w:r>
        <w:fldChar w:fldCharType="separate"/>
      </w:r>
      <w:r>
        <w:rPr>
          <w:rStyle w:val="40"/>
        </w:rPr>
        <w:t>一、节水目标</w:t>
      </w:r>
      <w:r>
        <w:tab/>
      </w:r>
      <w:r>
        <w:fldChar w:fldCharType="begin"/>
      </w:r>
      <w:r>
        <w:instrText xml:space="preserve"> PAGEREF _Toc95382498 \h </w:instrText>
      </w:r>
      <w:r>
        <w:fldChar w:fldCharType="separate"/>
      </w:r>
      <w:r>
        <w:t>79</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"_Toc95382499" </w:instrText>
      </w:r>
      <w:r>
        <w:fldChar w:fldCharType="separate"/>
      </w:r>
      <w:r>
        <w:rPr>
          <w:rStyle w:val="40"/>
        </w:rPr>
        <w:t>二、总体布局</w:t>
      </w:r>
      <w:r>
        <w:tab/>
      </w:r>
      <w:r>
        <w:fldChar w:fldCharType="begin"/>
      </w:r>
      <w:r>
        <w:instrText xml:space="preserve"> PAGEREF _Toc95382499 \h </w:instrText>
      </w:r>
      <w:r>
        <w:fldChar w:fldCharType="separate"/>
      </w:r>
      <w:r>
        <w:t>80</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"_Toc95382500" </w:instrText>
      </w:r>
      <w:r>
        <w:fldChar w:fldCharType="separate"/>
      </w:r>
      <w:r>
        <w:rPr>
          <w:rStyle w:val="40"/>
        </w:rPr>
        <w:t>第四节 节水任务和工作内容</w:t>
      </w:r>
      <w:r>
        <w:tab/>
      </w:r>
      <w:r>
        <w:fldChar w:fldCharType="begin"/>
      </w:r>
      <w:r>
        <w:instrText xml:space="preserve"> PAGEREF _Toc95382500 \h </w:instrText>
      </w:r>
      <w:r>
        <w:fldChar w:fldCharType="separate"/>
      </w:r>
      <w:r>
        <w:t>82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"_Toc95382501" </w:instrText>
      </w:r>
      <w:r>
        <w:fldChar w:fldCharType="separate"/>
      </w:r>
      <w:r>
        <w:rPr>
          <w:rStyle w:val="40"/>
        </w:rPr>
        <w:t>一、农业节水</w:t>
      </w:r>
      <w:r>
        <w:tab/>
      </w:r>
      <w:r>
        <w:fldChar w:fldCharType="begin"/>
      </w:r>
      <w:r>
        <w:instrText xml:space="preserve"> PAGEREF _Toc95382501 \h </w:instrText>
      </w:r>
      <w:r>
        <w:fldChar w:fldCharType="separate"/>
      </w:r>
      <w:r>
        <w:t>82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"_Toc95382502" </w:instrText>
      </w:r>
      <w:r>
        <w:fldChar w:fldCharType="separate"/>
      </w:r>
      <w:r>
        <w:rPr>
          <w:rStyle w:val="40"/>
        </w:rPr>
        <w:t>二、工业节水</w:t>
      </w:r>
      <w:r>
        <w:tab/>
      </w:r>
      <w:r>
        <w:fldChar w:fldCharType="begin"/>
      </w:r>
      <w:r>
        <w:instrText xml:space="preserve"> PAGEREF _Toc95382502 \h </w:instrText>
      </w:r>
      <w:r>
        <w:fldChar w:fldCharType="separate"/>
      </w:r>
      <w:r>
        <w:t>83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"_Toc95382503" </w:instrText>
      </w:r>
      <w:r>
        <w:fldChar w:fldCharType="separate"/>
      </w:r>
      <w:r>
        <w:rPr>
          <w:rStyle w:val="40"/>
        </w:rPr>
        <w:t>三、城镇节水</w:t>
      </w:r>
      <w:r>
        <w:tab/>
      </w:r>
      <w:r>
        <w:fldChar w:fldCharType="begin"/>
      </w:r>
      <w:r>
        <w:instrText xml:space="preserve"> PAGEREF _Toc95382503 \h </w:instrText>
      </w:r>
      <w:r>
        <w:fldChar w:fldCharType="separate"/>
      </w:r>
      <w:r>
        <w:t>84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"_Toc95382504" </w:instrText>
      </w:r>
      <w:r>
        <w:fldChar w:fldCharType="separate"/>
      </w:r>
      <w:r>
        <w:rPr>
          <w:rStyle w:val="40"/>
        </w:rPr>
        <w:t>四、非常规水源利用</w:t>
      </w:r>
      <w:r>
        <w:tab/>
      </w:r>
      <w:r>
        <w:fldChar w:fldCharType="begin"/>
      </w:r>
      <w:r>
        <w:instrText xml:space="preserve"> PAGEREF _Toc95382504 \h </w:instrText>
      </w:r>
      <w:r>
        <w:fldChar w:fldCharType="separate"/>
      </w:r>
      <w:r>
        <w:t>85</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"_Toc95382505" </w:instrText>
      </w:r>
      <w:r>
        <w:fldChar w:fldCharType="separate"/>
      </w:r>
      <w:r>
        <w:rPr>
          <w:rStyle w:val="40"/>
        </w:rPr>
        <w:t>五、节水能力建设</w:t>
      </w:r>
      <w:r>
        <w:tab/>
      </w:r>
      <w:r>
        <w:fldChar w:fldCharType="begin"/>
      </w:r>
      <w:r>
        <w:instrText xml:space="preserve"> PAGEREF _Toc95382505 \h </w:instrText>
      </w:r>
      <w:r>
        <w:fldChar w:fldCharType="separate"/>
      </w:r>
      <w:r>
        <w:t>85</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"_Toc95382506" </w:instrText>
      </w:r>
      <w:r>
        <w:fldChar w:fldCharType="separate"/>
      </w:r>
      <w:r>
        <w:rPr>
          <w:rStyle w:val="40"/>
        </w:rPr>
        <w:t>六、节水载体建设</w:t>
      </w:r>
      <w:r>
        <w:tab/>
      </w:r>
      <w:r>
        <w:fldChar w:fldCharType="begin"/>
      </w:r>
      <w:r>
        <w:instrText xml:space="preserve"> PAGEREF _Toc95382506 \h </w:instrText>
      </w:r>
      <w:r>
        <w:fldChar w:fldCharType="separate"/>
      </w:r>
      <w:r>
        <w:t>85</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"_Toc95382507" </w:instrText>
      </w:r>
      <w:r>
        <w:fldChar w:fldCharType="separate"/>
      </w:r>
      <w:r>
        <w:rPr>
          <w:rStyle w:val="40"/>
        </w:rPr>
        <w:t>七、节水宣传及教育</w:t>
      </w:r>
      <w:r>
        <w:tab/>
      </w:r>
      <w:r>
        <w:fldChar w:fldCharType="begin"/>
      </w:r>
      <w:r>
        <w:instrText xml:space="preserve"> PAGEREF _Toc95382507 \h </w:instrText>
      </w:r>
      <w:r>
        <w:fldChar w:fldCharType="separate"/>
      </w:r>
      <w:r>
        <w:t>85</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"_Toc95382508" </w:instrText>
      </w:r>
      <w:r>
        <w:fldChar w:fldCharType="separate"/>
      </w:r>
      <w:r>
        <w:rPr>
          <w:rStyle w:val="40"/>
        </w:rPr>
        <w:t>第五节 节水制度建设</w:t>
      </w:r>
      <w:r>
        <w:tab/>
      </w:r>
      <w:r>
        <w:fldChar w:fldCharType="begin"/>
      </w:r>
      <w:r>
        <w:instrText xml:space="preserve"> PAGEREF _Toc95382508 \h </w:instrText>
      </w:r>
      <w:r>
        <w:fldChar w:fldCharType="separate"/>
      </w:r>
      <w:r>
        <w:t>86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"_Toc95382509" </w:instrText>
      </w:r>
      <w:r>
        <w:fldChar w:fldCharType="separate"/>
      </w:r>
      <w:r>
        <w:rPr>
          <w:rStyle w:val="40"/>
        </w:rPr>
        <w:t>一、深入落实总量强度双控制度</w:t>
      </w:r>
      <w:r>
        <w:tab/>
      </w:r>
      <w:r>
        <w:fldChar w:fldCharType="begin"/>
      </w:r>
      <w:r>
        <w:instrText xml:space="preserve"> PAGEREF _Toc95382509 \h </w:instrText>
      </w:r>
      <w:r>
        <w:fldChar w:fldCharType="separate"/>
      </w:r>
      <w:r>
        <w:t>86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"_Toc95382510" </w:instrText>
      </w:r>
      <w:r>
        <w:fldChar w:fldCharType="separate"/>
      </w:r>
      <w:r>
        <w:rPr>
          <w:rStyle w:val="40"/>
        </w:rPr>
        <w:t>二、完善相关政策制度</w:t>
      </w:r>
      <w:r>
        <w:tab/>
      </w:r>
      <w:r>
        <w:fldChar w:fldCharType="begin"/>
      </w:r>
      <w:r>
        <w:instrText xml:space="preserve"> PAGEREF _Toc95382510 \h </w:instrText>
      </w:r>
      <w:r>
        <w:fldChar w:fldCharType="separate"/>
      </w:r>
      <w:r>
        <w:t>86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"_Toc95382511" </w:instrText>
      </w:r>
      <w:r>
        <w:fldChar w:fldCharType="separate"/>
      </w:r>
      <w:r>
        <w:rPr>
          <w:rStyle w:val="40"/>
        </w:rPr>
        <w:t>三、建立节水市场调节与激励机制</w:t>
      </w:r>
      <w:r>
        <w:tab/>
      </w:r>
      <w:r>
        <w:fldChar w:fldCharType="begin"/>
      </w:r>
      <w:r>
        <w:instrText xml:space="preserve"> PAGEREF _Toc95382511 \h </w:instrText>
      </w:r>
      <w:r>
        <w:fldChar w:fldCharType="separate"/>
      </w:r>
      <w:r>
        <w:t>87</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"_Toc95382512" </w:instrText>
      </w:r>
      <w:r>
        <w:fldChar w:fldCharType="separate"/>
      </w:r>
      <w:r>
        <w:rPr>
          <w:rStyle w:val="40"/>
        </w:rPr>
        <w:t>第六节 节水建设重点工程</w:t>
      </w:r>
      <w:r>
        <w:tab/>
      </w:r>
      <w:r>
        <w:fldChar w:fldCharType="begin"/>
      </w:r>
      <w:r>
        <w:instrText xml:space="preserve"> PAGEREF _Toc95382512 \h </w:instrText>
      </w:r>
      <w:r>
        <w:fldChar w:fldCharType="separate"/>
      </w:r>
      <w:r>
        <w:t>87</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"_Toc95382513" </w:instrText>
      </w:r>
      <w:r>
        <w:fldChar w:fldCharType="separate"/>
      </w:r>
      <w:r>
        <w:rPr>
          <w:rStyle w:val="40"/>
          <w:rFonts w:ascii="黑体" w:hAnsi="黑体" w:eastAsia="黑体" w:cs="黑体"/>
          <w:kern w:val="44"/>
        </w:rPr>
        <w:t>第六章 水资源配置</w:t>
      </w:r>
      <w:r>
        <w:tab/>
      </w:r>
      <w:r>
        <w:fldChar w:fldCharType="begin"/>
      </w:r>
      <w:r>
        <w:instrText xml:space="preserve"> PAGEREF _Toc95382513 \h </w:instrText>
      </w:r>
      <w:r>
        <w:fldChar w:fldCharType="separate"/>
      </w:r>
      <w:r>
        <w:t>90</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"_Toc95382514" </w:instrText>
      </w:r>
      <w:r>
        <w:fldChar w:fldCharType="separate"/>
      </w:r>
      <w:r>
        <w:rPr>
          <w:rStyle w:val="40"/>
        </w:rPr>
        <w:t>第一节 水资源供需平衡分析</w:t>
      </w:r>
      <w:r>
        <w:tab/>
      </w:r>
      <w:r>
        <w:fldChar w:fldCharType="begin"/>
      </w:r>
      <w:r>
        <w:instrText xml:space="preserve"> PAGEREF _Toc95382514 \h </w:instrText>
      </w:r>
      <w:r>
        <w:fldChar w:fldCharType="separate"/>
      </w:r>
      <w:r>
        <w:t>90</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"_Toc95382515" </w:instrText>
      </w:r>
      <w:r>
        <w:fldChar w:fldCharType="separate"/>
      </w:r>
      <w:r>
        <w:rPr>
          <w:rStyle w:val="40"/>
        </w:rPr>
        <w:t>一、供水预测</w:t>
      </w:r>
      <w:r>
        <w:tab/>
      </w:r>
      <w:r>
        <w:fldChar w:fldCharType="begin"/>
      </w:r>
      <w:r>
        <w:instrText xml:space="preserve"> PAGEREF _Toc95382515 \h </w:instrText>
      </w:r>
      <w:r>
        <w:fldChar w:fldCharType="separate"/>
      </w:r>
      <w:r>
        <w:t>90</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"_Toc95382516" </w:instrText>
      </w:r>
      <w:r>
        <w:fldChar w:fldCharType="separate"/>
      </w:r>
      <w:r>
        <w:rPr>
          <w:rStyle w:val="40"/>
        </w:rPr>
        <w:t>二、供需平衡分析</w:t>
      </w:r>
      <w:r>
        <w:tab/>
      </w:r>
      <w:r>
        <w:fldChar w:fldCharType="begin"/>
      </w:r>
      <w:r>
        <w:instrText xml:space="preserve"> PAGEREF _Toc95382516 \h </w:instrText>
      </w:r>
      <w:r>
        <w:fldChar w:fldCharType="separate"/>
      </w:r>
      <w:r>
        <w:t>95</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"_Toc95382517" </w:instrText>
      </w:r>
      <w:r>
        <w:fldChar w:fldCharType="separate"/>
      </w:r>
      <w:r>
        <w:rPr>
          <w:rStyle w:val="40"/>
        </w:rPr>
        <w:t>第二节 水资源总体配置</w:t>
      </w:r>
      <w:r>
        <w:tab/>
      </w:r>
      <w:r>
        <w:fldChar w:fldCharType="begin"/>
      </w:r>
      <w:r>
        <w:instrText xml:space="preserve"> PAGEREF _Toc95382517 \h </w:instrText>
      </w:r>
      <w:r>
        <w:fldChar w:fldCharType="separate"/>
      </w:r>
      <w:r>
        <w:t>98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"_Toc95382518" </w:instrText>
      </w:r>
      <w:r>
        <w:fldChar w:fldCharType="separate"/>
      </w:r>
      <w:r>
        <w:rPr>
          <w:rStyle w:val="40"/>
        </w:rPr>
        <w:t>一、水资源配置原则和目标</w:t>
      </w:r>
      <w:r>
        <w:tab/>
      </w:r>
      <w:r>
        <w:fldChar w:fldCharType="begin"/>
      </w:r>
      <w:r>
        <w:instrText xml:space="preserve"> PAGEREF _Toc95382518 \h </w:instrText>
      </w:r>
      <w:r>
        <w:fldChar w:fldCharType="separate"/>
      </w:r>
      <w:r>
        <w:t>98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"_Toc95382519" </w:instrText>
      </w:r>
      <w:r>
        <w:fldChar w:fldCharType="separate"/>
      </w:r>
      <w:r>
        <w:rPr>
          <w:rStyle w:val="40"/>
        </w:rPr>
        <w:t>二、总体水量配置</w:t>
      </w:r>
      <w:r>
        <w:tab/>
      </w:r>
      <w:r>
        <w:fldChar w:fldCharType="begin"/>
      </w:r>
      <w:r>
        <w:instrText xml:space="preserve"> PAGEREF _Toc95382519 \h </w:instrText>
      </w:r>
      <w:r>
        <w:fldChar w:fldCharType="separate"/>
      </w:r>
      <w:r>
        <w:t>99</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"_Toc95382520" </w:instrText>
      </w:r>
      <w:r>
        <w:fldChar w:fldCharType="separate"/>
      </w:r>
      <w:r>
        <w:rPr>
          <w:rStyle w:val="40"/>
        </w:rPr>
        <w:t>三、分区水资源配置</w:t>
      </w:r>
      <w:r>
        <w:tab/>
      </w:r>
      <w:r>
        <w:fldChar w:fldCharType="begin"/>
      </w:r>
      <w:r>
        <w:instrText xml:space="preserve"> PAGEREF _Toc95382520 \h </w:instrText>
      </w:r>
      <w:r>
        <w:fldChar w:fldCharType="separate"/>
      </w:r>
      <w:r>
        <w:t>107</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"_Toc95382521" </w:instrText>
      </w:r>
      <w:r>
        <w:fldChar w:fldCharType="separate"/>
      </w:r>
      <w:r>
        <w:rPr>
          <w:rStyle w:val="40"/>
        </w:rPr>
        <w:t>第三节 重大水资源配置工程</w:t>
      </w:r>
      <w:r>
        <w:tab/>
      </w:r>
      <w:r>
        <w:fldChar w:fldCharType="begin"/>
      </w:r>
      <w:r>
        <w:instrText xml:space="preserve"> PAGEREF _Toc95382521 \h </w:instrText>
      </w:r>
      <w:r>
        <w:fldChar w:fldCharType="separate"/>
      </w:r>
      <w:r>
        <w:t>114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"_Toc95382522" </w:instrText>
      </w:r>
      <w:r>
        <w:fldChar w:fldCharType="separate"/>
      </w:r>
      <w:r>
        <w:rPr>
          <w:rStyle w:val="40"/>
        </w:rPr>
        <w:t>一、重点水源工程</w:t>
      </w:r>
      <w:r>
        <w:tab/>
      </w:r>
      <w:r>
        <w:fldChar w:fldCharType="begin"/>
      </w:r>
      <w:r>
        <w:instrText xml:space="preserve"> PAGEREF _Toc95382522 \h </w:instrText>
      </w:r>
      <w:r>
        <w:fldChar w:fldCharType="separate"/>
      </w:r>
      <w:r>
        <w:t>114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"_Toc95382523" </w:instrText>
      </w:r>
      <w:r>
        <w:fldChar w:fldCharType="separate"/>
      </w:r>
      <w:r>
        <w:rPr>
          <w:rStyle w:val="40"/>
        </w:rPr>
        <w:t>二、水资源优化配置工程</w:t>
      </w:r>
      <w:r>
        <w:tab/>
      </w:r>
      <w:r>
        <w:fldChar w:fldCharType="begin"/>
      </w:r>
      <w:r>
        <w:instrText xml:space="preserve"> PAGEREF _Toc95382523 \h </w:instrText>
      </w:r>
      <w:r>
        <w:fldChar w:fldCharType="separate"/>
      </w:r>
      <w:r>
        <w:t>114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"_Toc95382524" </w:instrText>
      </w:r>
      <w:r>
        <w:fldChar w:fldCharType="separate"/>
      </w:r>
      <w:r>
        <w:rPr>
          <w:rStyle w:val="40"/>
        </w:rPr>
        <w:t>三、新建灌区</w:t>
      </w:r>
      <w:r>
        <w:tab/>
      </w:r>
      <w:r>
        <w:fldChar w:fldCharType="begin"/>
      </w:r>
      <w:r>
        <w:instrText xml:space="preserve"> PAGEREF _Toc95382524 \h </w:instrText>
      </w:r>
      <w:r>
        <w:fldChar w:fldCharType="separate"/>
      </w:r>
      <w:r>
        <w:t>117</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"_Toc95382525" </w:instrText>
      </w:r>
      <w:r>
        <w:fldChar w:fldCharType="separate"/>
      </w:r>
      <w:r>
        <w:rPr>
          <w:rStyle w:val="40"/>
        </w:rPr>
        <w:t>四、重点节水工程</w:t>
      </w:r>
      <w:r>
        <w:tab/>
      </w:r>
      <w:r>
        <w:fldChar w:fldCharType="begin"/>
      </w:r>
      <w:r>
        <w:instrText xml:space="preserve"> PAGEREF _Toc95382525 \h </w:instrText>
      </w:r>
      <w:r>
        <w:fldChar w:fldCharType="separate"/>
      </w:r>
      <w:r>
        <w:t>117</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"_Toc95382526" </w:instrText>
      </w:r>
      <w:r>
        <w:fldChar w:fldCharType="separate"/>
      </w:r>
      <w:r>
        <w:rPr>
          <w:rStyle w:val="40"/>
          <w:rFonts w:ascii="黑体" w:hAnsi="黑体" w:eastAsia="黑体" w:cs="黑体"/>
          <w:kern w:val="44"/>
        </w:rPr>
        <w:t>第七章 水资源保护</w:t>
      </w:r>
      <w:r>
        <w:tab/>
      </w:r>
      <w:r>
        <w:fldChar w:fldCharType="begin"/>
      </w:r>
      <w:r>
        <w:instrText xml:space="preserve"> PAGEREF _Toc95382526 \h </w:instrText>
      </w:r>
      <w:r>
        <w:fldChar w:fldCharType="separate"/>
      </w:r>
      <w:r>
        <w:t>119</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"_Toc95382527" </w:instrText>
      </w:r>
      <w:r>
        <w:fldChar w:fldCharType="separate"/>
      </w:r>
      <w:r>
        <w:rPr>
          <w:rStyle w:val="40"/>
        </w:rPr>
        <w:t>第一节 水生态环境状况</w:t>
      </w:r>
      <w:r>
        <w:tab/>
      </w:r>
      <w:r>
        <w:fldChar w:fldCharType="begin"/>
      </w:r>
      <w:r>
        <w:instrText xml:space="preserve"> PAGEREF _Toc95382527 \h </w:instrText>
      </w:r>
      <w:r>
        <w:fldChar w:fldCharType="separate"/>
      </w:r>
      <w:r>
        <w:t>119</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"_Toc95382528" </w:instrText>
      </w:r>
      <w:r>
        <w:fldChar w:fldCharType="separate"/>
      </w:r>
      <w:r>
        <w:rPr>
          <w:rStyle w:val="40"/>
        </w:rPr>
        <w:t>一、水环境质量状况</w:t>
      </w:r>
      <w:r>
        <w:tab/>
      </w:r>
      <w:r>
        <w:fldChar w:fldCharType="begin"/>
      </w:r>
      <w:r>
        <w:instrText xml:space="preserve"> PAGEREF _Toc95382528 \h </w:instrText>
      </w:r>
      <w:r>
        <w:fldChar w:fldCharType="separate"/>
      </w:r>
      <w:r>
        <w:t>119</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"_Toc95382529" </w:instrText>
      </w:r>
      <w:r>
        <w:fldChar w:fldCharType="separate"/>
      </w:r>
      <w:r>
        <w:rPr>
          <w:rStyle w:val="40"/>
        </w:rPr>
        <w:t>二、污染物排放状况</w:t>
      </w:r>
      <w:r>
        <w:tab/>
      </w:r>
      <w:r>
        <w:fldChar w:fldCharType="begin"/>
      </w:r>
      <w:r>
        <w:instrText xml:space="preserve"> PAGEREF _Toc95382529 \h </w:instrText>
      </w:r>
      <w:r>
        <w:fldChar w:fldCharType="separate"/>
      </w:r>
      <w:r>
        <w:t>121</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"_Toc95382530" </w:instrText>
      </w:r>
      <w:r>
        <w:fldChar w:fldCharType="separate"/>
      </w:r>
      <w:r>
        <w:rPr>
          <w:rStyle w:val="40"/>
        </w:rPr>
        <w:t>第二节 水资源保护工作成效、经验与问题</w:t>
      </w:r>
      <w:r>
        <w:tab/>
      </w:r>
      <w:r>
        <w:fldChar w:fldCharType="begin"/>
      </w:r>
      <w:r>
        <w:instrText xml:space="preserve"> PAGEREF _Toc95382530 \h </w:instrText>
      </w:r>
      <w:r>
        <w:fldChar w:fldCharType="separate"/>
      </w:r>
      <w:r>
        <w:t>124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"_Toc95382531" </w:instrText>
      </w:r>
      <w:r>
        <w:fldChar w:fldCharType="separate"/>
      </w:r>
      <w:r>
        <w:rPr>
          <w:rStyle w:val="40"/>
        </w:rPr>
        <w:t>一、工作成效</w:t>
      </w:r>
      <w:r>
        <w:tab/>
      </w:r>
      <w:r>
        <w:fldChar w:fldCharType="begin"/>
      </w:r>
      <w:r>
        <w:instrText xml:space="preserve"> PAGEREF _Toc95382531 \h </w:instrText>
      </w:r>
      <w:r>
        <w:fldChar w:fldCharType="separate"/>
      </w:r>
      <w:r>
        <w:t>124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"_Toc95382532" </w:instrText>
      </w:r>
      <w:r>
        <w:fldChar w:fldCharType="separate"/>
      </w:r>
      <w:r>
        <w:rPr>
          <w:rStyle w:val="40"/>
        </w:rPr>
        <w:t>二、经验总结</w:t>
      </w:r>
      <w:r>
        <w:tab/>
      </w:r>
      <w:r>
        <w:fldChar w:fldCharType="begin"/>
      </w:r>
      <w:r>
        <w:instrText xml:space="preserve"> PAGEREF _Toc95382532 \h </w:instrText>
      </w:r>
      <w:r>
        <w:fldChar w:fldCharType="separate"/>
      </w:r>
      <w:r>
        <w:t>124</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"_Toc95382533" </w:instrText>
      </w:r>
      <w:r>
        <w:fldChar w:fldCharType="separate"/>
      </w:r>
      <w:r>
        <w:rPr>
          <w:rStyle w:val="40"/>
        </w:rPr>
        <w:t>三、现状主要问题</w:t>
      </w:r>
      <w:r>
        <w:tab/>
      </w:r>
      <w:r>
        <w:fldChar w:fldCharType="begin"/>
      </w:r>
      <w:r>
        <w:instrText xml:space="preserve"> PAGEREF _Toc95382533 \h </w:instrText>
      </w:r>
      <w:r>
        <w:fldChar w:fldCharType="separate"/>
      </w:r>
      <w:r>
        <w:t>125</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"_Toc95382534" </w:instrText>
      </w:r>
      <w:r>
        <w:fldChar w:fldCharType="separate"/>
      </w:r>
      <w:r>
        <w:rPr>
          <w:rStyle w:val="40"/>
        </w:rPr>
        <w:t>第三节 总体思路</w:t>
      </w:r>
      <w:r>
        <w:tab/>
      </w:r>
      <w:r>
        <w:fldChar w:fldCharType="begin"/>
      </w:r>
      <w:r>
        <w:instrText xml:space="preserve"> PAGEREF _Toc95382534 \h </w:instrText>
      </w:r>
      <w:r>
        <w:fldChar w:fldCharType="separate"/>
      </w:r>
      <w:r>
        <w:t>126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"_Toc95382535" </w:instrText>
      </w:r>
      <w:r>
        <w:fldChar w:fldCharType="separate"/>
      </w:r>
      <w:r>
        <w:rPr>
          <w:rStyle w:val="40"/>
        </w:rPr>
        <w:t>一、基本定位</w:t>
      </w:r>
      <w:r>
        <w:tab/>
      </w:r>
      <w:r>
        <w:fldChar w:fldCharType="begin"/>
      </w:r>
      <w:r>
        <w:instrText xml:space="preserve"> PAGEREF _Toc95382535 \h </w:instrText>
      </w:r>
      <w:r>
        <w:fldChar w:fldCharType="separate"/>
      </w:r>
      <w:r>
        <w:t>126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"_Toc95382536" </w:instrText>
      </w:r>
      <w:r>
        <w:fldChar w:fldCharType="separate"/>
      </w:r>
      <w:r>
        <w:rPr>
          <w:rStyle w:val="40"/>
        </w:rPr>
        <w:t>二、规划目标</w:t>
      </w:r>
      <w:r>
        <w:tab/>
      </w:r>
      <w:r>
        <w:fldChar w:fldCharType="begin"/>
      </w:r>
      <w:r>
        <w:instrText xml:space="preserve"> PAGEREF _Toc95382536 \h </w:instrText>
      </w:r>
      <w:r>
        <w:fldChar w:fldCharType="separate"/>
      </w:r>
      <w:r>
        <w:t>126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"_Toc95382537" </w:instrText>
      </w:r>
      <w:r>
        <w:fldChar w:fldCharType="separate"/>
      </w:r>
      <w:r>
        <w:rPr>
          <w:rStyle w:val="40"/>
        </w:rPr>
        <w:t>第四节 主要河流生态流量管控</w:t>
      </w:r>
      <w:r>
        <w:tab/>
      </w:r>
      <w:r>
        <w:fldChar w:fldCharType="begin"/>
      </w:r>
      <w:r>
        <w:instrText xml:space="preserve"> PAGEREF _Toc95382537 \h </w:instrText>
      </w:r>
      <w:r>
        <w:fldChar w:fldCharType="separate"/>
      </w:r>
      <w:r>
        <w:t>127</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"_Toc95382538" </w:instrText>
      </w:r>
      <w:r>
        <w:fldChar w:fldCharType="separate"/>
      </w:r>
      <w:r>
        <w:rPr>
          <w:rStyle w:val="40"/>
        </w:rPr>
        <w:t>一、史灌河生态流量管控</w:t>
      </w:r>
      <w:r>
        <w:tab/>
      </w:r>
      <w:r>
        <w:fldChar w:fldCharType="begin"/>
      </w:r>
      <w:r>
        <w:instrText xml:space="preserve"> PAGEREF _Toc95382538 \h </w:instrText>
      </w:r>
      <w:r>
        <w:fldChar w:fldCharType="separate"/>
      </w:r>
      <w:r>
        <w:t>127</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"_Toc95382539" </w:instrText>
      </w:r>
      <w:r>
        <w:fldChar w:fldCharType="separate"/>
      </w:r>
      <w:r>
        <w:rPr>
          <w:rStyle w:val="40"/>
        </w:rPr>
        <w:t>二、淠河生态流量管控</w:t>
      </w:r>
      <w:r>
        <w:tab/>
      </w:r>
      <w:r>
        <w:fldChar w:fldCharType="begin"/>
      </w:r>
      <w:r>
        <w:instrText xml:space="preserve"> PAGEREF _Toc95382539 \h </w:instrText>
      </w:r>
      <w:r>
        <w:fldChar w:fldCharType="separate"/>
      </w:r>
      <w:r>
        <w:t>128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"_Toc95382540" </w:instrText>
      </w:r>
      <w:r>
        <w:fldChar w:fldCharType="separate"/>
      </w:r>
      <w:r>
        <w:rPr>
          <w:rStyle w:val="40"/>
        </w:rPr>
        <w:t>三、杭埠河生态流量管控</w:t>
      </w:r>
      <w:r>
        <w:tab/>
      </w:r>
      <w:r>
        <w:fldChar w:fldCharType="begin"/>
      </w:r>
      <w:r>
        <w:instrText xml:space="preserve"> PAGEREF _Toc95382540 \h </w:instrText>
      </w:r>
      <w:r>
        <w:fldChar w:fldCharType="separate"/>
      </w:r>
      <w:r>
        <w:t>129</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"_Toc95382541" </w:instrText>
      </w:r>
      <w:r>
        <w:fldChar w:fldCharType="separate"/>
      </w:r>
      <w:r>
        <w:rPr>
          <w:rStyle w:val="40"/>
        </w:rPr>
        <w:t>第五节 水生态环境修复重点工程</w:t>
      </w:r>
      <w:r>
        <w:tab/>
      </w:r>
      <w:r>
        <w:fldChar w:fldCharType="begin"/>
      </w:r>
      <w:r>
        <w:instrText xml:space="preserve"> PAGEREF _Toc95382541 \h </w:instrText>
      </w:r>
      <w:r>
        <w:fldChar w:fldCharType="separate"/>
      </w:r>
      <w:r>
        <w:t>130</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"_Toc95382542" </w:instrText>
      </w:r>
      <w:r>
        <w:fldChar w:fldCharType="separate"/>
      </w:r>
      <w:r>
        <w:rPr>
          <w:rStyle w:val="40"/>
          <w:rFonts w:ascii="黑体" w:hAnsi="黑体" w:eastAsia="黑体" w:cs="黑体"/>
          <w:kern w:val="44"/>
        </w:rPr>
        <w:t>第八章 城乡供水水源规划</w:t>
      </w:r>
      <w:r>
        <w:tab/>
      </w:r>
      <w:r>
        <w:fldChar w:fldCharType="begin"/>
      </w:r>
      <w:r>
        <w:instrText xml:space="preserve"> PAGEREF _Toc95382542 \h </w:instrText>
      </w:r>
      <w:r>
        <w:fldChar w:fldCharType="separate"/>
      </w:r>
      <w:r>
        <w:t>132</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"_Toc95382543" </w:instrText>
      </w:r>
      <w:r>
        <w:fldChar w:fldCharType="separate"/>
      </w:r>
      <w:r>
        <w:rPr>
          <w:rStyle w:val="40"/>
        </w:rPr>
        <w:t>第一节 城镇用水现状</w:t>
      </w:r>
      <w:r>
        <w:tab/>
      </w:r>
      <w:r>
        <w:fldChar w:fldCharType="begin"/>
      </w:r>
      <w:r>
        <w:instrText xml:space="preserve"> PAGEREF _Toc95382543 \h </w:instrText>
      </w:r>
      <w:r>
        <w:fldChar w:fldCharType="separate"/>
      </w:r>
      <w:r>
        <w:t>132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"_Toc95382544" </w:instrText>
      </w:r>
      <w:r>
        <w:fldChar w:fldCharType="separate"/>
      </w:r>
      <w:r>
        <w:rPr>
          <w:rStyle w:val="40"/>
        </w:rPr>
        <w:t>一、城镇现状用水量</w:t>
      </w:r>
      <w:r>
        <w:tab/>
      </w:r>
      <w:r>
        <w:fldChar w:fldCharType="begin"/>
      </w:r>
      <w:r>
        <w:instrText xml:space="preserve"> PAGEREF _Toc95382544 \h </w:instrText>
      </w:r>
      <w:r>
        <w:fldChar w:fldCharType="separate"/>
      </w:r>
      <w:r>
        <w:t>132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"_Toc95382545" </w:instrText>
      </w:r>
      <w:r>
        <w:fldChar w:fldCharType="separate"/>
      </w:r>
      <w:r>
        <w:rPr>
          <w:rStyle w:val="40"/>
        </w:rPr>
        <w:t>二、供水水源地现状</w:t>
      </w:r>
      <w:r>
        <w:tab/>
      </w:r>
      <w:r>
        <w:fldChar w:fldCharType="begin"/>
      </w:r>
      <w:r>
        <w:instrText xml:space="preserve"> PAGEREF _Toc95382545 \h </w:instrText>
      </w:r>
      <w:r>
        <w:fldChar w:fldCharType="separate"/>
      </w:r>
      <w:r>
        <w:t>132</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"_Toc95382546" </w:instrText>
      </w:r>
      <w:r>
        <w:fldChar w:fldCharType="separate"/>
      </w:r>
      <w:r>
        <w:rPr>
          <w:rStyle w:val="40"/>
        </w:rPr>
        <w:t>第二节 城镇用水需求预测</w:t>
      </w:r>
      <w:r>
        <w:tab/>
      </w:r>
      <w:r>
        <w:fldChar w:fldCharType="begin"/>
      </w:r>
      <w:r>
        <w:instrText xml:space="preserve"> PAGEREF _Toc95382546 \h </w:instrText>
      </w:r>
      <w:r>
        <w:fldChar w:fldCharType="separate"/>
      </w:r>
      <w:r>
        <w:t>133</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"_Toc95382547" </w:instrText>
      </w:r>
      <w:r>
        <w:fldChar w:fldCharType="separate"/>
      </w:r>
      <w:r>
        <w:rPr>
          <w:rStyle w:val="40"/>
        </w:rPr>
        <w:t>第三节 城镇供水水源规划</w:t>
      </w:r>
      <w:r>
        <w:tab/>
      </w:r>
      <w:r>
        <w:fldChar w:fldCharType="begin"/>
      </w:r>
      <w:r>
        <w:instrText xml:space="preserve"> PAGEREF _Toc95382547 \h </w:instrText>
      </w:r>
      <w:r>
        <w:fldChar w:fldCharType="separate"/>
      </w:r>
      <w:r>
        <w:t>133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"_Toc95382548" </w:instrText>
      </w:r>
      <w:r>
        <w:fldChar w:fldCharType="separate"/>
      </w:r>
      <w:r>
        <w:rPr>
          <w:rStyle w:val="40"/>
        </w:rPr>
        <w:t>一、城镇供水现状</w:t>
      </w:r>
      <w:r>
        <w:tab/>
      </w:r>
      <w:r>
        <w:fldChar w:fldCharType="begin"/>
      </w:r>
      <w:r>
        <w:instrText xml:space="preserve"> PAGEREF _Toc95382548 \h </w:instrText>
      </w:r>
      <w:r>
        <w:fldChar w:fldCharType="separate"/>
      </w:r>
      <w:r>
        <w:t>133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"_Toc95382549" </w:instrText>
      </w:r>
      <w:r>
        <w:fldChar w:fldCharType="separate"/>
      </w:r>
      <w:r>
        <w:rPr>
          <w:rStyle w:val="40"/>
        </w:rPr>
        <w:t>二、城镇供水规划</w:t>
      </w:r>
      <w:r>
        <w:tab/>
      </w:r>
      <w:r>
        <w:fldChar w:fldCharType="begin"/>
      </w:r>
      <w:r>
        <w:instrText xml:space="preserve"> PAGEREF _Toc95382549 \h </w:instrText>
      </w:r>
      <w:r>
        <w:fldChar w:fldCharType="separate"/>
      </w:r>
      <w:r>
        <w:t>134</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"_Toc95382550" </w:instrText>
      </w:r>
      <w:r>
        <w:fldChar w:fldCharType="separate"/>
      </w:r>
      <w:r>
        <w:rPr>
          <w:rStyle w:val="40"/>
        </w:rPr>
        <w:t>第四节 城乡一体化供水网络</w:t>
      </w:r>
      <w:r>
        <w:tab/>
      </w:r>
      <w:r>
        <w:fldChar w:fldCharType="begin"/>
      </w:r>
      <w:r>
        <w:instrText xml:space="preserve"> PAGEREF _Toc95382550 \h </w:instrText>
      </w:r>
      <w:r>
        <w:fldChar w:fldCharType="separate"/>
      </w:r>
      <w:r>
        <w:t>135</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"_Toc95382551" </w:instrText>
      </w:r>
      <w:r>
        <w:fldChar w:fldCharType="separate"/>
      </w:r>
      <w:r>
        <w:rPr>
          <w:rStyle w:val="40"/>
        </w:rPr>
        <w:t>一、供水总体布局</w:t>
      </w:r>
      <w:r>
        <w:tab/>
      </w:r>
      <w:r>
        <w:fldChar w:fldCharType="begin"/>
      </w:r>
      <w:r>
        <w:instrText xml:space="preserve"> PAGEREF _Toc95382551 \h </w:instrText>
      </w:r>
      <w:r>
        <w:fldChar w:fldCharType="separate"/>
      </w:r>
      <w:r>
        <w:t>135</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"_Toc95382552" </w:instrText>
      </w:r>
      <w:r>
        <w:fldChar w:fldCharType="separate"/>
      </w:r>
      <w:r>
        <w:rPr>
          <w:rStyle w:val="40"/>
        </w:rPr>
        <w:t>二、供水工程布局</w:t>
      </w:r>
      <w:r>
        <w:tab/>
      </w:r>
      <w:r>
        <w:fldChar w:fldCharType="begin"/>
      </w:r>
      <w:r>
        <w:instrText xml:space="preserve"> PAGEREF _Toc95382552 \h </w:instrText>
      </w:r>
      <w:r>
        <w:fldChar w:fldCharType="separate"/>
      </w:r>
      <w:r>
        <w:t>136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"_Toc95382553" </w:instrText>
      </w:r>
      <w:r>
        <w:fldChar w:fldCharType="separate"/>
      </w:r>
      <w:r>
        <w:rPr>
          <w:rStyle w:val="40"/>
        </w:rPr>
        <w:t>三、县区建设内容</w:t>
      </w:r>
      <w:r>
        <w:tab/>
      </w:r>
      <w:r>
        <w:fldChar w:fldCharType="begin"/>
      </w:r>
      <w:r>
        <w:instrText xml:space="preserve"> PAGEREF _Toc95382553 \h </w:instrText>
      </w:r>
      <w:r>
        <w:fldChar w:fldCharType="separate"/>
      </w:r>
      <w:r>
        <w:t>137</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"_Toc95382554" </w:instrText>
      </w:r>
      <w:r>
        <w:fldChar w:fldCharType="separate"/>
      </w:r>
      <w:r>
        <w:rPr>
          <w:rStyle w:val="40"/>
        </w:rPr>
        <w:t>第五节 应急保障措施</w:t>
      </w:r>
      <w:r>
        <w:tab/>
      </w:r>
      <w:r>
        <w:fldChar w:fldCharType="begin"/>
      </w:r>
      <w:r>
        <w:instrText xml:space="preserve"> PAGEREF _Toc95382554 \h </w:instrText>
      </w:r>
      <w:r>
        <w:fldChar w:fldCharType="separate"/>
      </w:r>
      <w:r>
        <w:t>138</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"_Toc95382555" </w:instrText>
      </w:r>
      <w:r>
        <w:fldChar w:fldCharType="separate"/>
      </w:r>
      <w:r>
        <w:rPr>
          <w:rStyle w:val="40"/>
          <w:rFonts w:ascii="黑体" w:hAnsi="黑体" w:eastAsia="黑体" w:cs="黑体"/>
          <w:kern w:val="44"/>
        </w:rPr>
        <w:t>第九章 水资源监测</w:t>
      </w:r>
      <w:r>
        <w:tab/>
      </w:r>
      <w:r>
        <w:fldChar w:fldCharType="begin"/>
      </w:r>
      <w:r>
        <w:instrText xml:space="preserve"> PAGEREF _Toc95382555 \h </w:instrText>
      </w:r>
      <w:r>
        <w:fldChar w:fldCharType="separate"/>
      </w:r>
      <w:r>
        <w:t>141</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"_Toc95382556" </w:instrText>
      </w:r>
      <w:r>
        <w:fldChar w:fldCharType="separate"/>
      </w:r>
      <w:r>
        <w:rPr>
          <w:rStyle w:val="40"/>
        </w:rPr>
        <w:t>第一节 水资源监测现状</w:t>
      </w:r>
      <w:r>
        <w:tab/>
      </w:r>
      <w:r>
        <w:fldChar w:fldCharType="begin"/>
      </w:r>
      <w:r>
        <w:instrText xml:space="preserve"> PAGEREF _Toc95382556 \h </w:instrText>
      </w:r>
      <w:r>
        <w:fldChar w:fldCharType="separate"/>
      </w:r>
      <w:r>
        <w:t>141</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"_Toc95382557" </w:instrText>
      </w:r>
      <w:r>
        <w:fldChar w:fldCharType="separate"/>
      </w:r>
      <w:r>
        <w:rPr>
          <w:rStyle w:val="40"/>
        </w:rPr>
        <w:t>第二节 水资源监测规划目标、原则和建设内容</w:t>
      </w:r>
      <w:r>
        <w:tab/>
      </w:r>
      <w:r>
        <w:fldChar w:fldCharType="begin"/>
      </w:r>
      <w:r>
        <w:instrText xml:space="preserve"> PAGEREF _Toc95382557 \h </w:instrText>
      </w:r>
      <w:r>
        <w:fldChar w:fldCharType="separate"/>
      </w:r>
      <w:r>
        <w:t>141</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"_Toc95382558" </w:instrText>
      </w:r>
      <w:r>
        <w:fldChar w:fldCharType="separate"/>
      </w:r>
      <w:r>
        <w:rPr>
          <w:rStyle w:val="40"/>
        </w:rPr>
        <w:t>一、规划目标</w:t>
      </w:r>
      <w:r>
        <w:tab/>
      </w:r>
      <w:r>
        <w:fldChar w:fldCharType="begin"/>
      </w:r>
      <w:r>
        <w:instrText xml:space="preserve"> PAGEREF _Toc95382558 \h </w:instrText>
      </w:r>
      <w:r>
        <w:fldChar w:fldCharType="separate"/>
      </w:r>
      <w:r>
        <w:t>141</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"_Toc95382559" </w:instrText>
      </w:r>
      <w:r>
        <w:fldChar w:fldCharType="separate"/>
      </w:r>
      <w:r>
        <w:rPr>
          <w:rStyle w:val="40"/>
        </w:rPr>
        <w:t>二、规划原则</w:t>
      </w:r>
      <w:r>
        <w:tab/>
      </w:r>
      <w:r>
        <w:fldChar w:fldCharType="begin"/>
      </w:r>
      <w:r>
        <w:instrText xml:space="preserve"> PAGEREF _Toc95382559 \h </w:instrText>
      </w:r>
      <w:r>
        <w:fldChar w:fldCharType="separate"/>
      </w:r>
      <w:r>
        <w:t>141</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"_Toc95382560" </w:instrText>
      </w:r>
      <w:r>
        <w:fldChar w:fldCharType="separate"/>
      </w:r>
      <w:r>
        <w:rPr>
          <w:rStyle w:val="40"/>
        </w:rPr>
        <w:t>三、主要建设内容</w:t>
      </w:r>
      <w:r>
        <w:tab/>
      </w:r>
      <w:r>
        <w:fldChar w:fldCharType="begin"/>
      </w:r>
      <w:r>
        <w:instrText xml:space="preserve"> PAGEREF _Toc95382560 \h </w:instrText>
      </w:r>
      <w:r>
        <w:fldChar w:fldCharType="separate"/>
      </w:r>
      <w:r>
        <w:t>142</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"_Toc95382561" </w:instrText>
      </w:r>
      <w:r>
        <w:fldChar w:fldCharType="separate"/>
      </w:r>
      <w:r>
        <w:rPr>
          <w:rStyle w:val="40"/>
        </w:rPr>
        <w:t>第三节 水资源量监测</w:t>
      </w:r>
      <w:r>
        <w:tab/>
      </w:r>
      <w:r>
        <w:fldChar w:fldCharType="begin"/>
      </w:r>
      <w:r>
        <w:instrText xml:space="preserve"> PAGEREF _Toc95382561 \h </w:instrText>
      </w:r>
      <w:r>
        <w:fldChar w:fldCharType="separate"/>
      </w:r>
      <w:r>
        <w:t>142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"_Toc95382562" </w:instrText>
      </w:r>
      <w:r>
        <w:fldChar w:fldCharType="separate"/>
      </w:r>
      <w:r>
        <w:rPr>
          <w:rStyle w:val="40"/>
        </w:rPr>
        <w:t>一、监测站点布设</w:t>
      </w:r>
      <w:r>
        <w:tab/>
      </w:r>
      <w:r>
        <w:fldChar w:fldCharType="begin"/>
      </w:r>
      <w:r>
        <w:instrText xml:space="preserve"> PAGEREF _Toc95382562 \h </w:instrText>
      </w:r>
      <w:r>
        <w:fldChar w:fldCharType="separate"/>
      </w:r>
      <w:r>
        <w:t>142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"_Toc95382563" </w:instrText>
      </w:r>
      <w:r>
        <w:fldChar w:fldCharType="separate"/>
      </w:r>
      <w:r>
        <w:rPr>
          <w:rStyle w:val="40"/>
        </w:rPr>
        <w:t>二、监测方法</w:t>
      </w:r>
      <w:r>
        <w:tab/>
      </w:r>
      <w:r>
        <w:fldChar w:fldCharType="begin"/>
      </w:r>
      <w:r>
        <w:instrText xml:space="preserve"> PAGEREF _Toc95382563 \h </w:instrText>
      </w:r>
      <w:r>
        <w:fldChar w:fldCharType="separate"/>
      </w:r>
      <w:r>
        <w:t>143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"_Toc95382564" </w:instrText>
      </w:r>
      <w:r>
        <w:fldChar w:fldCharType="separate"/>
      </w:r>
      <w:r>
        <w:rPr>
          <w:rStyle w:val="40"/>
        </w:rPr>
        <w:t>三、监测频次</w:t>
      </w:r>
      <w:r>
        <w:tab/>
      </w:r>
      <w:r>
        <w:fldChar w:fldCharType="begin"/>
      </w:r>
      <w:r>
        <w:instrText xml:space="preserve"> PAGEREF _Toc95382564 \h </w:instrText>
      </w:r>
      <w:r>
        <w:fldChar w:fldCharType="separate"/>
      </w:r>
      <w:r>
        <w:t>143</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"_Toc95382565" </w:instrText>
      </w:r>
      <w:r>
        <w:fldChar w:fldCharType="separate"/>
      </w:r>
      <w:r>
        <w:rPr>
          <w:rStyle w:val="40"/>
        </w:rPr>
        <w:t>第四节 水质监测</w:t>
      </w:r>
      <w:r>
        <w:tab/>
      </w:r>
      <w:r>
        <w:fldChar w:fldCharType="begin"/>
      </w:r>
      <w:r>
        <w:instrText xml:space="preserve"> PAGEREF _Toc95382565 \h </w:instrText>
      </w:r>
      <w:r>
        <w:fldChar w:fldCharType="separate"/>
      </w:r>
      <w:r>
        <w:t>143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"_Toc95382566" </w:instrText>
      </w:r>
      <w:r>
        <w:fldChar w:fldCharType="separate"/>
      </w:r>
      <w:r>
        <w:rPr>
          <w:rStyle w:val="40"/>
        </w:rPr>
        <w:t>一、监测站点布设</w:t>
      </w:r>
      <w:r>
        <w:tab/>
      </w:r>
      <w:r>
        <w:fldChar w:fldCharType="begin"/>
      </w:r>
      <w:r>
        <w:instrText xml:space="preserve"> PAGEREF _Toc95382566 \h </w:instrText>
      </w:r>
      <w:r>
        <w:fldChar w:fldCharType="separate"/>
      </w:r>
      <w:r>
        <w:t>143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"_Toc95382567" </w:instrText>
      </w:r>
      <w:r>
        <w:fldChar w:fldCharType="separate"/>
      </w:r>
      <w:r>
        <w:rPr>
          <w:rStyle w:val="40"/>
        </w:rPr>
        <w:t>二、监测方法</w:t>
      </w:r>
      <w:r>
        <w:tab/>
      </w:r>
      <w:r>
        <w:fldChar w:fldCharType="begin"/>
      </w:r>
      <w:r>
        <w:instrText xml:space="preserve"> PAGEREF _Toc95382567 \h </w:instrText>
      </w:r>
      <w:r>
        <w:fldChar w:fldCharType="separate"/>
      </w:r>
      <w:r>
        <w:t>143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"_Toc95382568" </w:instrText>
      </w:r>
      <w:r>
        <w:fldChar w:fldCharType="separate"/>
      </w:r>
      <w:r>
        <w:rPr>
          <w:rStyle w:val="40"/>
        </w:rPr>
        <w:t>三、监测项目</w:t>
      </w:r>
      <w:r>
        <w:tab/>
      </w:r>
      <w:r>
        <w:fldChar w:fldCharType="begin"/>
      </w:r>
      <w:r>
        <w:instrText xml:space="preserve"> PAGEREF _Toc95382568 \h </w:instrText>
      </w:r>
      <w:r>
        <w:fldChar w:fldCharType="separate"/>
      </w:r>
      <w:r>
        <w:t>143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"_Toc95382569" </w:instrText>
      </w:r>
      <w:r>
        <w:fldChar w:fldCharType="separate"/>
      </w:r>
      <w:r>
        <w:rPr>
          <w:rStyle w:val="40"/>
        </w:rPr>
        <w:t>四、监测频次</w:t>
      </w:r>
      <w:r>
        <w:tab/>
      </w:r>
      <w:r>
        <w:fldChar w:fldCharType="begin"/>
      </w:r>
      <w:r>
        <w:instrText xml:space="preserve"> PAGEREF _Toc95382569 \h </w:instrText>
      </w:r>
      <w:r>
        <w:fldChar w:fldCharType="separate"/>
      </w:r>
      <w:r>
        <w:t>144</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"_Toc95382570" </w:instrText>
      </w:r>
      <w:r>
        <w:fldChar w:fldCharType="separate"/>
      </w:r>
      <w:r>
        <w:rPr>
          <w:rStyle w:val="40"/>
        </w:rPr>
        <w:t>第五节 水利信息化建设</w:t>
      </w:r>
      <w:r>
        <w:tab/>
      </w:r>
      <w:r>
        <w:fldChar w:fldCharType="begin"/>
      </w:r>
      <w:r>
        <w:instrText xml:space="preserve"> PAGEREF _Toc95382570 \h </w:instrText>
      </w:r>
      <w:r>
        <w:fldChar w:fldCharType="separate"/>
      </w:r>
      <w:r>
        <w:t>144</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"_Toc95382571" </w:instrText>
      </w:r>
      <w:r>
        <w:fldChar w:fldCharType="separate"/>
      </w:r>
      <w:r>
        <w:rPr>
          <w:rStyle w:val="40"/>
          <w:rFonts w:ascii="黑体" w:hAnsi="黑体" w:eastAsia="黑体" w:cs="黑体"/>
          <w:kern w:val="44"/>
        </w:rPr>
        <w:t>第十章 规划实施方案、投资估算及效果评价</w:t>
      </w:r>
      <w:r>
        <w:tab/>
      </w:r>
      <w:r>
        <w:fldChar w:fldCharType="begin"/>
      </w:r>
      <w:r>
        <w:instrText xml:space="preserve"> PAGEREF _Toc95382571 \h </w:instrText>
      </w:r>
      <w:r>
        <w:fldChar w:fldCharType="separate"/>
      </w:r>
      <w:r>
        <w:t>146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"_Toc95382572" </w:instrText>
      </w:r>
      <w:r>
        <w:fldChar w:fldCharType="separate"/>
      </w:r>
      <w:r>
        <w:rPr>
          <w:rStyle w:val="40"/>
        </w:rPr>
        <w:t>第一节 规划实施方案</w:t>
      </w:r>
      <w:r>
        <w:tab/>
      </w:r>
      <w:r>
        <w:fldChar w:fldCharType="begin"/>
      </w:r>
      <w:r>
        <w:instrText xml:space="preserve"> PAGEREF _Toc95382572 \h </w:instrText>
      </w:r>
      <w:r>
        <w:fldChar w:fldCharType="separate"/>
      </w:r>
      <w:r>
        <w:t>146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"_Toc95382573" </w:instrText>
      </w:r>
      <w:r>
        <w:fldChar w:fldCharType="separate"/>
      </w:r>
      <w:r>
        <w:rPr>
          <w:rStyle w:val="40"/>
        </w:rPr>
        <w:t>一、节水实施方案</w:t>
      </w:r>
      <w:r>
        <w:tab/>
      </w:r>
      <w:r>
        <w:fldChar w:fldCharType="begin"/>
      </w:r>
      <w:r>
        <w:instrText xml:space="preserve"> PAGEREF _Toc95382573 \h </w:instrText>
      </w:r>
      <w:r>
        <w:fldChar w:fldCharType="separate"/>
      </w:r>
      <w:r>
        <w:t>146</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"_Toc95382574" </w:instrText>
      </w:r>
      <w:r>
        <w:fldChar w:fldCharType="separate"/>
      </w:r>
      <w:r>
        <w:rPr>
          <w:rStyle w:val="40"/>
        </w:rPr>
        <w:t>二、供水实施方案</w:t>
      </w:r>
      <w:r>
        <w:tab/>
      </w:r>
      <w:r>
        <w:fldChar w:fldCharType="begin"/>
      </w:r>
      <w:r>
        <w:instrText xml:space="preserve"> PAGEREF _Toc95382574 \h </w:instrText>
      </w:r>
      <w:r>
        <w:fldChar w:fldCharType="separate"/>
      </w:r>
      <w:r>
        <w:t>147</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"_Toc95382575" </w:instrText>
      </w:r>
      <w:r>
        <w:fldChar w:fldCharType="separate"/>
      </w:r>
      <w:r>
        <w:rPr>
          <w:rStyle w:val="40"/>
        </w:rPr>
        <w:t>三、水资源保护和水生态修复实施方案</w:t>
      </w:r>
      <w:r>
        <w:tab/>
      </w:r>
      <w:r>
        <w:fldChar w:fldCharType="begin"/>
      </w:r>
      <w:r>
        <w:instrText xml:space="preserve"> PAGEREF _Toc95382575 \h </w:instrText>
      </w:r>
      <w:r>
        <w:fldChar w:fldCharType="separate"/>
      </w:r>
      <w:r>
        <w:t>148</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"_Toc95382576" </w:instrText>
      </w:r>
      <w:r>
        <w:fldChar w:fldCharType="separate"/>
      </w:r>
      <w:r>
        <w:rPr>
          <w:rStyle w:val="40"/>
        </w:rPr>
        <w:t>四、水资源监测实施方案</w:t>
      </w:r>
      <w:r>
        <w:tab/>
      </w:r>
      <w:r>
        <w:fldChar w:fldCharType="begin"/>
      </w:r>
      <w:r>
        <w:instrText xml:space="preserve"> PAGEREF _Toc95382576 \h </w:instrText>
      </w:r>
      <w:r>
        <w:fldChar w:fldCharType="separate"/>
      </w:r>
      <w:r>
        <w:t>149</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"_Toc95382577" </w:instrText>
      </w:r>
      <w:r>
        <w:fldChar w:fldCharType="separate"/>
      </w:r>
      <w:r>
        <w:rPr>
          <w:rStyle w:val="40"/>
        </w:rPr>
        <w:t>第二节 规划投资估算</w:t>
      </w:r>
      <w:r>
        <w:tab/>
      </w:r>
      <w:r>
        <w:fldChar w:fldCharType="begin"/>
      </w:r>
      <w:r>
        <w:instrText xml:space="preserve"> PAGEREF _Toc95382577 \h </w:instrText>
      </w:r>
      <w:r>
        <w:fldChar w:fldCharType="separate"/>
      </w:r>
      <w:r>
        <w:t>150</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"_Toc95382578" </w:instrText>
      </w:r>
      <w:r>
        <w:fldChar w:fldCharType="separate"/>
      </w:r>
      <w:r>
        <w:rPr>
          <w:rStyle w:val="40"/>
        </w:rPr>
        <w:t>第三节 规划实施效果评价</w:t>
      </w:r>
      <w:r>
        <w:tab/>
      </w:r>
      <w:r>
        <w:fldChar w:fldCharType="begin"/>
      </w:r>
      <w:r>
        <w:instrText xml:space="preserve"> PAGEREF _Toc95382578 \h </w:instrText>
      </w:r>
      <w:r>
        <w:fldChar w:fldCharType="separate"/>
      </w:r>
      <w:r>
        <w:t>152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"_Toc95382579" </w:instrText>
      </w:r>
      <w:r>
        <w:fldChar w:fldCharType="separate"/>
      </w:r>
      <w:r>
        <w:rPr>
          <w:rStyle w:val="40"/>
        </w:rPr>
        <w:t>一、综合评价</w:t>
      </w:r>
      <w:r>
        <w:tab/>
      </w:r>
      <w:r>
        <w:fldChar w:fldCharType="begin"/>
      </w:r>
      <w:r>
        <w:instrText xml:space="preserve"> PAGEREF _Toc95382579 \h </w:instrText>
      </w:r>
      <w:r>
        <w:fldChar w:fldCharType="separate"/>
      </w:r>
      <w:r>
        <w:t>152</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"_Toc95382580" </w:instrText>
      </w:r>
      <w:r>
        <w:fldChar w:fldCharType="separate"/>
      </w:r>
      <w:r>
        <w:rPr>
          <w:rStyle w:val="40"/>
        </w:rPr>
        <w:t>二、社会效益分析</w:t>
      </w:r>
      <w:r>
        <w:tab/>
      </w:r>
      <w:r>
        <w:fldChar w:fldCharType="begin"/>
      </w:r>
      <w:r>
        <w:instrText xml:space="preserve"> PAGEREF _Toc95382580 \h </w:instrText>
      </w:r>
      <w:r>
        <w:fldChar w:fldCharType="separate"/>
      </w:r>
      <w:r>
        <w:t>153</w:t>
      </w:r>
      <w:r>
        <w:fldChar w:fldCharType="end"/>
      </w:r>
      <w:r>
        <w:fldChar w:fldCharType="end"/>
      </w:r>
    </w:p>
    <w:p>
      <w:pPr>
        <w:pStyle w:val="18"/>
        <w:tabs>
          <w:tab w:val="right" w:leader="dot" w:pos="8302"/>
        </w:tabs>
        <w:spacing w:line="380" w:lineRule="exact"/>
        <w:ind w:left="800"/>
        <w:rPr>
          <w:rFonts w:asciiTheme="minorHAnsi" w:hAnsiTheme="minorHAnsi" w:eastAsiaTheme="minorEastAsia" w:cstheme="minorBidi"/>
          <w:sz w:val="21"/>
          <w:szCs w:val="22"/>
        </w:rPr>
      </w:pPr>
      <w:r>
        <w:fldChar w:fldCharType="begin"/>
      </w:r>
      <w:r>
        <w:instrText xml:space="preserve"> HYPERLINK \l "_Toc95382581" </w:instrText>
      </w:r>
      <w:r>
        <w:fldChar w:fldCharType="separate"/>
      </w:r>
      <w:r>
        <w:rPr>
          <w:rStyle w:val="40"/>
        </w:rPr>
        <w:t>三、生态效益分析</w:t>
      </w:r>
      <w:r>
        <w:tab/>
      </w:r>
      <w:r>
        <w:fldChar w:fldCharType="begin"/>
      </w:r>
      <w:r>
        <w:instrText xml:space="preserve"> PAGEREF _Toc95382581 \h </w:instrText>
      </w:r>
      <w:r>
        <w:fldChar w:fldCharType="separate"/>
      </w:r>
      <w:r>
        <w:t>154</w:t>
      </w:r>
      <w:r>
        <w:fldChar w:fldCharType="end"/>
      </w:r>
      <w:r>
        <w:fldChar w:fldCharType="end"/>
      </w:r>
    </w:p>
    <w:p>
      <w:pPr>
        <w:pStyle w:val="26"/>
        <w:tabs>
          <w:tab w:val="right" w:leader="dot" w:pos="8302"/>
        </w:tabs>
        <w:spacing w:line="380" w:lineRule="exact"/>
        <w:rPr>
          <w:rFonts w:asciiTheme="minorHAnsi" w:hAnsiTheme="minorHAnsi" w:eastAsiaTheme="minorEastAsia" w:cstheme="minorBidi"/>
          <w:sz w:val="21"/>
          <w:szCs w:val="22"/>
        </w:rPr>
      </w:pPr>
      <w:r>
        <w:fldChar w:fldCharType="begin"/>
      </w:r>
      <w:r>
        <w:instrText xml:space="preserve"> HYPERLINK \l "_Toc95382582" </w:instrText>
      </w:r>
      <w:r>
        <w:fldChar w:fldCharType="separate"/>
      </w:r>
      <w:r>
        <w:rPr>
          <w:rStyle w:val="40"/>
          <w:rFonts w:ascii="黑体" w:hAnsi="黑体" w:eastAsia="黑体" w:cs="黑体"/>
          <w:kern w:val="44"/>
        </w:rPr>
        <w:t>第十一章 规划保障措施</w:t>
      </w:r>
      <w:r>
        <w:tab/>
      </w:r>
      <w:r>
        <w:fldChar w:fldCharType="begin"/>
      </w:r>
      <w:r>
        <w:instrText xml:space="preserve"> PAGEREF _Toc95382582 \h </w:instrText>
      </w:r>
      <w:r>
        <w:fldChar w:fldCharType="separate"/>
      </w:r>
      <w:r>
        <w:t>155</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"_Toc95382583" </w:instrText>
      </w:r>
      <w:r>
        <w:fldChar w:fldCharType="separate"/>
      </w:r>
      <w:r>
        <w:rPr>
          <w:rStyle w:val="40"/>
        </w:rPr>
        <w:t>第一节 加强组织领导，强化责任落实</w:t>
      </w:r>
      <w:r>
        <w:tab/>
      </w:r>
      <w:r>
        <w:fldChar w:fldCharType="begin"/>
      </w:r>
      <w:r>
        <w:instrText xml:space="preserve"> PAGEREF _Toc95382583 \h </w:instrText>
      </w:r>
      <w:r>
        <w:fldChar w:fldCharType="separate"/>
      </w:r>
      <w:r>
        <w:t>155</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"_Toc95382584" </w:instrText>
      </w:r>
      <w:r>
        <w:fldChar w:fldCharType="separate"/>
      </w:r>
      <w:r>
        <w:rPr>
          <w:rStyle w:val="40"/>
        </w:rPr>
        <w:t>第二节 加强部门协调，形成工作合力</w:t>
      </w:r>
      <w:r>
        <w:tab/>
      </w:r>
      <w:r>
        <w:fldChar w:fldCharType="begin"/>
      </w:r>
      <w:r>
        <w:instrText xml:space="preserve"> PAGEREF _Toc95382584 \h </w:instrText>
      </w:r>
      <w:r>
        <w:fldChar w:fldCharType="separate"/>
      </w:r>
      <w:r>
        <w:t>155</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"_Toc95382585" </w:instrText>
      </w:r>
      <w:r>
        <w:fldChar w:fldCharType="separate"/>
      </w:r>
      <w:r>
        <w:rPr>
          <w:rStyle w:val="40"/>
        </w:rPr>
        <w:t>第三节 完善政策制度，强化执法监督</w:t>
      </w:r>
      <w:r>
        <w:tab/>
      </w:r>
      <w:r>
        <w:fldChar w:fldCharType="begin"/>
      </w:r>
      <w:r>
        <w:instrText xml:space="preserve"> PAGEREF _Toc95382585 \h </w:instrText>
      </w:r>
      <w:r>
        <w:fldChar w:fldCharType="separate"/>
      </w:r>
      <w:r>
        <w:t>156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"_Toc95382586" </w:instrText>
      </w:r>
      <w:r>
        <w:fldChar w:fldCharType="separate"/>
      </w:r>
      <w:r>
        <w:rPr>
          <w:rStyle w:val="40"/>
        </w:rPr>
        <w:t>第四节 拓宽投资渠道，保障资金投入</w:t>
      </w:r>
      <w:r>
        <w:tab/>
      </w:r>
      <w:r>
        <w:fldChar w:fldCharType="begin"/>
      </w:r>
      <w:r>
        <w:instrText xml:space="preserve"> PAGEREF _Toc95382586 \h </w:instrText>
      </w:r>
      <w:r>
        <w:fldChar w:fldCharType="separate"/>
      </w:r>
      <w:r>
        <w:t>156</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"_Toc95382587" </w:instrText>
      </w:r>
      <w:r>
        <w:fldChar w:fldCharType="separate"/>
      </w:r>
      <w:r>
        <w:rPr>
          <w:rStyle w:val="40"/>
        </w:rPr>
        <w:t>第五节 加强能力建设，科学管水用水</w:t>
      </w:r>
      <w:r>
        <w:tab/>
      </w:r>
      <w:r>
        <w:fldChar w:fldCharType="begin"/>
      </w:r>
      <w:r>
        <w:instrText xml:space="preserve"> PAGEREF _Toc95382587 \h </w:instrText>
      </w:r>
      <w:r>
        <w:fldChar w:fldCharType="separate"/>
      </w:r>
      <w:r>
        <w:t>157</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"_Toc95382588" </w:instrText>
      </w:r>
      <w:r>
        <w:fldChar w:fldCharType="separate"/>
      </w:r>
      <w:r>
        <w:rPr>
          <w:rStyle w:val="40"/>
        </w:rPr>
        <w:t>第六节 加强监督管理，落实安全生产</w:t>
      </w:r>
      <w:r>
        <w:tab/>
      </w:r>
      <w:r>
        <w:fldChar w:fldCharType="begin"/>
      </w:r>
      <w:r>
        <w:instrText xml:space="preserve"> PAGEREF _Toc95382588 \h </w:instrText>
      </w:r>
      <w:r>
        <w:fldChar w:fldCharType="separate"/>
      </w:r>
      <w:r>
        <w:t>157</w:t>
      </w:r>
      <w:r>
        <w:fldChar w:fldCharType="end"/>
      </w:r>
      <w:r>
        <w:fldChar w:fldCharType="end"/>
      </w:r>
    </w:p>
    <w:p>
      <w:pPr>
        <w:pStyle w:val="31"/>
        <w:tabs>
          <w:tab w:val="right" w:leader="dot" w:pos="8302"/>
        </w:tabs>
        <w:spacing w:line="380" w:lineRule="exact"/>
        <w:ind w:left="400"/>
        <w:rPr>
          <w:rFonts w:asciiTheme="minorHAnsi" w:hAnsiTheme="minorHAnsi" w:eastAsiaTheme="minorEastAsia" w:cstheme="minorBidi"/>
          <w:sz w:val="21"/>
          <w:szCs w:val="22"/>
        </w:rPr>
      </w:pPr>
      <w:r>
        <w:fldChar w:fldCharType="begin"/>
      </w:r>
      <w:r>
        <w:instrText xml:space="preserve"> HYPERLINK \l "_Toc95382589" </w:instrText>
      </w:r>
      <w:r>
        <w:fldChar w:fldCharType="separate"/>
      </w:r>
      <w:r>
        <w:rPr>
          <w:rStyle w:val="40"/>
        </w:rPr>
        <w:t>第七节 加强宣传教育，动员社会力量</w:t>
      </w:r>
      <w:r>
        <w:tab/>
      </w:r>
      <w:r>
        <w:fldChar w:fldCharType="begin"/>
      </w:r>
      <w:r>
        <w:instrText xml:space="preserve"> PAGEREF _Toc95382589 \h </w:instrText>
      </w:r>
      <w:r>
        <w:fldChar w:fldCharType="separate"/>
      </w:r>
      <w:r>
        <w:t>158</w:t>
      </w:r>
      <w:r>
        <w:fldChar w:fldCharType="end"/>
      </w:r>
      <w:r>
        <w:fldChar w:fldCharType="end"/>
      </w:r>
    </w:p>
    <w:p>
      <w:pPr>
        <w:tabs>
          <w:tab w:val="right" w:leader="dot" w:pos="8820"/>
        </w:tabs>
        <w:spacing w:line="380" w:lineRule="exact"/>
      </w:pPr>
      <w:r>
        <w:fldChar w:fldCharType="end"/>
      </w:r>
    </w:p>
    <w:p>
      <w:pPr>
        <w:tabs>
          <w:tab w:val="right" w:leader="dot" w:pos="8820"/>
        </w:tabs>
        <w:spacing w:line="360" w:lineRule="auto"/>
        <w:rPr>
          <w:bCs/>
          <w:szCs w:val="36"/>
        </w:rPr>
      </w:pPr>
    </w:p>
    <w:p>
      <w:pPr>
        <w:tabs>
          <w:tab w:val="right" w:leader="dot" w:pos="8820"/>
        </w:tabs>
        <w:spacing w:line="360" w:lineRule="auto"/>
        <w:rPr>
          <w:rFonts w:ascii="黑体" w:hAnsi="黑体" w:eastAsia="黑体"/>
          <w:bCs/>
          <w:szCs w:val="36"/>
        </w:rPr>
      </w:pPr>
      <w:r>
        <w:rPr>
          <w:rFonts w:hint="eastAsia" w:ascii="黑体" w:hAnsi="黑体" w:eastAsia="黑体"/>
          <w:bCs/>
          <w:szCs w:val="36"/>
        </w:rPr>
        <w:t>附图：</w:t>
      </w:r>
    </w:p>
    <w:p>
      <w:pPr>
        <w:tabs>
          <w:tab w:val="right" w:leader="dot" w:pos="8820"/>
        </w:tabs>
        <w:spacing w:line="360" w:lineRule="auto"/>
        <w:rPr>
          <w:bCs/>
          <w:szCs w:val="36"/>
        </w:rPr>
      </w:pPr>
      <w:r>
        <w:rPr>
          <w:rFonts w:hint="eastAsia"/>
          <w:bCs/>
          <w:szCs w:val="36"/>
        </w:rPr>
        <w:t>附图1</w:t>
      </w:r>
      <w:r>
        <w:rPr>
          <w:bCs/>
          <w:szCs w:val="36"/>
        </w:rPr>
        <w:t xml:space="preserve">  </w:t>
      </w:r>
      <w:r>
        <w:rPr>
          <w:rFonts w:hint="eastAsia"/>
          <w:bCs/>
          <w:szCs w:val="36"/>
        </w:rPr>
        <w:t>六安市水系图</w:t>
      </w:r>
    </w:p>
    <w:p>
      <w:pPr>
        <w:tabs>
          <w:tab w:val="right" w:leader="dot" w:pos="8820"/>
        </w:tabs>
        <w:spacing w:line="360" w:lineRule="auto"/>
        <w:rPr>
          <w:bCs/>
          <w:szCs w:val="36"/>
        </w:rPr>
      </w:pPr>
      <w:r>
        <w:rPr>
          <w:rFonts w:hint="eastAsia"/>
          <w:bCs/>
          <w:szCs w:val="36"/>
        </w:rPr>
        <w:t>附图2</w:t>
      </w:r>
      <w:r>
        <w:rPr>
          <w:bCs/>
          <w:szCs w:val="36"/>
        </w:rPr>
        <w:t xml:space="preserve">  </w:t>
      </w:r>
      <w:r>
        <w:rPr>
          <w:rFonts w:hint="eastAsia"/>
          <w:bCs/>
          <w:szCs w:val="36"/>
        </w:rPr>
        <w:t>六安市行政区划图</w:t>
      </w:r>
    </w:p>
    <w:p>
      <w:pPr>
        <w:tabs>
          <w:tab w:val="right" w:leader="dot" w:pos="8820"/>
        </w:tabs>
        <w:spacing w:line="360" w:lineRule="auto"/>
        <w:rPr>
          <w:bCs/>
          <w:szCs w:val="36"/>
        </w:rPr>
      </w:pPr>
      <w:r>
        <w:rPr>
          <w:rFonts w:hint="eastAsia"/>
          <w:bCs/>
          <w:szCs w:val="36"/>
        </w:rPr>
        <w:t>附图3</w:t>
      </w:r>
      <w:r>
        <w:rPr>
          <w:bCs/>
          <w:szCs w:val="36"/>
        </w:rPr>
        <w:t xml:space="preserve">  </w:t>
      </w:r>
      <w:r>
        <w:rPr>
          <w:rFonts w:hint="eastAsia"/>
          <w:bCs/>
          <w:szCs w:val="36"/>
        </w:rPr>
        <w:t>六安市城市总体规划图</w:t>
      </w:r>
    </w:p>
    <w:p>
      <w:pPr>
        <w:tabs>
          <w:tab w:val="right" w:leader="dot" w:pos="8820"/>
        </w:tabs>
        <w:spacing w:line="360" w:lineRule="auto"/>
        <w:rPr>
          <w:bCs/>
          <w:szCs w:val="36"/>
        </w:rPr>
      </w:pPr>
      <w:r>
        <w:rPr>
          <w:rFonts w:hint="eastAsia"/>
          <w:bCs/>
          <w:szCs w:val="36"/>
        </w:rPr>
        <w:t>附图4</w:t>
      </w:r>
      <w:r>
        <w:rPr>
          <w:bCs/>
          <w:szCs w:val="36"/>
        </w:rPr>
        <w:t xml:space="preserve">  </w:t>
      </w:r>
      <w:r>
        <w:rPr>
          <w:rFonts w:hint="eastAsia"/>
          <w:bCs/>
          <w:szCs w:val="36"/>
        </w:rPr>
        <w:t>六安市水利工程图</w:t>
      </w:r>
    </w:p>
    <w:p>
      <w:pPr>
        <w:tabs>
          <w:tab w:val="right" w:leader="dot" w:pos="8820"/>
        </w:tabs>
        <w:spacing w:line="360" w:lineRule="auto"/>
        <w:rPr>
          <w:bCs/>
          <w:szCs w:val="36"/>
        </w:rPr>
      </w:pPr>
      <w:r>
        <w:rPr>
          <w:rFonts w:hint="eastAsia"/>
          <w:bCs/>
          <w:szCs w:val="36"/>
        </w:rPr>
        <w:t>附图</w:t>
      </w:r>
      <w:r>
        <w:rPr>
          <w:bCs/>
          <w:szCs w:val="36"/>
        </w:rPr>
        <w:t xml:space="preserve">5  </w:t>
      </w:r>
      <w:r>
        <w:rPr>
          <w:rFonts w:hint="eastAsia"/>
          <w:bCs/>
          <w:szCs w:val="36"/>
        </w:rPr>
        <w:t>六安市灌区节水改造规划图</w:t>
      </w:r>
    </w:p>
    <w:p>
      <w:pPr>
        <w:tabs>
          <w:tab w:val="right" w:leader="dot" w:pos="8820"/>
        </w:tabs>
        <w:spacing w:line="360" w:lineRule="auto"/>
        <w:rPr>
          <w:bCs/>
          <w:szCs w:val="36"/>
        </w:rPr>
      </w:pPr>
      <w:r>
        <w:rPr>
          <w:rFonts w:hint="eastAsia"/>
          <w:bCs/>
          <w:szCs w:val="36"/>
        </w:rPr>
        <w:t>附图</w:t>
      </w:r>
      <w:r>
        <w:rPr>
          <w:bCs/>
          <w:szCs w:val="36"/>
        </w:rPr>
        <w:t xml:space="preserve">6  </w:t>
      </w:r>
      <w:r>
        <w:rPr>
          <w:rFonts w:hint="eastAsia"/>
          <w:bCs/>
          <w:szCs w:val="36"/>
        </w:rPr>
        <w:t>六安市水生态修复规划布局图</w:t>
      </w:r>
    </w:p>
    <w:p>
      <w:pPr>
        <w:tabs>
          <w:tab w:val="right" w:leader="dot" w:pos="8820"/>
        </w:tabs>
        <w:spacing w:line="360" w:lineRule="auto"/>
        <w:jc w:val="left"/>
        <w:rPr>
          <w:b/>
          <w:bCs/>
          <w:sz w:val="21"/>
          <w:szCs w:val="21"/>
        </w:rPr>
      </w:pPr>
    </w:p>
    <w:p>
      <w:pPr>
        <w:spacing w:line="360" w:lineRule="auto"/>
        <w:jc w:val="center"/>
        <w:rPr>
          <w:b/>
          <w:bCs/>
          <w:sz w:val="21"/>
          <w:szCs w:val="21"/>
        </w:rPr>
        <w:sectPr>
          <w:footerReference r:id="rId6" w:type="default"/>
          <w:pgSz w:w="11906" w:h="16838"/>
          <w:pgMar w:top="1440" w:right="1797" w:bottom="1440" w:left="1797" w:header="680" w:footer="992" w:gutter="0"/>
          <w:pgNumType w:fmt="upperRoman" w:start="1"/>
          <w:cols w:space="425" w:num="1"/>
          <w:docGrid w:type="lines" w:linePitch="326" w:charSpace="0"/>
        </w:sectPr>
      </w:pPr>
    </w:p>
    <w:p>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10" w:name="_Toc95382429"/>
      <w:r>
        <w:rPr>
          <w:rFonts w:hint="eastAsia" w:ascii="黑体" w:hAnsi="黑体" w:eastAsia="黑体" w:cs="黑体"/>
          <w:bCs/>
          <w:kern w:val="44"/>
          <w:sz w:val="36"/>
          <w:szCs w:val="36"/>
        </w:rPr>
        <w:t>概述</w:t>
      </w:r>
      <w:bookmarkEnd w:id="10"/>
    </w:p>
    <w:p>
      <w:pPr>
        <w:spacing w:line="360" w:lineRule="auto"/>
        <w:ind w:firstLine="480" w:firstLineChars="200"/>
        <w:rPr>
          <w:sz w:val="24"/>
        </w:rPr>
      </w:pPr>
      <w:r>
        <w:rPr>
          <w:rFonts w:hint="eastAsia"/>
          <w:sz w:val="24"/>
        </w:rPr>
        <w:t>按照水资源综合规划有关技术细则和大纲要求，结合六安市的实际情况，确定规划现状基准年为20</w:t>
      </w:r>
      <w:r>
        <w:rPr>
          <w:sz w:val="24"/>
        </w:rPr>
        <w:t>20</w:t>
      </w:r>
      <w:r>
        <w:rPr>
          <w:rFonts w:hint="eastAsia"/>
          <w:sz w:val="24"/>
        </w:rPr>
        <w:t>年，规划水平年为20</w:t>
      </w:r>
      <w:r>
        <w:rPr>
          <w:sz w:val="24"/>
        </w:rPr>
        <w:t>2</w:t>
      </w:r>
      <w:r>
        <w:rPr>
          <w:rFonts w:hint="eastAsia"/>
          <w:sz w:val="24"/>
        </w:rPr>
        <w:t>5年和2030年。本次规划的主要成果摘要如下：</w:t>
      </w:r>
    </w:p>
    <w:p>
      <w:pPr>
        <w:spacing w:line="360" w:lineRule="auto"/>
        <w:ind w:firstLine="480" w:firstLineChars="200"/>
        <w:rPr>
          <w:sz w:val="24"/>
        </w:rPr>
      </w:pPr>
      <w:r>
        <w:rPr>
          <w:rFonts w:hint="eastAsia"/>
          <w:b/>
          <w:sz w:val="24"/>
        </w:rPr>
        <w:t>1、水资源数量。</w:t>
      </w:r>
      <w:r>
        <w:rPr>
          <w:rFonts w:hint="eastAsia"/>
          <w:sz w:val="24"/>
        </w:rPr>
        <w:t>按照</w:t>
      </w:r>
      <w:r>
        <w:rPr>
          <w:sz w:val="24"/>
        </w:rPr>
        <w:t>1956～2016年</w:t>
      </w:r>
      <w:r>
        <w:rPr>
          <w:rFonts w:hint="eastAsia" w:hAnsi="宋体"/>
          <w:sz w:val="24"/>
        </w:rPr>
        <w:t>系列，全市</w:t>
      </w:r>
      <w:r>
        <w:rPr>
          <w:sz w:val="24"/>
        </w:rPr>
        <w:t>多年平均水资源总量为89.12亿m</w:t>
      </w:r>
      <w:r>
        <w:rPr>
          <w:sz w:val="24"/>
          <w:vertAlign w:val="superscript"/>
        </w:rPr>
        <w:t>3</w:t>
      </w:r>
      <w:r>
        <w:rPr>
          <w:sz w:val="24"/>
        </w:rPr>
        <w:t>，</w:t>
      </w:r>
      <w:r>
        <w:rPr>
          <w:rFonts w:hint="eastAsia"/>
          <w:sz w:val="24"/>
        </w:rPr>
        <w:t>其中地表水资源量</w:t>
      </w:r>
      <w:r>
        <w:rPr>
          <w:sz w:val="24"/>
        </w:rPr>
        <w:t>86.11亿m</w:t>
      </w:r>
      <w:r>
        <w:rPr>
          <w:sz w:val="24"/>
          <w:vertAlign w:val="superscript"/>
        </w:rPr>
        <w:t>3</w:t>
      </w:r>
      <w:r>
        <w:rPr>
          <w:rFonts w:hint="eastAsia"/>
          <w:sz w:val="24"/>
        </w:rPr>
        <w:t>，地表与地下不重复计算量为</w:t>
      </w:r>
      <w:r>
        <w:rPr>
          <w:sz w:val="24"/>
        </w:rPr>
        <w:t>3.01亿m</w:t>
      </w:r>
      <w:r>
        <w:rPr>
          <w:sz w:val="24"/>
          <w:vertAlign w:val="superscript"/>
        </w:rPr>
        <w:t>3</w:t>
      </w:r>
      <w:r>
        <w:rPr>
          <w:rFonts w:hint="eastAsia"/>
          <w:sz w:val="24"/>
        </w:rPr>
        <w:t>，人均水资源占有量</w:t>
      </w:r>
      <w:r>
        <w:rPr>
          <w:sz w:val="24"/>
        </w:rPr>
        <w:t>2028 m</w:t>
      </w:r>
      <w:r>
        <w:rPr>
          <w:sz w:val="24"/>
          <w:vertAlign w:val="superscript"/>
        </w:rPr>
        <w:t>3</w:t>
      </w:r>
      <w:r>
        <w:rPr>
          <w:rFonts w:hint="eastAsia"/>
          <w:sz w:val="24"/>
        </w:rPr>
        <w:t>（按20</w:t>
      </w:r>
      <w:r>
        <w:rPr>
          <w:sz w:val="24"/>
        </w:rPr>
        <w:t>20</w:t>
      </w:r>
      <w:r>
        <w:rPr>
          <w:rFonts w:hint="eastAsia"/>
          <w:sz w:val="24"/>
        </w:rPr>
        <w:t>年六安市常住人口计算）。</w:t>
      </w:r>
    </w:p>
    <w:p>
      <w:pPr>
        <w:spacing w:line="360" w:lineRule="auto"/>
        <w:ind w:firstLine="480" w:firstLineChars="200"/>
        <w:rPr>
          <w:sz w:val="24"/>
        </w:rPr>
      </w:pPr>
      <w:r>
        <w:rPr>
          <w:b/>
          <w:sz w:val="24"/>
        </w:rPr>
        <w:t>2</w:t>
      </w:r>
      <w:r>
        <w:rPr>
          <w:rFonts w:hint="eastAsia"/>
          <w:b/>
          <w:sz w:val="24"/>
        </w:rPr>
        <w:t>、水资源开发利用。</w:t>
      </w:r>
      <w:r>
        <w:rPr>
          <w:rFonts w:hint="eastAsia"/>
          <w:sz w:val="24"/>
        </w:rPr>
        <w:t>20</w:t>
      </w:r>
      <w:r>
        <w:rPr>
          <w:sz w:val="24"/>
        </w:rPr>
        <w:t>20</w:t>
      </w:r>
      <w:r>
        <w:rPr>
          <w:rFonts w:hint="eastAsia"/>
          <w:sz w:val="24"/>
        </w:rPr>
        <w:t>年六安市供水总量</w:t>
      </w:r>
      <w:r>
        <w:rPr>
          <w:sz w:val="24"/>
        </w:rPr>
        <w:t>22.26亿m</w:t>
      </w:r>
      <w:r>
        <w:rPr>
          <w:sz w:val="24"/>
          <w:vertAlign w:val="superscript"/>
        </w:rPr>
        <w:t>3</w:t>
      </w:r>
      <w:r>
        <w:rPr>
          <w:rFonts w:hint="eastAsia"/>
          <w:sz w:val="24"/>
        </w:rPr>
        <w:t>，</w:t>
      </w:r>
      <w:r>
        <w:rPr>
          <w:sz w:val="24"/>
        </w:rPr>
        <w:t>供水量以地表水源为主</w:t>
      </w:r>
      <w:r>
        <w:rPr>
          <w:rFonts w:hint="eastAsia"/>
          <w:sz w:val="24"/>
        </w:rPr>
        <w:t>。</w:t>
      </w:r>
      <w:r>
        <w:rPr>
          <w:sz w:val="24"/>
        </w:rPr>
        <w:t>其中蓄、引、提水工程供水量分别为18.15、1.48和2.12亿m</w:t>
      </w:r>
      <w:r>
        <w:rPr>
          <w:sz w:val="24"/>
          <w:vertAlign w:val="superscript"/>
        </w:rPr>
        <w:t>3</w:t>
      </w:r>
      <w:r>
        <w:rPr>
          <w:sz w:val="24"/>
        </w:rPr>
        <w:t>，分别占地表水供水总量的83.5%、6.8%和9.7%。</w:t>
      </w:r>
    </w:p>
    <w:p>
      <w:pPr>
        <w:spacing w:line="360" w:lineRule="auto"/>
        <w:ind w:firstLine="480" w:firstLineChars="200"/>
        <w:rPr>
          <w:sz w:val="24"/>
        </w:rPr>
      </w:pPr>
      <w:r>
        <w:rPr>
          <w:rFonts w:hint="eastAsia"/>
          <w:sz w:val="24"/>
        </w:rPr>
        <w:t>20</w:t>
      </w:r>
      <w:r>
        <w:rPr>
          <w:sz w:val="24"/>
        </w:rPr>
        <w:t>20</w:t>
      </w:r>
      <w:r>
        <w:rPr>
          <w:rFonts w:hint="eastAsia"/>
          <w:sz w:val="24"/>
        </w:rPr>
        <w:t>年六安市用水总量</w:t>
      </w:r>
      <w:r>
        <w:rPr>
          <w:sz w:val="24"/>
        </w:rPr>
        <w:t>22.26</w:t>
      </w:r>
      <w:r>
        <w:rPr>
          <w:rFonts w:hint="eastAsia"/>
          <w:sz w:val="24"/>
        </w:rPr>
        <w:t>亿m</w:t>
      </w:r>
      <w:r>
        <w:rPr>
          <w:rFonts w:hint="eastAsia"/>
          <w:sz w:val="24"/>
          <w:vertAlign w:val="superscript"/>
        </w:rPr>
        <w:t>3</w:t>
      </w:r>
      <w:r>
        <w:rPr>
          <w:rFonts w:hint="eastAsia"/>
          <w:sz w:val="24"/>
        </w:rPr>
        <w:t>，其中农业、工业、生活、生态用水结构分别为</w:t>
      </w:r>
      <w:r>
        <w:rPr>
          <w:sz w:val="24"/>
        </w:rPr>
        <w:t>77.4</w:t>
      </w:r>
      <w:r>
        <w:rPr>
          <w:rFonts w:hint="eastAsia"/>
          <w:sz w:val="24"/>
        </w:rPr>
        <w:t>%、8</w:t>
      </w:r>
      <w:r>
        <w:rPr>
          <w:sz w:val="24"/>
        </w:rPr>
        <w:t>.7</w:t>
      </w:r>
      <w:r>
        <w:rPr>
          <w:rFonts w:hint="eastAsia"/>
          <w:sz w:val="24"/>
        </w:rPr>
        <w:t>%、</w:t>
      </w:r>
      <w:r>
        <w:rPr>
          <w:sz w:val="24"/>
        </w:rPr>
        <w:t>10.8</w:t>
      </w:r>
      <w:r>
        <w:rPr>
          <w:rFonts w:hint="eastAsia"/>
          <w:sz w:val="24"/>
        </w:rPr>
        <w:t>%和</w:t>
      </w:r>
      <w:r>
        <w:rPr>
          <w:sz w:val="24"/>
        </w:rPr>
        <w:t>3.1</w:t>
      </w:r>
      <w:r>
        <w:rPr>
          <w:rFonts w:hint="eastAsia"/>
          <w:sz w:val="24"/>
        </w:rPr>
        <w:t>%。与</w:t>
      </w:r>
      <w:r>
        <w:rPr>
          <w:sz w:val="24"/>
        </w:rPr>
        <w:t>2010</w:t>
      </w:r>
      <w:r>
        <w:rPr>
          <w:rFonts w:hint="eastAsia"/>
          <w:sz w:val="24"/>
        </w:rPr>
        <w:t>年（总水量</w:t>
      </w:r>
      <w:r>
        <w:rPr>
          <w:sz w:val="24"/>
        </w:rPr>
        <w:t>22.04</w:t>
      </w:r>
      <w:r>
        <w:rPr>
          <w:rFonts w:hint="eastAsia"/>
          <w:sz w:val="24"/>
        </w:rPr>
        <w:t>亿m</w:t>
      </w:r>
      <w:r>
        <w:rPr>
          <w:rFonts w:hint="eastAsia"/>
          <w:sz w:val="24"/>
          <w:vertAlign w:val="superscript"/>
        </w:rPr>
        <w:t>3</w:t>
      </w:r>
      <w:r>
        <w:rPr>
          <w:rFonts w:hint="eastAsia"/>
          <w:sz w:val="24"/>
        </w:rPr>
        <w:t>）相比，全市工业</w:t>
      </w:r>
      <w:r>
        <w:rPr>
          <w:sz w:val="24"/>
        </w:rPr>
        <w:t>用水比重下降，生活和生态环境用水比重提高</w:t>
      </w:r>
      <w:r>
        <w:rPr>
          <w:rFonts w:hint="eastAsia"/>
          <w:sz w:val="24"/>
        </w:rPr>
        <w:t>。20</w:t>
      </w:r>
      <w:r>
        <w:rPr>
          <w:sz w:val="24"/>
        </w:rPr>
        <w:t>20</w:t>
      </w:r>
      <w:r>
        <w:rPr>
          <w:rFonts w:hint="eastAsia"/>
          <w:sz w:val="24"/>
        </w:rPr>
        <w:t>年六安市耗水总量</w:t>
      </w:r>
      <w:r>
        <w:rPr>
          <w:sz w:val="24"/>
        </w:rPr>
        <w:t>13.44</w:t>
      </w:r>
      <w:r>
        <w:rPr>
          <w:rFonts w:hint="eastAsia"/>
          <w:sz w:val="24"/>
        </w:rPr>
        <w:t>亿m</w:t>
      </w:r>
      <w:r>
        <w:rPr>
          <w:rFonts w:hint="eastAsia"/>
          <w:sz w:val="24"/>
          <w:vertAlign w:val="superscript"/>
        </w:rPr>
        <w:t>3</w:t>
      </w:r>
      <w:r>
        <w:rPr>
          <w:rFonts w:hint="eastAsia"/>
          <w:sz w:val="24"/>
        </w:rPr>
        <w:t>，平均耗水率为</w:t>
      </w:r>
      <w:r>
        <w:rPr>
          <w:sz w:val="24"/>
        </w:rPr>
        <w:t>60.4</w:t>
      </w:r>
      <w:r>
        <w:rPr>
          <w:rFonts w:hint="eastAsia"/>
          <w:sz w:val="24"/>
        </w:rPr>
        <w:t>%。</w:t>
      </w:r>
    </w:p>
    <w:p>
      <w:pPr>
        <w:spacing w:line="360" w:lineRule="auto"/>
        <w:ind w:firstLine="480" w:firstLineChars="200"/>
        <w:rPr>
          <w:sz w:val="24"/>
        </w:rPr>
      </w:pPr>
      <w:r>
        <w:rPr>
          <w:rFonts w:hint="eastAsia"/>
          <w:sz w:val="24"/>
        </w:rPr>
        <w:t>20</w:t>
      </w:r>
      <w:r>
        <w:rPr>
          <w:sz w:val="24"/>
        </w:rPr>
        <w:t>20</w:t>
      </w:r>
      <w:r>
        <w:rPr>
          <w:rFonts w:hint="eastAsia"/>
          <w:sz w:val="24"/>
        </w:rPr>
        <w:t>年六安市人均用水量为</w:t>
      </w:r>
      <w:r>
        <w:rPr>
          <w:sz w:val="24"/>
        </w:rPr>
        <w:t xml:space="preserve">506.7 </w:t>
      </w:r>
      <w:r>
        <w:rPr>
          <w:rFonts w:hint="eastAsia"/>
          <w:sz w:val="24"/>
        </w:rPr>
        <w:t>m</w:t>
      </w:r>
      <w:r>
        <w:rPr>
          <w:rFonts w:hint="eastAsia"/>
          <w:sz w:val="24"/>
          <w:vertAlign w:val="superscript"/>
        </w:rPr>
        <w:t>3</w:t>
      </w:r>
      <w:r>
        <w:rPr>
          <w:rFonts w:hint="eastAsia"/>
          <w:sz w:val="24"/>
        </w:rPr>
        <w:t>/人，单位GDP用水量</w:t>
      </w:r>
      <w:r>
        <w:rPr>
          <w:sz w:val="24"/>
        </w:rPr>
        <w:t xml:space="preserve">133.3 </w:t>
      </w:r>
      <w:r>
        <w:rPr>
          <w:rFonts w:hint="eastAsia"/>
          <w:sz w:val="24"/>
        </w:rPr>
        <w:t>m</w:t>
      </w:r>
      <w:r>
        <w:rPr>
          <w:rFonts w:hint="eastAsia"/>
          <w:sz w:val="24"/>
          <w:vertAlign w:val="superscript"/>
        </w:rPr>
        <w:t>3</w:t>
      </w:r>
      <w:r>
        <w:rPr>
          <w:rFonts w:hint="eastAsia"/>
          <w:sz w:val="24"/>
        </w:rPr>
        <w:t>/万元（按当年价计算）。自</w:t>
      </w:r>
      <w:r>
        <w:rPr>
          <w:sz w:val="24"/>
        </w:rPr>
        <w:t>2010</w:t>
      </w:r>
      <w:r>
        <w:rPr>
          <w:rFonts w:hint="eastAsia"/>
          <w:sz w:val="24"/>
        </w:rPr>
        <w:t>～20</w:t>
      </w:r>
      <w:r>
        <w:rPr>
          <w:sz w:val="24"/>
        </w:rPr>
        <w:t>2</w:t>
      </w:r>
      <w:r>
        <w:rPr>
          <w:rFonts w:hint="eastAsia"/>
          <w:sz w:val="24"/>
        </w:rPr>
        <w:t>0年，六安市随着人均GDP的增长，全市单位GDP用水量呈现明显下降趋势，用水效率有了很大的提高。</w:t>
      </w:r>
    </w:p>
    <w:p>
      <w:pPr>
        <w:spacing w:line="360" w:lineRule="auto"/>
        <w:ind w:firstLine="480" w:firstLineChars="200"/>
        <w:rPr>
          <w:sz w:val="24"/>
        </w:rPr>
      </w:pPr>
      <w:r>
        <w:rPr>
          <w:b/>
          <w:sz w:val="24"/>
        </w:rPr>
        <w:t>3</w:t>
      </w:r>
      <w:r>
        <w:rPr>
          <w:rFonts w:hint="eastAsia"/>
          <w:b/>
          <w:sz w:val="24"/>
        </w:rPr>
        <w:t>、需水预测分析。</w:t>
      </w:r>
      <w:r>
        <w:rPr>
          <w:rFonts w:hint="eastAsia"/>
          <w:sz w:val="24"/>
        </w:rPr>
        <w:t>20</w:t>
      </w:r>
      <w:r>
        <w:rPr>
          <w:sz w:val="24"/>
        </w:rPr>
        <w:t>20</w:t>
      </w:r>
      <w:r>
        <w:rPr>
          <w:rFonts w:hint="eastAsia"/>
          <w:sz w:val="24"/>
        </w:rPr>
        <w:t>年</w:t>
      </w:r>
      <w:r>
        <w:rPr>
          <w:sz w:val="24"/>
        </w:rPr>
        <w:t>现状</w:t>
      </w:r>
      <w:r>
        <w:rPr>
          <w:rFonts w:hint="eastAsia"/>
          <w:sz w:val="24"/>
        </w:rPr>
        <w:t>水平</w:t>
      </w:r>
      <w:r>
        <w:rPr>
          <w:sz w:val="24"/>
        </w:rPr>
        <w:t>年多年平均及</w:t>
      </w:r>
      <w:r>
        <w:rPr>
          <w:rFonts w:hint="eastAsia"/>
          <w:sz w:val="24"/>
        </w:rPr>
        <w:t>特殊干旱条件下，</w:t>
      </w:r>
      <w:r>
        <w:rPr>
          <w:sz w:val="24"/>
        </w:rPr>
        <w:t>六安市总需水量分别为26.21</w:t>
      </w:r>
      <w:r>
        <w:rPr>
          <w:rFonts w:hint="eastAsia"/>
          <w:sz w:val="24"/>
        </w:rPr>
        <w:t>亿</w:t>
      </w:r>
      <w:r>
        <w:rPr>
          <w:sz w:val="24"/>
        </w:rPr>
        <w:t>m</w:t>
      </w:r>
      <w:r>
        <w:rPr>
          <w:sz w:val="24"/>
          <w:vertAlign w:val="superscript"/>
        </w:rPr>
        <w:t>3</w:t>
      </w:r>
      <w:r>
        <w:rPr>
          <w:sz w:val="24"/>
        </w:rPr>
        <w:t>和40.29</w:t>
      </w:r>
      <w:r>
        <w:rPr>
          <w:rFonts w:hint="eastAsia"/>
          <w:sz w:val="24"/>
        </w:rPr>
        <w:t>亿</w:t>
      </w:r>
      <w:r>
        <w:rPr>
          <w:sz w:val="24"/>
        </w:rPr>
        <w:t>m</w:t>
      </w:r>
      <w:r>
        <w:rPr>
          <w:sz w:val="24"/>
          <w:vertAlign w:val="superscript"/>
        </w:rPr>
        <w:t>3</w:t>
      </w:r>
      <w:r>
        <w:rPr>
          <w:rFonts w:hint="eastAsia"/>
          <w:sz w:val="24"/>
        </w:rPr>
        <w:t>。预测至20</w:t>
      </w:r>
      <w:r>
        <w:rPr>
          <w:sz w:val="24"/>
        </w:rPr>
        <w:t>2</w:t>
      </w:r>
      <w:r>
        <w:rPr>
          <w:rFonts w:hint="eastAsia"/>
          <w:sz w:val="24"/>
        </w:rPr>
        <w:t>5年全市</w:t>
      </w:r>
      <w:r>
        <w:rPr>
          <w:sz w:val="24"/>
        </w:rPr>
        <w:t>GDP将达到2650</w:t>
      </w:r>
      <w:r>
        <w:rPr>
          <w:rFonts w:hint="eastAsia"/>
          <w:sz w:val="24"/>
        </w:rPr>
        <w:t>亿</w:t>
      </w:r>
      <w:r>
        <w:rPr>
          <w:sz w:val="24"/>
        </w:rPr>
        <w:t>元，城镇化率达到54.1</w:t>
      </w:r>
      <w:r>
        <w:rPr>
          <w:rFonts w:hint="eastAsia"/>
          <w:sz w:val="24"/>
        </w:rPr>
        <w:t>%；至2030年</w:t>
      </w:r>
      <w:r>
        <w:rPr>
          <w:sz w:val="24"/>
        </w:rPr>
        <w:t>GDP总量达到3072</w:t>
      </w:r>
      <w:r>
        <w:rPr>
          <w:rFonts w:hint="eastAsia"/>
          <w:sz w:val="24"/>
        </w:rPr>
        <w:t>亿元</w:t>
      </w:r>
      <w:r>
        <w:rPr>
          <w:sz w:val="24"/>
        </w:rPr>
        <w:t>，城镇化率达到59.4</w:t>
      </w:r>
      <w:r>
        <w:rPr>
          <w:rFonts w:hint="eastAsia"/>
          <w:sz w:val="24"/>
        </w:rPr>
        <w:t>%</w:t>
      </w:r>
      <w:r>
        <w:rPr>
          <w:sz w:val="24"/>
        </w:rPr>
        <w:t>。</w:t>
      </w:r>
      <w:r>
        <w:rPr>
          <w:rFonts w:hint="eastAsia"/>
          <w:sz w:val="24"/>
        </w:rPr>
        <w:t>至202</w:t>
      </w:r>
      <w:r>
        <w:rPr>
          <w:sz w:val="24"/>
        </w:rPr>
        <w:t>5</w:t>
      </w:r>
      <w:r>
        <w:rPr>
          <w:rFonts w:hint="eastAsia"/>
          <w:sz w:val="24"/>
        </w:rPr>
        <w:t>年和2030年全市多年平均需水量分别控制在</w:t>
      </w:r>
      <w:r>
        <w:rPr>
          <w:sz w:val="24"/>
        </w:rPr>
        <w:t>25.81</w:t>
      </w:r>
      <w:r>
        <w:rPr>
          <w:rFonts w:hint="eastAsia"/>
          <w:sz w:val="24"/>
        </w:rPr>
        <w:t>亿</w:t>
      </w:r>
      <w:r>
        <w:rPr>
          <w:sz w:val="24"/>
        </w:rPr>
        <w:t>m</w:t>
      </w:r>
      <w:r>
        <w:rPr>
          <w:sz w:val="24"/>
          <w:vertAlign w:val="superscript"/>
        </w:rPr>
        <w:t>3</w:t>
      </w:r>
      <w:r>
        <w:rPr>
          <w:rFonts w:hint="eastAsia"/>
          <w:sz w:val="24"/>
        </w:rPr>
        <w:t>和</w:t>
      </w:r>
      <w:r>
        <w:rPr>
          <w:sz w:val="24"/>
        </w:rPr>
        <w:t>25.70</w:t>
      </w:r>
      <w:r>
        <w:rPr>
          <w:rFonts w:hint="eastAsia"/>
          <w:sz w:val="24"/>
        </w:rPr>
        <w:t>亿</w:t>
      </w:r>
      <w:r>
        <w:rPr>
          <w:sz w:val="24"/>
        </w:rPr>
        <w:t>m</w:t>
      </w:r>
      <w:r>
        <w:rPr>
          <w:sz w:val="24"/>
          <w:vertAlign w:val="superscript"/>
        </w:rPr>
        <w:t>3</w:t>
      </w:r>
      <w:r>
        <w:rPr>
          <w:rFonts w:hint="eastAsia"/>
          <w:sz w:val="24"/>
        </w:rPr>
        <w:t>。</w:t>
      </w:r>
    </w:p>
    <w:p>
      <w:pPr>
        <w:spacing w:line="360" w:lineRule="auto"/>
        <w:ind w:firstLine="480" w:firstLineChars="200"/>
        <w:rPr>
          <w:sz w:val="24"/>
        </w:rPr>
      </w:pPr>
      <w:r>
        <w:rPr>
          <w:rFonts w:hint="eastAsia"/>
          <w:sz w:val="24"/>
        </w:rPr>
        <w:t>农业灌溉需水量呈下降趋势，新增需水主要为城市生活、工业生产和河道外生态需水。</w:t>
      </w:r>
    </w:p>
    <w:p>
      <w:pPr>
        <w:spacing w:line="360" w:lineRule="auto"/>
        <w:ind w:firstLine="480" w:firstLineChars="200"/>
        <w:rPr>
          <w:sz w:val="24"/>
        </w:rPr>
      </w:pPr>
      <w:r>
        <w:rPr>
          <w:b/>
          <w:sz w:val="24"/>
        </w:rPr>
        <w:t>4</w:t>
      </w:r>
      <w:r>
        <w:rPr>
          <w:rFonts w:hint="eastAsia"/>
          <w:b/>
          <w:sz w:val="24"/>
        </w:rPr>
        <w:t>、水资源配置格局。</w:t>
      </w:r>
      <w:r>
        <w:rPr>
          <w:rFonts w:hint="eastAsia"/>
          <w:sz w:val="24"/>
        </w:rPr>
        <w:t>根据六安市未来的经济社会发展，依据可持续发展的观点，按照高效、公平和多目标统筹兼顾协调的原则，充分挖掘当地水资源潜力，开展灌区续建配套与现代化改造、水库清淤、水资源优化配置等工程建设，并新建中小型水库等重要水源工程，构建六安市安全可靠的水资源保障体系。</w:t>
      </w:r>
    </w:p>
    <w:p>
      <w:pPr>
        <w:adjustRightInd w:val="0"/>
        <w:snapToGrid w:val="0"/>
        <w:spacing w:line="360" w:lineRule="auto"/>
        <w:ind w:firstLine="480" w:firstLineChars="200"/>
        <w:rPr>
          <w:sz w:val="24"/>
        </w:rPr>
      </w:pPr>
      <w:r>
        <w:rPr>
          <w:rFonts w:hint="eastAsia"/>
          <w:b/>
          <w:sz w:val="24"/>
        </w:rPr>
        <w:t>（</w:t>
      </w:r>
      <w:r>
        <w:rPr>
          <w:b/>
          <w:sz w:val="24"/>
        </w:rPr>
        <w:t>1</w:t>
      </w:r>
      <w:r>
        <w:rPr>
          <w:rFonts w:hint="eastAsia"/>
          <w:b/>
          <w:sz w:val="24"/>
        </w:rPr>
        <w:t>）行业水量配置。</w:t>
      </w:r>
      <w:r>
        <w:rPr>
          <w:sz w:val="24"/>
        </w:rPr>
        <w:t>按可供水量计，2025六安市农业、工业、生活和河道外生态</w:t>
      </w:r>
      <w:r>
        <w:rPr>
          <w:rFonts w:hint="eastAsia"/>
          <w:sz w:val="24"/>
        </w:rPr>
        <w:t>环境</w:t>
      </w:r>
      <w:r>
        <w:rPr>
          <w:sz w:val="24"/>
        </w:rPr>
        <w:t>用水配置量分别为20.13</w:t>
      </w:r>
      <w:r>
        <w:rPr>
          <w:rFonts w:hint="eastAsia"/>
          <w:sz w:val="24"/>
        </w:rPr>
        <w:t>亿</w:t>
      </w:r>
      <w:r>
        <w:rPr>
          <w:sz w:val="24"/>
        </w:rPr>
        <w:t>m</w:t>
      </w:r>
      <w:r>
        <w:rPr>
          <w:sz w:val="24"/>
          <w:vertAlign w:val="superscript"/>
        </w:rPr>
        <w:t>3</w:t>
      </w:r>
      <w:r>
        <w:rPr>
          <w:sz w:val="24"/>
        </w:rPr>
        <w:t>、2.08亿m</w:t>
      </w:r>
      <w:r>
        <w:rPr>
          <w:sz w:val="24"/>
          <w:vertAlign w:val="superscript"/>
        </w:rPr>
        <w:t>3</w:t>
      </w:r>
      <w:r>
        <w:rPr>
          <w:sz w:val="24"/>
        </w:rPr>
        <w:t>、2.64</w:t>
      </w:r>
      <w:r>
        <w:rPr>
          <w:rFonts w:hint="eastAsia"/>
          <w:sz w:val="24"/>
        </w:rPr>
        <w:t>亿</w:t>
      </w:r>
      <w:r>
        <w:rPr>
          <w:sz w:val="24"/>
        </w:rPr>
        <w:t>m</w:t>
      </w:r>
      <w:r>
        <w:rPr>
          <w:sz w:val="24"/>
          <w:vertAlign w:val="superscript"/>
        </w:rPr>
        <w:t>3</w:t>
      </w:r>
      <w:r>
        <w:rPr>
          <w:sz w:val="24"/>
        </w:rPr>
        <w:t>、0.77亿m</w:t>
      </w:r>
      <w:r>
        <w:rPr>
          <w:sz w:val="24"/>
          <w:vertAlign w:val="superscript"/>
        </w:rPr>
        <w:t>3</w:t>
      </w:r>
      <w:r>
        <w:rPr>
          <w:rFonts w:hint="eastAsia"/>
          <w:sz w:val="24"/>
        </w:rPr>
        <w:t>。</w:t>
      </w:r>
      <w:r>
        <w:rPr>
          <w:sz w:val="24"/>
        </w:rPr>
        <w:t>配置比例将由现状水平年80.3</w:t>
      </w:r>
      <w:r>
        <w:rPr>
          <w:rFonts w:hint="eastAsia"/>
          <w:sz w:val="24"/>
        </w:rPr>
        <w:t>%、</w:t>
      </w:r>
      <w:r>
        <w:rPr>
          <w:sz w:val="24"/>
        </w:rPr>
        <w:t>7.6</w:t>
      </w:r>
      <w:r>
        <w:rPr>
          <w:rFonts w:hint="eastAsia"/>
          <w:sz w:val="24"/>
        </w:rPr>
        <w:t>%、</w:t>
      </w:r>
      <w:r>
        <w:rPr>
          <w:sz w:val="24"/>
        </w:rPr>
        <w:t>9.4</w:t>
      </w:r>
      <w:r>
        <w:rPr>
          <w:rFonts w:hint="eastAsia"/>
          <w:sz w:val="24"/>
        </w:rPr>
        <w:t>%、</w:t>
      </w:r>
      <w:r>
        <w:rPr>
          <w:sz w:val="24"/>
        </w:rPr>
        <w:t>2.7</w:t>
      </w:r>
      <w:r>
        <w:rPr>
          <w:rFonts w:hint="eastAsia"/>
          <w:sz w:val="24"/>
        </w:rPr>
        <w:t>%调整为</w:t>
      </w:r>
      <w:r>
        <w:rPr>
          <w:sz w:val="24"/>
        </w:rPr>
        <w:t>78.6</w:t>
      </w:r>
      <w:r>
        <w:rPr>
          <w:rFonts w:hint="eastAsia"/>
          <w:sz w:val="24"/>
        </w:rPr>
        <w:t>%、</w:t>
      </w:r>
      <w:r>
        <w:rPr>
          <w:sz w:val="24"/>
        </w:rPr>
        <w:t>8.1</w:t>
      </w:r>
      <w:r>
        <w:rPr>
          <w:rFonts w:hint="eastAsia"/>
          <w:sz w:val="24"/>
        </w:rPr>
        <w:t>%、</w:t>
      </w:r>
      <w:r>
        <w:rPr>
          <w:sz w:val="24"/>
        </w:rPr>
        <w:t>10.3</w:t>
      </w:r>
      <w:r>
        <w:rPr>
          <w:rFonts w:hint="eastAsia"/>
          <w:sz w:val="24"/>
        </w:rPr>
        <w:t>%、</w:t>
      </w:r>
      <w:r>
        <w:rPr>
          <w:sz w:val="24"/>
        </w:rPr>
        <w:t>3.0</w:t>
      </w:r>
      <w:r>
        <w:rPr>
          <w:rFonts w:hint="eastAsia"/>
          <w:sz w:val="24"/>
        </w:rPr>
        <w:t>%</w:t>
      </w:r>
      <w:r>
        <w:rPr>
          <w:sz w:val="24"/>
        </w:rPr>
        <w:t>。2030年</w:t>
      </w:r>
      <w:r>
        <w:rPr>
          <w:rFonts w:hint="eastAsia"/>
          <w:sz w:val="24"/>
        </w:rPr>
        <w:t>六安市</w:t>
      </w:r>
      <w:r>
        <w:rPr>
          <w:sz w:val="24"/>
        </w:rPr>
        <w:t>农业、工业、生活和河道外生态</w:t>
      </w:r>
      <w:r>
        <w:rPr>
          <w:rFonts w:hint="eastAsia"/>
          <w:sz w:val="24"/>
        </w:rPr>
        <w:t>环境</w:t>
      </w:r>
      <w:r>
        <w:rPr>
          <w:sz w:val="24"/>
        </w:rPr>
        <w:t>用水配置量分别为19.53</w:t>
      </w:r>
      <w:r>
        <w:rPr>
          <w:rFonts w:hint="eastAsia"/>
          <w:sz w:val="24"/>
        </w:rPr>
        <w:t>亿</w:t>
      </w:r>
      <w:r>
        <w:rPr>
          <w:sz w:val="24"/>
        </w:rPr>
        <w:t>m</w:t>
      </w:r>
      <w:r>
        <w:rPr>
          <w:sz w:val="24"/>
          <w:vertAlign w:val="superscript"/>
        </w:rPr>
        <w:t>3</w:t>
      </w:r>
      <w:r>
        <w:rPr>
          <w:sz w:val="24"/>
        </w:rPr>
        <w:t>、2.28亿m</w:t>
      </w:r>
      <w:r>
        <w:rPr>
          <w:sz w:val="24"/>
          <w:vertAlign w:val="superscript"/>
        </w:rPr>
        <w:t>3</w:t>
      </w:r>
      <w:r>
        <w:rPr>
          <w:sz w:val="24"/>
        </w:rPr>
        <w:t>、3.05</w:t>
      </w:r>
      <w:r>
        <w:rPr>
          <w:rFonts w:hint="eastAsia"/>
          <w:sz w:val="24"/>
        </w:rPr>
        <w:t>亿</w:t>
      </w:r>
      <w:r>
        <w:rPr>
          <w:sz w:val="24"/>
        </w:rPr>
        <w:t>m</w:t>
      </w:r>
      <w:r>
        <w:rPr>
          <w:sz w:val="24"/>
          <w:vertAlign w:val="superscript"/>
        </w:rPr>
        <w:t>3</w:t>
      </w:r>
      <w:r>
        <w:rPr>
          <w:sz w:val="24"/>
        </w:rPr>
        <w:t>和0.84亿m</w:t>
      </w:r>
      <w:r>
        <w:rPr>
          <w:sz w:val="24"/>
          <w:vertAlign w:val="superscript"/>
        </w:rPr>
        <w:t>3</w:t>
      </w:r>
      <w:r>
        <w:rPr>
          <w:sz w:val="24"/>
        </w:rPr>
        <w:t>，配置比例进一步调整为76.0</w:t>
      </w:r>
      <w:r>
        <w:rPr>
          <w:rFonts w:hint="eastAsia"/>
          <w:sz w:val="24"/>
        </w:rPr>
        <w:t>%、</w:t>
      </w:r>
      <w:r>
        <w:rPr>
          <w:sz w:val="24"/>
        </w:rPr>
        <w:t>8.9</w:t>
      </w:r>
      <w:r>
        <w:rPr>
          <w:rFonts w:hint="eastAsia"/>
          <w:sz w:val="24"/>
        </w:rPr>
        <w:t>%、</w:t>
      </w:r>
      <w:r>
        <w:rPr>
          <w:sz w:val="24"/>
        </w:rPr>
        <w:t>11.9</w:t>
      </w:r>
      <w:r>
        <w:rPr>
          <w:rFonts w:hint="eastAsia"/>
          <w:sz w:val="24"/>
        </w:rPr>
        <w:t>%、</w:t>
      </w:r>
      <w:r>
        <w:rPr>
          <w:sz w:val="24"/>
        </w:rPr>
        <w:t>3.3</w:t>
      </w:r>
      <w:r>
        <w:rPr>
          <w:rFonts w:hint="eastAsia"/>
          <w:sz w:val="24"/>
        </w:rPr>
        <w:t>%</w:t>
      </w:r>
      <w:r>
        <w:rPr>
          <w:sz w:val="24"/>
        </w:rPr>
        <w:t>。</w:t>
      </w:r>
    </w:p>
    <w:p>
      <w:pPr>
        <w:adjustRightInd w:val="0"/>
        <w:snapToGrid w:val="0"/>
        <w:spacing w:line="360" w:lineRule="auto"/>
        <w:ind w:firstLine="480" w:firstLineChars="200"/>
        <w:rPr>
          <w:sz w:val="24"/>
        </w:rPr>
      </w:pPr>
      <w:r>
        <w:rPr>
          <w:rFonts w:hint="eastAsia"/>
          <w:b/>
          <w:sz w:val="24"/>
        </w:rPr>
        <w:t>（</w:t>
      </w:r>
      <w:r>
        <w:rPr>
          <w:b/>
          <w:sz w:val="24"/>
        </w:rPr>
        <w:t>2</w:t>
      </w:r>
      <w:r>
        <w:rPr>
          <w:rFonts w:hint="eastAsia"/>
          <w:b/>
          <w:sz w:val="24"/>
        </w:rPr>
        <w:t>）供水水源配置。</w:t>
      </w:r>
      <w:r>
        <w:rPr>
          <w:sz w:val="24"/>
        </w:rPr>
        <w:t>2025年六安市配置供水量25.62</w:t>
      </w:r>
      <w:r>
        <w:rPr>
          <w:rFonts w:hint="eastAsia"/>
          <w:sz w:val="24"/>
        </w:rPr>
        <w:t>亿</w:t>
      </w:r>
      <w:r>
        <w:rPr>
          <w:sz w:val="24"/>
        </w:rPr>
        <w:t>m</w:t>
      </w:r>
      <w:r>
        <w:rPr>
          <w:sz w:val="24"/>
          <w:vertAlign w:val="superscript"/>
        </w:rPr>
        <w:t>3</w:t>
      </w:r>
      <w:r>
        <w:rPr>
          <w:sz w:val="24"/>
        </w:rPr>
        <w:t>，比基准年增加0.11</w:t>
      </w:r>
      <w:r>
        <w:rPr>
          <w:rFonts w:hint="eastAsia"/>
          <w:sz w:val="24"/>
        </w:rPr>
        <w:t>亿</w:t>
      </w:r>
      <w:r>
        <w:rPr>
          <w:sz w:val="24"/>
        </w:rPr>
        <w:t>m</w:t>
      </w:r>
      <w:r>
        <w:rPr>
          <w:sz w:val="24"/>
          <w:vertAlign w:val="superscript"/>
        </w:rPr>
        <w:t>3</w:t>
      </w:r>
      <w:r>
        <w:rPr>
          <w:rFonts w:hint="eastAsia"/>
          <w:sz w:val="24"/>
        </w:rPr>
        <w:t>；</w:t>
      </w:r>
      <w:r>
        <w:rPr>
          <w:sz w:val="24"/>
        </w:rPr>
        <w:t>其中地表水供水量24.39</w:t>
      </w:r>
      <w:r>
        <w:rPr>
          <w:rFonts w:hint="eastAsia"/>
          <w:sz w:val="24"/>
        </w:rPr>
        <w:t>亿</w:t>
      </w:r>
      <w:r>
        <w:rPr>
          <w:sz w:val="24"/>
        </w:rPr>
        <w:t>m</w:t>
      </w:r>
      <w:r>
        <w:rPr>
          <w:sz w:val="24"/>
          <w:vertAlign w:val="superscript"/>
        </w:rPr>
        <w:t>3</w:t>
      </w:r>
      <w:r>
        <w:rPr>
          <w:rFonts w:hint="eastAsia"/>
          <w:sz w:val="24"/>
        </w:rPr>
        <w:t>，</w:t>
      </w:r>
      <w:r>
        <w:rPr>
          <w:sz w:val="24"/>
        </w:rPr>
        <w:t>地下水供水量为0.56亿m</w:t>
      </w:r>
      <w:r>
        <w:rPr>
          <w:sz w:val="24"/>
          <w:vertAlign w:val="superscript"/>
        </w:rPr>
        <w:t>3</w:t>
      </w:r>
      <w:r>
        <w:rPr>
          <w:sz w:val="24"/>
        </w:rPr>
        <w:t>，其他水源供水量为0.67亿m</w:t>
      </w:r>
      <w:r>
        <w:rPr>
          <w:sz w:val="24"/>
          <w:vertAlign w:val="superscript"/>
        </w:rPr>
        <w:t>3</w:t>
      </w:r>
      <w:r>
        <w:rPr>
          <w:sz w:val="24"/>
        </w:rPr>
        <w:t>。2030年</w:t>
      </w:r>
      <w:r>
        <w:rPr>
          <w:rFonts w:hint="eastAsia"/>
          <w:sz w:val="24"/>
        </w:rPr>
        <w:t>六安市</w:t>
      </w:r>
      <w:r>
        <w:rPr>
          <w:sz w:val="24"/>
        </w:rPr>
        <w:t>配置供水量25.70</w:t>
      </w:r>
      <w:r>
        <w:rPr>
          <w:rFonts w:hint="eastAsia"/>
          <w:sz w:val="24"/>
        </w:rPr>
        <w:t>亿</w:t>
      </w:r>
      <w:r>
        <w:rPr>
          <w:sz w:val="24"/>
        </w:rPr>
        <w:t>m</w:t>
      </w:r>
      <w:r>
        <w:rPr>
          <w:sz w:val="24"/>
          <w:vertAlign w:val="superscript"/>
        </w:rPr>
        <w:t>3</w:t>
      </w:r>
      <w:r>
        <w:rPr>
          <w:sz w:val="24"/>
        </w:rPr>
        <w:t>，比2025年</w:t>
      </w:r>
      <w:r>
        <w:rPr>
          <w:rFonts w:hint="eastAsia"/>
          <w:sz w:val="24"/>
        </w:rPr>
        <w:t>增加</w:t>
      </w:r>
      <w:r>
        <w:rPr>
          <w:sz w:val="24"/>
        </w:rPr>
        <w:t>0.08亿m</w:t>
      </w:r>
      <w:r>
        <w:rPr>
          <w:sz w:val="24"/>
          <w:vertAlign w:val="superscript"/>
        </w:rPr>
        <w:t>3</w:t>
      </w:r>
      <w:r>
        <w:rPr>
          <w:rFonts w:hint="eastAsia"/>
          <w:sz w:val="24"/>
        </w:rPr>
        <w:t>；</w:t>
      </w:r>
      <w:r>
        <w:rPr>
          <w:sz w:val="24"/>
        </w:rPr>
        <w:t>其中地表水供水量24.25</w:t>
      </w:r>
      <w:r>
        <w:rPr>
          <w:rFonts w:hint="eastAsia"/>
          <w:sz w:val="24"/>
        </w:rPr>
        <w:t>亿</w:t>
      </w:r>
      <w:r>
        <w:rPr>
          <w:sz w:val="24"/>
        </w:rPr>
        <w:t>m</w:t>
      </w:r>
      <w:r>
        <w:rPr>
          <w:sz w:val="24"/>
          <w:vertAlign w:val="superscript"/>
        </w:rPr>
        <w:t>3</w:t>
      </w:r>
      <w:r>
        <w:rPr>
          <w:rFonts w:hint="eastAsia"/>
          <w:sz w:val="24"/>
        </w:rPr>
        <w:t>，</w:t>
      </w:r>
      <w:r>
        <w:rPr>
          <w:sz w:val="24"/>
        </w:rPr>
        <w:t>地下水供水量为0.56亿m</w:t>
      </w:r>
      <w:r>
        <w:rPr>
          <w:sz w:val="24"/>
          <w:vertAlign w:val="superscript"/>
        </w:rPr>
        <w:t>3</w:t>
      </w:r>
      <w:r>
        <w:rPr>
          <w:sz w:val="24"/>
        </w:rPr>
        <w:t>，其他水源供水量为0.89亿m</w:t>
      </w:r>
      <w:r>
        <w:rPr>
          <w:sz w:val="24"/>
          <w:vertAlign w:val="superscript"/>
        </w:rPr>
        <w:t>3</w:t>
      </w:r>
      <w:r>
        <w:rPr>
          <w:sz w:val="24"/>
        </w:rPr>
        <w:t>。</w:t>
      </w:r>
    </w:p>
    <w:p>
      <w:pPr>
        <w:spacing w:line="360" w:lineRule="auto"/>
        <w:ind w:firstLine="480" w:firstLineChars="200"/>
        <w:rPr>
          <w:sz w:val="24"/>
        </w:rPr>
      </w:pPr>
      <w:r>
        <w:rPr>
          <w:sz w:val="24"/>
        </w:rPr>
        <w:t>六安市供水水源配置中主要以地表水源为主，规划水平年其他水源主要为污水处理回用</w:t>
      </w:r>
      <w:r>
        <w:rPr>
          <w:rFonts w:hint="eastAsia"/>
          <w:sz w:val="24"/>
        </w:rPr>
        <w:t>、雨水利用和矿坑排水</w:t>
      </w:r>
      <w:r>
        <w:rPr>
          <w:sz w:val="24"/>
        </w:rPr>
        <w:t>，该部分水量主要配置用于未来六安市部分工业用水和城市生态环境用水。</w:t>
      </w:r>
    </w:p>
    <w:p>
      <w:pPr>
        <w:spacing w:line="360" w:lineRule="auto"/>
        <w:ind w:firstLine="480" w:firstLineChars="200"/>
        <w:rPr>
          <w:color w:val="FF0000"/>
          <w:sz w:val="24"/>
        </w:rPr>
      </w:pPr>
      <w:r>
        <w:rPr>
          <w:rFonts w:hint="eastAsia"/>
          <w:sz w:val="24"/>
        </w:rPr>
        <w:t>5、</w:t>
      </w:r>
      <w:r>
        <w:rPr>
          <w:rFonts w:hint="eastAsia"/>
          <w:b/>
          <w:sz w:val="24"/>
        </w:rPr>
        <w:t>水资源节约。</w:t>
      </w:r>
      <w:r>
        <w:rPr>
          <w:rFonts w:hint="eastAsia"/>
          <w:bCs/>
          <w:sz w:val="24"/>
        </w:rPr>
        <w:t>六安市用水现状水平分析表明，六安市现状用水效率与先进水平相比还有较大差距。通过大力实施节水型社会建设，全面提升全社会节水意识；通过节水重点工程建设，推进农业、工业、城镇等重点领域节水，推动全市用水方式由粗放向节约集约转变。</w:t>
      </w:r>
    </w:p>
    <w:p>
      <w:pPr>
        <w:spacing w:line="360" w:lineRule="auto"/>
        <w:ind w:firstLine="480" w:firstLineChars="200"/>
        <w:rPr>
          <w:bCs/>
          <w:sz w:val="24"/>
        </w:rPr>
      </w:pPr>
      <w:r>
        <w:rPr>
          <w:rFonts w:hint="eastAsia"/>
          <w:b/>
          <w:sz w:val="24"/>
        </w:rPr>
        <w:t>6、水资源保护。</w:t>
      </w:r>
      <w:r>
        <w:rPr>
          <w:rFonts w:hint="eastAsia"/>
          <w:bCs/>
          <w:sz w:val="24"/>
        </w:rPr>
        <w:t>当前六安市水生态环境仍然存在水体水质不能稳定达标、城乡水系淤塞萎缩、河湖生态保护滞后等问题，需要继续</w:t>
      </w:r>
      <w:bookmarkStart w:id="11" w:name="_Hlk77604825"/>
      <w:r>
        <w:rPr>
          <w:rFonts w:hint="eastAsia"/>
          <w:bCs/>
          <w:sz w:val="24"/>
        </w:rPr>
        <w:t>加大水生态修复与保护力度</w:t>
      </w:r>
      <w:bookmarkEnd w:id="11"/>
      <w:r>
        <w:rPr>
          <w:rFonts w:hint="eastAsia"/>
          <w:bCs/>
          <w:sz w:val="24"/>
        </w:rPr>
        <w:t>，针对河湖“四水”突出问题，加大河湖修复保护和综合治理，开展典型水域水生态修复与保护重点工程建设。</w:t>
      </w:r>
    </w:p>
    <w:p>
      <w:pPr>
        <w:spacing w:line="360" w:lineRule="auto"/>
        <w:ind w:firstLine="480" w:firstLineChars="200"/>
        <w:rPr>
          <w:sz w:val="24"/>
        </w:rPr>
      </w:pPr>
      <w:r>
        <w:rPr>
          <w:rFonts w:hint="eastAsia"/>
          <w:b/>
          <w:sz w:val="24"/>
        </w:rPr>
        <w:t>7、主要建议。</w:t>
      </w:r>
      <w:r>
        <w:rPr>
          <w:rFonts w:hint="eastAsia"/>
          <w:sz w:val="24"/>
        </w:rPr>
        <w:t>六安市水资源整体形势较好，但是存在水资源时空分布不均等特点，制约了经济社会的发展。随着全市经济社会的快速发展，水资源短缺与水生态环境问题日益突出。为此建议：</w:t>
      </w:r>
    </w:p>
    <w:p>
      <w:pPr>
        <w:spacing w:line="360" w:lineRule="auto"/>
        <w:ind w:firstLine="480" w:firstLineChars="200"/>
        <w:rPr>
          <w:sz w:val="24"/>
        </w:rPr>
      </w:pPr>
      <w:r>
        <w:rPr>
          <w:rFonts w:hint="eastAsia"/>
          <w:b/>
          <w:sz w:val="24"/>
        </w:rPr>
        <w:t>（1）强化最严格的水资源管理制度考核。</w:t>
      </w:r>
      <w:r>
        <w:rPr>
          <w:rFonts w:hint="eastAsia"/>
          <w:sz w:val="24"/>
        </w:rPr>
        <w:t>严格水资源消耗总量和强度双控，让水资源成为最大的刚性约束。严格落实规划和建设项目水资源论证制度，对新增用水严格取水许可管理，落实水资源有偿使用制度。加强取用水监管，强化取水监测计量安装，动态监测用水户取水变化过程。落实取用水计划管理，实行超计划取水累进加价制度。</w:t>
      </w:r>
    </w:p>
    <w:p>
      <w:pPr>
        <w:spacing w:line="360" w:lineRule="auto"/>
        <w:ind w:firstLine="480" w:firstLineChars="200"/>
        <w:rPr>
          <w:sz w:val="24"/>
        </w:rPr>
      </w:pPr>
      <w:r>
        <w:rPr>
          <w:rFonts w:hint="eastAsia"/>
          <w:b/>
          <w:sz w:val="24"/>
        </w:rPr>
        <w:t>（2）严格落实节水行动方案。</w:t>
      </w:r>
      <w:r>
        <w:rPr>
          <w:rFonts w:hint="eastAsia"/>
          <w:sz w:val="24"/>
        </w:rPr>
        <w:t>严格落实取水定额，落实超定额累进加价制度。严格施行规划和建设项目节水评价机制，抑制不合理用水需求。持续推进节水载体建设，加快推进县域节水型社会建设。加强宣传，强化节水公众参与和社会监督，提升全民节水意识。</w:t>
      </w:r>
    </w:p>
    <w:p>
      <w:pPr>
        <w:suppressAutoHyphens/>
        <w:autoSpaceDE w:val="0"/>
        <w:autoSpaceDN w:val="0"/>
        <w:adjustRightInd w:val="0"/>
        <w:spacing w:line="360" w:lineRule="auto"/>
        <w:ind w:firstLine="480" w:firstLineChars="200"/>
        <w:jc w:val="left"/>
        <w:rPr>
          <w:bCs/>
          <w:kern w:val="1"/>
          <w:sz w:val="24"/>
          <w:szCs w:val="24"/>
        </w:rPr>
      </w:pPr>
      <w:r>
        <w:rPr>
          <w:rFonts w:hint="eastAsia"/>
          <w:b/>
          <w:sz w:val="24"/>
        </w:rPr>
        <w:t>（3）积极推进重点水域水环境修复和保护。</w:t>
      </w:r>
      <w:r>
        <w:rPr>
          <w:rFonts w:hint="eastAsia"/>
          <w:bCs/>
          <w:sz w:val="24"/>
        </w:rPr>
        <w:t>加强河流生态流量管理，提升生态流量保障程度。加大水生态修复与保护力度，通过加强上游水源区保护，强化重点水土流失区治理，实施生态清洁小流域建设，开展农村水系连通及水美乡村建设，保障河湖生态水量，增强水体自净能力，构建人水和谐的绿色生态水系网。</w:t>
      </w:r>
    </w:p>
    <w:p>
      <w:pPr>
        <w:suppressAutoHyphens/>
        <w:autoSpaceDE w:val="0"/>
        <w:autoSpaceDN w:val="0"/>
        <w:adjustRightInd w:val="0"/>
        <w:snapToGrid w:val="0"/>
        <w:spacing w:line="360" w:lineRule="auto"/>
        <w:ind w:firstLine="480" w:firstLineChars="200"/>
        <w:jc w:val="left"/>
        <w:rPr>
          <w:kern w:val="1"/>
          <w:sz w:val="24"/>
          <w:szCs w:val="24"/>
        </w:rPr>
      </w:pPr>
    </w:p>
    <w:p>
      <w:pPr>
        <w:widowControl/>
        <w:jc w:val="left"/>
        <w:rPr>
          <w:sz w:val="24"/>
          <w:szCs w:val="24"/>
        </w:rPr>
        <w:sectPr>
          <w:footerReference r:id="rId7" w:type="default"/>
          <w:pgSz w:w="11906" w:h="16838"/>
          <w:pgMar w:top="1440" w:right="1797" w:bottom="1440" w:left="1797" w:header="851" w:footer="992" w:gutter="0"/>
          <w:pgNumType w:start="1"/>
          <w:cols w:space="425" w:num="1"/>
          <w:docGrid w:type="linesAndChars" w:linePitch="312" w:charSpace="0"/>
        </w:sectPr>
      </w:pPr>
    </w:p>
    <w:p>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12" w:name="_Toc95382430"/>
      <w:r>
        <w:rPr>
          <w:rFonts w:hint="eastAsia" w:ascii="黑体" w:hAnsi="黑体" w:eastAsia="黑体" w:cs="黑体"/>
          <w:bCs/>
          <w:kern w:val="44"/>
          <w:sz w:val="36"/>
          <w:szCs w:val="36"/>
        </w:rPr>
        <w:t>第一章 概况</w:t>
      </w:r>
      <w:bookmarkEnd w:id="12"/>
    </w:p>
    <w:p>
      <w:pPr>
        <w:keepNext/>
        <w:keepLines/>
        <w:adjustRightInd w:val="0"/>
        <w:snapToGrid w:val="0"/>
        <w:spacing w:before="312" w:beforeLines="100" w:after="312" w:afterLines="100" w:line="360" w:lineRule="auto"/>
        <w:jc w:val="center"/>
        <w:outlineLvl w:val="1"/>
        <w:rPr>
          <w:b/>
          <w:bCs/>
          <w:sz w:val="32"/>
          <w:szCs w:val="36"/>
        </w:rPr>
      </w:pPr>
      <w:bookmarkStart w:id="13" w:name="_Toc288639775"/>
      <w:bookmarkStart w:id="14" w:name="_Toc382472171"/>
      <w:bookmarkStart w:id="15" w:name="_Toc432782499"/>
      <w:bookmarkStart w:id="16" w:name="_Toc324432007"/>
      <w:bookmarkStart w:id="17" w:name="_Toc95382431"/>
      <w:r>
        <w:rPr>
          <w:b/>
          <w:bCs/>
          <w:sz w:val="32"/>
          <w:szCs w:val="36"/>
        </w:rPr>
        <w:t xml:space="preserve">第一节 </w:t>
      </w:r>
      <w:bookmarkEnd w:id="13"/>
      <w:r>
        <w:rPr>
          <w:b/>
          <w:bCs/>
          <w:sz w:val="32"/>
          <w:szCs w:val="36"/>
        </w:rPr>
        <w:t>自然地理</w:t>
      </w:r>
      <w:bookmarkEnd w:id="14"/>
      <w:bookmarkEnd w:id="15"/>
      <w:bookmarkEnd w:id="16"/>
      <w:bookmarkEnd w:id="17"/>
    </w:p>
    <w:p>
      <w:pPr>
        <w:pStyle w:val="4"/>
        <w:spacing w:before="156" w:beforeLines="50" w:after="156" w:afterLines="50" w:line="360" w:lineRule="auto"/>
        <w:rPr>
          <w:sz w:val="28"/>
        </w:rPr>
      </w:pPr>
      <w:bookmarkStart w:id="18" w:name="_Toc288639776"/>
      <w:bookmarkStart w:id="19" w:name="_Toc170210265"/>
      <w:bookmarkStart w:id="20" w:name="_Toc324432008"/>
      <w:bookmarkStart w:id="21" w:name="_Toc95382432"/>
      <w:bookmarkStart w:id="22" w:name="_Toc432782500"/>
      <w:bookmarkStart w:id="23" w:name="_Toc382472172"/>
      <w:r>
        <w:rPr>
          <w:sz w:val="28"/>
        </w:rPr>
        <w:t>一、</w:t>
      </w:r>
      <w:bookmarkEnd w:id="18"/>
      <w:bookmarkEnd w:id="19"/>
      <w:r>
        <w:rPr>
          <w:sz w:val="28"/>
        </w:rPr>
        <w:t>地理</w:t>
      </w:r>
      <w:bookmarkEnd w:id="20"/>
      <w:r>
        <w:rPr>
          <w:rFonts w:hint="eastAsia"/>
          <w:sz w:val="28"/>
        </w:rPr>
        <w:t>位置</w:t>
      </w:r>
      <w:bookmarkEnd w:id="21"/>
      <w:bookmarkEnd w:id="22"/>
      <w:bookmarkEnd w:id="23"/>
    </w:p>
    <w:p>
      <w:pPr>
        <w:spacing w:line="360" w:lineRule="auto"/>
        <w:ind w:firstLine="480" w:firstLineChars="200"/>
        <w:rPr>
          <w:sz w:val="24"/>
        </w:rPr>
      </w:pPr>
      <w:r>
        <w:rPr>
          <w:sz w:val="24"/>
        </w:rPr>
        <w:t>六安市位于安徽省西部，大别山北麓，东经115°20′～117°14′、北纬31°01′～32°</w:t>
      </w:r>
      <w:r>
        <w:rPr>
          <w:rFonts w:hint="eastAsia"/>
          <w:sz w:val="24"/>
        </w:rPr>
        <w:t>36</w:t>
      </w:r>
      <w:r>
        <w:rPr>
          <w:sz w:val="24"/>
        </w:rPr>
        <w:t>′之间。</w:t>
      </w:r>
      <w:r>
        <w:rPr>
          <w:rFonts w:hint="eastAsia"/>
          <w:sz w:val="24"/>
        </w:rPr>
        <w:t>东与省会合肥市相连，南与安庆市接壤，西与信阳市毗邻，北接淮南市、阜阳市</w:t>
      </w:r>
      <w:r>
        <w:rPr>
          <w:sz w:val="24"/>
        </w:rPr>
        <w:t>。东西宽176km，南北长179km，总面积</w:t>
      </w:r>
      <w:r>
        <w:rPr>
          <w:rFonts w:hint="eastAsia"/>
          <w:sz w:val="24"/>
        </w:rPr>
        <w:t>15451</w:t>
      </w:r>
      <w:r>
        <w:rPr>
          <w:sz w:val="24"/>
        </w:rPr>
        <w:t>km</w:t>
      </w:r>
      <w:r>
        <w:rPr>
          <w:sz w:val="24"/>
          <w:vertAlign w:val="superscript"/>
        </w:rPr>
        <w:t>2</w:t>
      </w:r>
      <w:r>
        <w:rPr>
          <w:sz w:val="24"/>
        </w:rPr>
        <w:t>。</w:t>
      </w:r>
    </w:p>
    <w:p>
      <w:pPr>
        <w:pStyle w:val="4"/>
        <w:spacing w:before="156" w:beforeLines="50" w:after="156" w:afterLines="50" w:line="360" w:lineRule="auto"/>
        <w:rPr>
          <w:sz w:val="28"/>
        </w:rPr>
      </w:pPr>
      <w:bookmarkStart w:id="24" w:name="_Toc324432009"/>
      <w:bookmarkStart w:id="25" w:name="_Toc382472173"/>
      <w:bookmarkStart w:id="26" w:name="_Toc432782501"/>
      <w:bookmarkStart w:id="27" w:name="_Toc95382433"/>
      <w:r>
        <w:rPr>
          <w:sz w:val="28"/>
        </w:rPr>
        <w:t>二、地形地貌</w:t>
      </w:r>
      <w:bookmarkEnd w:id="24"/>
      <w:bookmarkEnd w:id="25"/>
      <w:bookmarkEnd w:id="26"/>
      <w:bookmarkEnd w:id="27"/>
    </w:p>
    <w:p>
      <w:pPr>
        <w:spacing w:line="360" w:lineRule="auto"/>
        <w:ind w:firstLine="480" w:firstLineChars="200"/>
        <w:rPr>
          <w:sz w:val="24"/>
        </w:rPr>
      </w:pPr>
      <w:r>
        <w:rPr>
          <w:sz w:val="24"/>
        </w:rPr>
        <w:t>六安市地貌类型复杂多样。有山地、丘陵、岗地、平原，呈梯形分布，河流、盆地、湖泊相间其中。全市可分为大别山北坡山地、江淮丘陵、江淮岗地和平原四大地貌单元。</w:t>
      </w:r>
    </w:p>
    <w:p>
      <w:pPr>
        <w:spacing w:line="360" w:lineRule="auto"/>
        <w:ind w:firstLine="480" w:firstLineChars="200"/>
        <w:rPr>
          <w:sz w:val="24"/>
        </w:rPr>
      </w:pPr>
      <w:r>
        <w:rPr>
          <w:sz w:val="24"/>
        </w:rPr>
        <w:t>大别山北坡山地分布在梅山、响洪甸、佛子岭、龙河口四大水库北线以南</w:t>
      </w:r>
      <w:r>
        <w:rPr>
          <w:rFonts w:hint="eastAsia"/>
          <w:sz w:val="24"/>
        </w:rPr>
        <w:t>。</w:t>
      </w:r>
      <w:r>
        <w:rPr>
          <w:sz w:val="24"/>
        </w:rPr>
        <w:t>山地根据不同海拔高程又分为中山和低山，中山区分布在西南边境海拔800m以上，随着山体的垂直高度变化，土壤、气候、植被差异十分明显。低山区分布在中山北外圈，海拔高度400～800m。山间分布着平缓而较开阔的盆地，有限耕地集中于此。</w:t>
      </w:r>
    </w:p>
    <w:p>
      <w:pPr>
        <w:spacing w:line="360" w:lineRule="auto"/>
        <w:ind w:firstLine="480" w:firstLineChars="200"/>
        <w:rPr>
          <w:sz w:val="24"/>
        </w:rPr>
      </w:pPr>
      <w:r>
        <w:rPr>
          <w:sz w:val="24"/>
        </w:rPr>
        <w:t>江淮丘陵是大别山余脉的延伸</w:t>
      </w:r>
      <w:r>
        <w:rPr>
          <w:rFonts w:hint="eastAsia"/>
          <w:sz w:val="24"/>
        </w:rPr>
        <w:t>。</w:t>
      </w:r>
      <w:r>
        <w:rPr>
          <w:sz w:val="24"/>
        </w:rPr>
        <w:t>一般海拔高度在100～400m之间，呈波状起伏，峰原坡缓，盆地开阔。地面坡度一般小于25°，少数高丘大于25°。</w:t>
      </w:r>
    </w:p>
    <w:p>
      <w:pPr>
        <w:spacing w:line="360" w:lineRule="auto"/>
        <w:ind w:firstLine="480" w:firstLineChars="200"/>
        <w:rPr>
          <w:sz w:val="24"/>
        </w:rPr>
      </w:pPr>
      <w:r>
        <w:rPr>
          <w:sz w:val="24"/>
        </w:rPr>
        <w:t>江淮岗地，位于</w:t>
      </w:r>
      <w:r>
        <w:rPr>
          <w:rFonts w:hint="eastAsia"/>
          <w:sz w:val="24"/>
        </w:rPr>
        <w:t>六安</w:t>
      </w:r>
      <w:r>
        <w:rPr>
          <w:sz w:val="24"/>
        </w:rPr>
        <w:t>市中部</w:t>
      </w:r>
      <w:r>
        <w:rPr>
          <w:rFonts w:hint="eastAsia"/>
          <w:sz w:val="24"/>
        </w:rPr>
        <w:t>。</w:t>
      </w:r>
      <w:r>
        <w:rPr>
          <w:sz w:val="24"/>
        </w:rPr>
        <w:t>海拔高度在50～100m之间。该地区地貌最大特点是既呈台状，又有相对高差在10～30m左右的岗冲起伏。</w:t>
      </w:r>
    </w:p>
    <w:p>
      <w:pPr>
        <w:spacing w:line="360" w:lineRule="auto"/>
        <w:ind w:firstLine="480" w:firstLineChars="200"/>
      </w:pPr>
      <w:r>
        <w:rPr>
          <w:sz w:val="24"/>
        </w:rPr>
        <w:t>平原分布在淮河南岸，</w:t>
      </w:r>
      <w:r>
        <w:rPr>
          <w:rFonts w:hint="eastAsia"/>
          <w:sz w:val="24"/>
        </w:rPr>
        <w:t>沣</w:t>
      </w:r>
      <w:r>
        <w:rPr>
          <w:sz w:val="24"/>
        </w:rPr>
        <w:t>、汲、</w:t>
      </w:r>
      <w:r>
        <w:rPr>
          <w:rFonts w:hint="eastAsia"/>
          <w:sz w:val="24"/>
        </w:rPr>
        <w:t>淠河下游</w:t>
      </w:r>
      <w:r>
        <w:rPr>
          <w:sz w:val="24"/>
        </w:rPr>
        <w:t>河谷</w:t>
      </w:r>
      <w:r>
        <w:rPr>
          <w:rFonts w:hint="eastAsia"/>
          <w:sz w:val="24"/>
        </w:rPr>
        <w:t>，沿湖周围</w:t>
      </w:r>
      <w:r>
        <w:rPr>
          <w:sz w:val="24"/>
        </w:rPr>
        <w:t>和杭埠河、丰乐河下游</w:t>
      </w:r>
      <w:r>
        <w:rPr>
          <w:rFonts w:hint="eastAsia"/>
          <w:sz w:val="24"/>
        </w:rPr>
        <w:t>两侧</w:t>
      </w:r>
      <w:r>
        <w:rPr>
          <w:sz w:val="24"/>
        </w:rPr>
        <w:t>。</w:t>
      </w:r>
    </w:p>
    <w:p>
      <w:pPr>
        <w:pStyle w:val="4"/>
        <w:spacing w:before="156" w:beforeLines="50" w:after="156" w:afterLines="50" w:line="360" w:lineRule="auto"/>
        <w:rPr>
          <w:sz w:val="28"/>
        </w:rPr>
      </w:pPr>
      <w:bookmarkStart w:id="28" w:name="_Toc382472174"/>
      <w:bookmarkStart w:id="29" w:name="_Toc95382434"/>
      <w:bookmarkStart w:id="30" w:name="_Toc324432010"/>
      <w:bookmarkStart w:id="31" w:name="_Toc432782502"/>
      <w:r>
        <w:rPr>
          <w:sz w:val="28"/>
        </w:rPr>
        <w:t>三、水文气象</w:t>
      </w:r>
      <w:bookmarkEnd w:id="28"/>
      <w:bookmarkEnd w:id="29"/>
      <w:bookmarkEnd w:id="30"/>
      <w:bookmarkEnd w:id="31"/>
    </w:p>
    <w:p>
      <w:pPr>
        <w:spacing w:line="360" w:lineRule="auto"/>
        <w:ind w:firstLine="480" w:firstLineChars="200"/>
        <w:rPr>
          <w:sz w:val="24"/>
        </w:rPr>
      </w:pPr>
      <w:r>
        <w:rPr>
          <w:sz w:val="24"/>
        </w:rPr>
        <w:t>六安地处北亚热带的北缘，属湿润季风气候。其特征是：季风显著，雨量适中；冬冷夏热，四季分明；热量丰富，光照充足，无霜期较长；光、热、水配合良好。</w:t>
      </w:r>
    </w:p>
    <w:p>
      <w:pPr>
        <w:tabs>
          <w:tab w:val="left" w:pos="1485"/>
        </w:tabs>
        <w:spacing w:line="360" w:lineRule="auto"/>
        <w:ind w:firstLine="480" w:firstLineChars="200"/>
        <w:rPr>
          <w:sz w:val="24"/>
        </w:rPr>
      </w:pPr>
      <w:r>
        <w:rPr>
          <w:sz w:val="24"/>
        </w:rPr>
        <w:t>全市大部分地区多年平均气温为14.6</w:t>
      </w:r>
      <w:r>
        <w:rPr>
          <w:rFonts w:hint="eastAsia" w:ascii="宋体" w:hAnsi="宋体" w:cs="宋体"/>
          <w:sz w:val="24"/>
        </w:rPr>
        <w:t>℃</w:t>
      </w:r>
      <w:r>
        <w:rPr>
          <w:sz w:val="24"/>
        </w:rPr>
        <w:t>～15.6</w:t>
      </w:r>
      <w:r>
        <w:rPr>
          <w:rFonts w:hint="eastAsia" w:ascii="宋体" w:hAnsi="宋体" w:cs="宋体"/>
          <w:sz w:val="24"/>
        </w:rPr>
        <w:t>℃</w:t>
      </w:r>
      <w:r>
        <w:rPr>
          <w:sz w:val="24"/>
        </w:rPr>
        <w:t>，自东北</w:t>
      </w:r>
      <w:r>
        <w:rPr>
          <w:rFonts w:hint="eastAsia"/>
          <w:sz w:val="24"/>
        </w:rPr>
        <w:t>向</w:t>
      </w:r>
      <w:r>
        <w:rPr>
          <w:sz w:val="24"/>
        </w:rPr>
        <w:t>西南随地势抬高而递减。全市多年平均降水量为1241.6mm，具有南多北少、山区多平原少、夏春季多、冬秋季少以及年际间降水悬殊过大等特点。降水季节，夏季（6～8月）雨量最多，约占全年降水量的45.0%，春季（3～5月）占26.2%，秋季（9～11月）占18.4%，冬季（12～2月）最少，占10.4%。年际间变化，降水最多年一般是最少年的三倍左右。年平均降水日为112～125.6d，年平均降雪日为10～12d，少年仅有2d，多年可达15d以上。</w:t>
      </w:r>
    </w:p>
    <w:p>
      <w:pPr>
        <w:tabs>
          <w:tab w:val="left" w:pos="1485"/>
        </w:tabs>
        <w:spacing w:line="360" w:lineRule="auto"/>
        <w:ind w:firstLine="480" w:firstLineChars="200"/>
      </w:pPr>
      <w:r>
        <w:rPr>
          <w:sz w:val="24"/>
        </w:rPr>
        <w:t>全市年平均相对湿度在79%，年平均日照时数2226h，日照率达50.8%。年均无霜期210～230d。多年平均风速2.5m/s，最大风速20m/s，</w:t>
      </w:r>
      <w:bookmarkStart w:id="32" w:name="baidusnap3"/>
      <w:bookmarkEnd w:id="32"/>
      <w:r>
        <w:rPr>
          <w:sz w:val="24"/>
        </w:rPr>
        <w:t>常年风向东南偏东。影响全市的灾害性天气主要是旱涝灾害。</w:t>
      </w:r>
    </w:p>
    <w:p>
      <w:pPr>
        <w:pStyle w:val="4"/>
        <w:spacing w:before="156" w:beforeLines="50" w:after="156" w:afterLines="50" w:line="360" w:lineRule="auto"/>
        <w:rPr>
          <w:sz w:val="28"/>
        </w:rPr>
      </w:pPr>
      <w:bookmarkStart w:id="33" w:name="_Toc382472175"/>
      <w:bookmarkStart w:id="34" w:name="_Toc324432011"/>
      <w:bookmarkStart w:id="35" w:name="_Toc432782503"/>
      <w:bookmarkStart w:id="36" w:name="_Toc95382435"/>
      <w:r>
        <w:rPr>
          <w:sz w:val="28"/>
        </w:rPr>
        <w:t>四、河流水系</w:t>
      </w:r>
      <w:bookmarkEnd w:id="33"/>
      <w:bookmarkEnd w:id="34"/>
      <w:bookmarkEnd w:id="35"/>
      <w:bookmarkEnd w:id="36"/>
    </w:p>
    <w:p>
      <w:pPr>
        <w:spacing w:line="360" w:lineRule="auto"/>
        <w:ind w:firstLine="480" w:firstLineChars="200"/>
        <w:rPr>
          <w:sz w:val="24"/>
        </w:rPr>
      </w:pPr>
      <w:r>
        <w:rPr>
          <w:kern w:val="0"/>
          <w:sz w:val="24"/>
          <w:szCs w:val="28"/>
        </w:rPr>
        <w:t>六安市河流隶属于两个流域，即淮河流域、长江流域。淮河由六安市霍邱县临水镇入境，于孟家湖淠河口出境，流经六安市河道长79km，主要支流有：淠河、史河、汲河、沣河；长江在六安市境内</w:t>
      </w:r>
      <w:r>
        <w:rPr>
          <w:rFonts w:hint="eastAsia"/>
          <w:kern w:val="0"/>
          <w:sz w:val="24"/>
          <w:szCs w:val="28"/>
        </w:rPr>
        <w:t>的</w:t>
      </w:r>
      <w:r>
        <w:rPr>
          <w:kern w:val="0"/>
          <w:sz w:val="24"/>
          <w:szCs w:val="28"/>
        </w:rPr>
        <w:t>支流有：杭埠河、丰乐河。</w:t>
      </w:r>
      <w:r>
        <w:rPr>
          <w:rFonts w:hint="eastAsia"/>
          <w:sz w:val="24"/>
        </w:rPr>
        <w:t>六安市境内较大湖泊有城西湖和城东湖，均位于淮河一级支流的下游入淮口附近。</w:t>
      </w:r>
    </w:p>
    <w:p>
      <w:pPr>
        <w:spacing w:line="360" w:lineRule="auto"/>
        <w:ind w:firstLine="480" w:firstLineChars="200"/>
        <w:rPr>
          <w:sz w:val="24"/>
        </w:rPr>
      </w:pPr>
      <w:r>
        <w:rPr>
          <w:sz w:val="24"/>
        </w:rPr>
        <w:t>六安市主要河流</w:t>
      </w:r>
      <w:r>
        <w:rPr>
          <w:rFonts w:hint="eastAsia"/>
          <w:sz w:val="24"/>
        </w:rPr>
        <w:t>和大型湖泊</w:t>
      </w:r>
      <w:r>
        <w:rPr>
          <w:sz w:val="24"/>
        </w:rPr>
        <w:t>基本情况表见表1.1.1</w:t>
      </w:r>
      <w:r>
        <w:rPr>
          <w:rFonts w:hint="eastAsia"/>
          <w:sz w:val="24"/>
        </w:rPr>
        <w:t>和</w:t>
      </w:r>
      <w:r>
        <w:rPr>
          <w:sz w:val="24"/>
        </w:rPr>
        <w:t>表1.1.2。</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00" w:firstLineChars="200"/>
      </w:pPr>
    </w:p>
    <w:p>
      <w:pPr>
        <w:spacing w:line="360" w:lineRule="auto"/>
        <w:jc w:val="center"/>
        <w:rPr>
          <w:b/>
          <w:sz w:val="24"/>
          <w:szCs w:val="24"/>
        </w:rPr>
      </w:pPr>
      <w:r>
        <w:rPr>
          <w:b/>
          <w:sz w:val="24"/>
          <w:szCs w:val="24"/>
        </w:rPr>
        <w:t>表1.1.1  六安市主要河流基本情况一览表</w:t>
      </w:r>
    </w:p>
    <w:tbl>
      <w:tblPr>
        <w:tblStyle w:val="36"/>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576"/>
        <w:gridCol w:w="2026"/>
        <w:gridCol w:w="875"/>
        <w:gridCol w:w="1286"/>
        <w:gridCol w:w="213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blHeader/>
        </w:trPr>
        <w:tc>
          <w:tcPr>
            <w:tcW w:w="352"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流域</w:t>
            </w:r>
          </w:p>
        </w:tc>
        <w:tc>
          <w:tcPr>
            <w:tcW w:w="339"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水系</w:t>
            </w:r>
          </w:p>
        </w:tc>
        <w:tc>
          <w:tcPr>
            <w:tcW w:w="1192"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河流名称</w:t>
            </w:r>
          </w:p>
        </w:tc>
        <w:tc>
          <w:tcPr>
            <w:tcW w:w="515"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境内河长(km)</w:t>
            </w:r>
          </w:p>
        </w:tc>
        <w:tc>
          <w:tcPr>
            <w:tcW w:w="757"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境内流域</w:t>
            </w:r>
          </w:p>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面积(km</w:t>
            </w:r>
            <w:r>
              <w:rPr>
                <w:color w:val="000000" w:themeColor="text1"/>
                <w:kern w:val="0"/>
                <w:sz w:val="18"/>
                <w:szCs w:val="18"/>
                <w:vertAlign w:val="superscript"/>
                <w14:textFill>
                  <w14:solidFill>
                    <w14:schemeClr w14:val="tx1"/>
                  </w14:solidFill>
                </w14:textFill>
              </w:rPr>
              <w:t>2</w:t>
            </w:r>
            <w:r>
              <w:rPr>
                <w:color w:val="000000" w:themeColor="text1"/>
                <w:kern w:val="0"/>
                <w:sz w:val="18"/>
                <w:szCs w:val="18"/>
                <w14:textFill>
                  <w14:solidFill>
                    <w14:schemeClr w14:val="tx1"/>
                  </w14:solidFill>
                </w14:textFill>
              </w:rPr>
              <w:t>)</w:t>
            </w:r>
          </w:p>
        </w:tc>
        <w:tc>
          <w:tcPr>
            <w:tcW w:w="125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流经县、区</w:t>
            </w:r>
          </w:p>
        </w:tc>
        <w:tc>
          <w:tcPr>
            <w:tcW w:w="590"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restart"/>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w:t>
            </w:r>
            <w:r>
              <w:rPr>
                <w:rFonts w:hint="eastAsia"/>
                <w:color w:val="000000" w:themeColor="text1"/>
                <w:kern w:val="0"/>
                <w:sz w:val="18"/>
                <w:szCs w:val="18"/>
                <w14:textFill>
                  <w14:solidFill>
                    <w14:schemeClr w14:val="tx1"/>
                  </w14:solidFill>
                </w14:textFill>
              </w:rPr>
              <w:t xml:space="preserve"> </w:t>
            </w:r>
            <w:r>
              <w:rPr>
                <w:color w:val="000000" w:themeColor="text1"/>
                <w:kern w:val="0"/>
                <w:sz w:val="18"/>
                <w:szCs w:val="18"/>
                <w14:textFill>
                  <w14:solidFill>
                    <w14:schemeClr w14:val="tx1"/>
                  </w14:solidFill>
                </w14:textFill>
              </w:rPr>
              <w:t>河</w:t>
            </w:r>
          </w:p>
        </w:tc>
        <w:tc>
          <w:tcPr>
            <w:tcW w:w="339"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淮河</w:t>
            </w:r>
          </w:p>
        </w:tc>
        <w:tc>
          <w:tcPr>
            <w:tcW w:w="1192"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淮河</w:t>
            </w:r>
          </w:p>
        </w:tc>
        <w:tc>
          <w:tcPr>
            <w:tcW w:w="51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79</w:t>
            </w:r>
          </w:p>
        </w:tc>
        <w:tc>
          <w:tcPr>
            <w:tcW w:w="757"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12361</w:t>
            </w:r>
          </w:p>
        </w:tc>
        <w:tc>
          <w:tcPr>
            <w:tcW w:w="125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霍邱县</w:t>
            </w:r>
          </w:p>
        </w:tc>
        <w:tc>
          <w:tcPr>
            <w:tcW w:w="590"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干流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史河</w:t>
            </w:r>
          </w:p>
        </w:tc>
        <w:tc>
          <w:tcPr>
            <w:tcW w:w="1192"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史河</w:t>
            </w:r>
          </w:p>
        </w:tc>
        <w:tc>
          <w:tcPr>
            <w:tcW w:w="51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120</w:t>
            </w:r>
          </w:p>
        </w:tc>
        <w:tc>
          <w:tcPr>
            <w:tcW w:w="757"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2685</w:t>
            </w:r>
          </w:p>
        </w:tc>
        <w:tc>
          <w:tcPr>
            <w:tcW w:w="125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金寨县、叶集区</w:t>
            </w:r>
          </w:p>
        </w:tc>
        <w:tc>
          <w:tcPr>
            <w:tcW w:w="590"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pPr>
              <w:widowControl/>
              <w:spacing w:line="240" w:lineRule="exact"/>
              <w:jc w:val="center"/>
              <w:rPr>
                <w:color w:val="000000" w:themeColor="text1"/>
                <w:kern w:val="0"/>
                <w:sz w:val="18"/>
                <w:szCs w:val="18"/>
                <w14:textFill>
                  <w14:solidFill>
                    <w14:schemeClr w14:val="tx1"/>
                  </w14:solidFill>
                </w14:textFill>
              </w:rPr>
            </w:pPr>
          </w:p>
        </w:tc>
        <w:tc>
          <w:tcPr>
            <w:tcW w:w="339" w:type="pct"/>
            <w:vMerge w:val="restar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淠河</w:t>
            </w:r>
          </w:p>
        </w:tc>
        <w:tc>
          <w:tcPr>
            <w:tcW w:w="1192"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东淠河</w:t>
            </w:r>
          </w:p>
        </w:tc>
        <w:tc>
          <w:tcPr>
            <w:tcW w:w="515"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103</w:t>
            </w:r>
          </w:p>
        </w:tc>
        <w:tc>
          <w:tcPr>
            <w:tcW w:w="757"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2697</w:t>
            </w:r>
          </w:p>
        </w:tc>
        <w:tc>
          <w:tcPr>
            <w:tcW w:w="1255"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霍山县、</w:t>
            </w:r>
            <w:r>
              <w:rPr>
                <w:rFonts w:hint="eastAsia"/>
                <w:color w:val="000000" w:themeColor="text1"/>
                <w:kern w:val="0"/>
                <w:sz w:val="18"/>
                <w:szCs w:val="18"/>
                <w14:textFill>
                  <w14:solidFill>
                    <w14:schemeClr w14:val="tx1"/>
                  </w14:solidFill>
                </w14:textFill>
              </w:rPr>
              <w:t>裕安区</w:t>
            </w:r>
          </w:p>
        </w:tc>
        <w:tc>
          <w:tcPr>
            <w:tcW w:w="590"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二级支流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pPr>
              <w:widowControl/>
              <w:spacing w:line="240" w:lineRule="exact"/>
              <w:jc w:val="center"/>
              <w:rPr>
                <w:color w:val="000000" w:themeColor="text1"/>
                <w:kern w:val="0"/>
                <w:sz w:val="18"/>
                <w:szCs w:val="18"/>
                <w14:textFill>
                  <w14:solidFill>
                    <w14:schemeClr w14:val="tx1"/>
                  </w14:solidFill>
                </w14:textFill>
              </w:rPr>
            </w:pPr>
          </w:p>
        </w:tc>
        <w:tc>
          <w:tcPr>
            <w:tcW w:w="339" w:type="pct"/>
            <w:vMerge w:val="continue"/>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p>
        </w:tc>
        <w:tc>
          <w:tcPr>
            <w:tcW w:w="1192"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西淠河</w:t>
            </w:r>
          </w:p>
        </w:tc>
        <w:tc>
          <w:tcPr>
            <w:tcW w:w="515"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68</w:t>
            </w:r>
          </w:p>
        </w:tc>
        <w:tc>
          <w:tcPr>
            <w:tcW w:w="757"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1585</w:t>
            </w:r>
          </w:p>
        </w:tc>
        <w:tc>
          <w:tcPr>
            <w:tcW w:w="1255"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w:t>
            </w:r>
            <w:r>
              <w:rPr>
                <w:rFonts w:hint="eastAsia"/>
                <w:color w:val="000000" w:themeColor="text1"/>
                <w:kern w:val="0"/>
                <w:sz w:val="18"/>
                <w:szCs w:val="18"/>
                <w14:textFill>
                  <w14:solidFill>
                    <w14:schemeClr w14:val="tx1"/>
                  </w14:solidFill>
                </w14:textFill>
              </w:rPr>
              <w:t>裕安区</w:t>
            </w:r>
          </w:p>
        </w:tc>
        <w:tc>
          <w:tcPr>
            <w:tcW w:w="590"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二级支流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52" w:type="pct"/>
            <w:vMerge w:val="continue"/>
            <w:vAlign w:val="center"/>
          </w:tcPr>
          <w:p>
            <w:pPr>
              <w:widowControl/>
              <w:spacing w:line="240" w:lineRule="exact"/>
              <w:jc w:val="center"/>
              <w:rPr>
                <w:color w:val="000000" w:themeColor="text1"/>
                <w:kern w:val="0"/>
                <w:sz w:val="18"/>
                <w:szCs w:val="18"/>
                <w14:textFill>
                  <w14:solidFill>
                    <w14:schemeClr w14:val="tx1"/>
                  </w14:solidFill>
                </w14:textFill>
              </w:rPr>
            </w:pPr>
          </w:p>
        </w:tc>
        <w:tc>
          <w:tcPr>
            <w:tcW w:w="339" w:type="pct"/>
            <w:vMerge w:val="continue"/>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p>
        </w:tc>
        <w:tc>
          <w:tcPr>
            <w:tcW w:w="1192"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淠河</w:t>
            </w:r>
          </w:p>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（包括东、西淠河）</w:t>
            </w:r>
          </w:p>
        </w:tc>
        <w:tc>
          <w:tcPr>
            <w:tcW w:w="515"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253</w:t>
            </w:r>
          </w:p>
        </w:tc>
        <w:tc>
          <w:tcPr>
            <w:tcW w:w="757"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5569.4</w:t>
            </w:r>
          </w:p>
        </w:tc>
        <w:tc>
          <w:tcPr>
            <w:tcW w:w="1255"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金寨县、霍山县、金安区、裕安区、霍邱县</w:t>
            </w:r>
          </w:p>
        </w:tc>
        <w:tc>
          <w:tcPr>
            <w:tcW w:w="590" w:type="pct"/>
            <w:shd w:val="clear" w:color="auto" w:fill="auto"/>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淮河</w:t>
            </w:r>
          </w:p>
        </w:tc>
        <w:tc>
          <w:tcPr>
            <w:tcW w:w="1192"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汲河</w:t>
            </w:r>
          </w:p>
        </w:tc>
        <w:tc>
          <w:tcPr>
            <w:tcW w:w="51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160</w:t>
            </w:r>
          </w:p>
        </w:tc>
        <w:tc>
          <w:tcPr>
            <w:tcW w:w="757"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2200</w:t>
            </w:r>
          </w:p>
        </w:tc>
        <w:tc>
          <w:tcPr>
            <w:tcW w:w="125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霍邱县、金寨县、裕安区</w:t>
            </w:r>
          </w:p>
        </w:tc>
        <w:tc>
          <w:tcPr>
            <w:tcW w:w="590"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淮河</w:t>
            </w:r>
          </w:p>
        </w:tc>
        <w:tc>
          <w:tcPr>
            <w:tcW w:w="1192"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沣河</w:t>
            </w:r>
          </w:p>
        </w:tc>
        <w:tc>
          <w:tcPr>
            <w:tcW w:w="51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75</w:t>
            </w:r>
          </w:p>
        </w:tc>
        <w:tc>
          <w:tcPr>
            <w:tcW w:w="757"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1750</w:t>
            </w:r>
          </w:p>
        </w:tc>
        <w:tc>
          <w:tcPr>
            <w:tcW w:w="125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叶集区、霍邱县</w:t>
            </w:r>
          </w:p>
        </w:tc>
        <w:tc>
          <w:tcPr>
            <w:tcW w:w="590"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一级支流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restar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长</w:t>
            </w:r>
          </w:p>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江</w:t>
            </w:r>
          </w:p>
        </w:tc>
        <w:tc>
          <w:tcPr>
            <w:tcW w:w="339"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巢湖</w:t>
            </w:r>
          </w:p>
        </w:tc>
        <w:tc>
          <w:tcPr>
            <w:tcW w:w="1192"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杭埠河</w:t>
            </w:r>
          </w:p>
        </w:tc>
        <w:tc>
          <w:tcPr>
            <w:tcW w:w="51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97.17</w:t>
            </w:r>
          </w:p>
        </w:tc>
        <w:tc>
          <w:tcPr>
            <w:tcW w:w="757"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1587.5</w:t>
            </w:r>
          </w:p>
        </w:tc>
        <w:tc>
          <w:tcPr>
            <w:tcW w:w="125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舒城县</w:t>
            </w:r>
          </w:p>
        </w:tc>
        <w:tc>
          <w:tcPr>
            <w:tcW w:w="590"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支流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pct"/>
            <w:vMerge w:val="continue"/>
            <w:vAlign w:val="center"/>
          </w:tcPr>
          <w:p>
            <w:pPr>
              <w:widowControl/>
              <w:spacing w:line="240" w:lineRule="exact"/>
              <w:jc w:val="center"/>
              <w:rPr>
                <w:color w:val="000000" w:themeColor="text1"/>
                <w:kern w:val="0"/>
                <w:sz w:val="18"/>
                <w:szCs w:val="18"/>
                <w14:textFill>
                  <w14:solidFill>
                    <w14:schemeClr w14:val="tx1"/>
                  </w14:solidFill>
                </w14:textFill>
              </w:rPr>
            </w:pPr>
          </w:p>
        </w:tc>
        <w:tc>
          <w:tcPr>
            <w:tcW w:w="339"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巢湖</w:t>
            </w:r>
          </w:p>
        </w:tc>
        <w:tc>
          <w:tcPr>
            <w:tcW w:w="1192"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丰乐河</w:t>
            </w:r>
          </w:p>
        </w:tc>
        <w:tc>
          <w:tcPr>
            <w:tcW w:w="51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112.45</w:t>
            </w:r>
          </w:p>
        </w:tc>
        <w:tc>
          <w:tcPr>
            <w:tcW w:w="757"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1354</w:t>
            </w:r>
          </w:p>
        </w:tc>
        <w:tc>
          <w:tcPr>
            <w:tcW w:w="1255"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金安区、舒城县</w:t>
            </w:r>
          </w:p>
        </w:tc>
        <w:tc>
          <w:tcPr>
            <w:tcW w:w="590" w:type="pct"/>
            <w:shd w:val="clear" w:color="auto" w:fill="auto"/>
            <w:noWrap/>
            <w:vAlign w:val="center"/>
          </w:tcPr>
          <w:p>
            <w:pPr>
              <w:widowControl/>
              <w:spacing w:line="240" w:lineRule="exac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支流</w:t>
            </w:r>
          </w:p>
        </w:tc>
      </w:tr>
    </w:tbl>
    <w:p>
      <w:pPr>
        <w:spacing w:line="360" w:lineRule="auto"/>
        <w:jc w:val="center"/>
        <w:rPr>
          <w:b/>
          <w:sz w:val="24"/>
          <w:szCs w:val="24"/>
        </w:rPr>
      </w:pPr>
      <w:r>
        <w:rPr>
          <w:b/>
          <w:sz w:val="24"/>
          <w:szCs w:val="24"/>
        </w:rPr>
        <w:t>表1.1.2  六安市主要湖泊基本情况一览表</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264"/>
        <w:gridCol w:w="891"/>
        <w:gridCol w:w="1167"/>
        <w:gridCol w:w="986"/>
        <w:gridCol w:w="1049"/>
        <w:gridCol w:w="134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shd w:val="clear" w:color="auto" w:fill="auto"/>
            <w:noWrap/>
            <w:vAlign w:val="center"/>
          </w:tcPr>
          <w:p>
            <w:pPr>
              <w:widowControl/>
              <w:jc w:val="center"/>
              <w:rPr>
                <w:kern w:val="0"/>
                <w:sz w:val="18"/>
                <w:szCs w:val="18"/>
              </w:rPr>
            </w:pPr>
            <w:r>
              <w:rPr>
                <w:kern w:val="0"/>
                <w:sz w:val="18"/>
                <w:szCs w:val="18"/>
              </w:rPr>
              <w:t>流域</w:t>
            </w:r>
          </w:p>
        </w:tc>
        <w:tc>
          <w:tcPr>
            <w:tcW w:w="749" w:type="pct"/>
            <w:shd w:val="clear" w:color="auto" w:fill="auto"/>
            <w:noWrap/>
            <w:vAlign w:val="center"/>
          </w:tcPr>
          <w:p>
            <w:pPr>
              <w:widowControl/>
              <w:jc w:val="center"/>
              <w:rPr>
                <w:kern w:val="0"/>
                <w:sz w:val="18"/>
                <w:szCs w:val="18"/>
              </w:rPr>
            </w:pPr>
            <w:r>
              <w:rPr>
                <w:kern w:val="0"/>
                <w:sz w:val="18"/>
                <w:szCs w:val="18"/>
              </w:rPr>
              <w:t>湖泊名称</w:t>
            </w:r>
          </w:p>
        </w:tc>
        <w:tc>
          <w:tcPr>
            <w:tcW w:w="530" w:type="pct"/>
            <w:shd w:val="clear" w:color="auto" w:fill="auto"/>
            <w:vAlign w:val="center"/>
          </w:tcPr>
          <w:p>
            <w:pPr>
              <w:widowControl/>
              <w:jc w:val="center"/>
              <w:rPr>
                <w:kern w:val="0"/>
                <w:sz w:val="18"/>
                <w:szCs w:val="18"/>
              </w:rPr>
            </w:pPr>
            <w:r>
              <w:rPr>
                <w:kern w:val="0"/>
                <w:sz w:val="18"/>
                <w:szCs w:val="18"/>
              </w:rPr>
              <w:t>位置</w:t>
            </w:r>
          </w:p>
        </w:tc>
        <w:tc>
          <w:tcPr>
            <w:tcW w:w="691" w:type="pct"/>
            <w:vAlign w:val="center"/>
          </w:tcPr>
          <w:p>
            <w:pPr>
              <w:widowControl/>
              <w:jc w:val="center"/>
              <w:rPr>
                <w:kern w:val="0"/>
                <w:sz w:val="18"/>
                <w:szCs w:val="18"/>
              </w:rPr>
            </w:pPr>
            <w:r>
              <w:rPr>
                <w:kern w:val="0"/>
                <w:sz w:val="18"/>
                <w:szCs w:val="18"/>
              </w:rPr>
              <w:t>正常蓄水位(m)</w:t>
            </w:r>
          </w:p>
        </w:tc>
        <w:tc>
          <w:tcPr>
            <w:tcW w:w="585" w:type="pct"/>
            <w:vAlign w:val="center"/>
          </w:tcPr>
          <w:p>
            <w:pPr>
              <w:widowControl/>
              <w:jc w:val="center"/>
              <w:rPr>
                <w:kern w:val="0"/>
                <w:sz w:val="18"/>
                <w:szCs w:val="18"/>
              </w:rPr>
            </w:pPr>
            <w:r>
              <w:rPr>
                <w:kern w:val="0"/>
                <w:sz w:val="18"/>
                <w:szCs w:val="18"/>
              </w:rPr>
              <w:t>水面面积(km</w:t>
            </w:r>
            <w:r>
              <w:rPr>
                <w:kern w:val="0"/>
                <w:sz w:val="18"/>
                <w:szCs w:val="18"/>
                <w:vertAlign w:val="superscript"/>
              </w:rPr>
              <w:t>2</w:t>
            </w:r>
            <w:r>
              <w:rPr>
                <w:kern w:val="0"/>
                <w:sz w:val="18"/>
                <w:szCs w:val="18"/>
              </w:rPr>
              <w:t>)</w:t>
            </w:r>
          </w:p>
        </w:tc>
        <w:tc>
          <w:tcPr>
            <w:tcW w:w="622" w:type="pct"/>
            <w:shd w:val="clear" w:color="auto" w:fill="auto"/>
            <w:vAlign w:val="center"/>
          </w:tcPr>
          <w:p>
            <w:pPr>
              <w:widowControl/>
              <w:jc w:val="center"/>
              <w:rPr>
                <w:kern w:val="0"/>
                <w:sz w:val="18"/>
                <w:szCs w:val="18"/>
              </w:rPr>
            </w:pPr>
            <w:r>
              <w:rPr>
                <w:kern w:val="0"/>
                <w:sz w:val="18"/>
                <w:szCs w:val="18"/>
              </w:rPr>
              <w:t>容积(10</w:t>
            </w:r>
            <w:r>
              <w:rPr>
                <w:kern w:val="0"/>
                <w:sz w:val="18"/>
                <w:szCs w:val="18"/>
                <w:vertAlign w:val="superscript"/>
              </w:rPr>
              <w:t>8</w:t>
            </w:r>
            <w:r>
              <w:rPr>
                <w:kern w:val="0"/>
                <w:sz w:val="18"/>
                <w:szCs w:val="18"/>
              </w:rPr>
              <w:t>m</w:t>
            </w:r>
            <w:r>
              <w:rPr>
                <w:kern w:val="0"/>
                <w:sz w:val="18"/>
                <w:szCs w:val="18"/>
                <w:vertAlign w:val="superscript"/>
              </w:rPr>
              <w:t>3</w:t>
            </w:r>
            <w:r>
              <w:rPr>
                <w:kern w:val="0"/>
                <w:sz w:val="18"/>
                <w:szCs w:val="18"/>
              </w:rPr>
              <w:t>)</w:t>
            </w:r>
          </w:p>
        </w:tc>
        <w:tc>
          <w:tcPr>
            <w:tcW w:w="762" w:type="pct"/>
            <w:shd w:val="clear" w:color="auto" w:fill="auto"/>
            <w:noWrap/>
            <w:vAlign w:val="center"/>
          </w:tcPr>
          <w:p>
            <w:pPr>
              <w:widowControl/>
              <w:jc w:val="center"/>
              <w:rPr>
                <w:kern w:val="0"/>
                <w:sz w:val="18"/>
                <w:szCs w:val="18"/>
              </w:rPr>
            </w:pPr>
            <w:r>
              <w:rPr>
                <w:kern w:val="0"/>
                <w:sz w:val="18"/>
                <w:szCs w:val="18"/>
              </w:rPr>
              <w:t>集水面积(km</w:t>
            </w:r>
            <w:r>
              <w:rPr>
                <w:kern w:val="0"/>
                <w:sz w:val="18"/>
                <w:szCs w:val="18"/>
                <w:vertAlign w:val="superscript"/>
              </w:rPr>
              <w:t>2</w:t>
            </w:r>
            <w:r>
              <w:rPr>
                <w:kern w:val="0"/>
                <w:sz w:val="18"/>
                <w:szCs w:val="18"/>
              </w:rPr>
              <w:t>)</w:t>
            </w:r>
          </w:p>
        </w:tc>
        <w:tc>
          <w:tcPr>
            <w:tcW w:w="531" w:type="pct"/>
            <w:shd w:val="clear" w:color="auto" w:fill="auto"/>
            <w:noWrap/>
            <w:vAlign w:val="center"/>
          </w:tcPr>
          <w:p>
            <w:pPr>
              <w:widowControl/>
              <w:jc w:val="center"/>
              <w:rPr>
                <w:kern w:val="0"/>
                <w:sz w:val="18"/>
                <w:szCs w:val="18"/>
              </w:rPr>
            </w:pPr>
            <w:r>
              <w:rPr>
                <w:kern w:val="0"/>
                <w:sz w:val="18"/>
                <w:szCs w:val="18"/>
              </w:rPr>
              <w:t>所属河流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vMerge w:val="restart"/>
            <w:shd w:val="clear" w:color="auto" w:fill="auto"/>
            <w:noWrap/>
            <w:vAlign w:val="center"/>
          </w:tcPr>
          <w:p>
            <w:pPr>
              <w:widowControl/>
              <w:jc w:val="center"/>
              <w:rPr>
                <w:kern w:val="0"/>
                <w:sz w:val="18"/>
                <w:szCs w:val="18"/>
              </w:rPr>
            </w:pPr>
            <w:r>
              <w:rPr>
                <w:kern w:val="0"/>
                <w:sz w:val="18"/>
                <w:szCs w:val="18"/>
              </w:rPr>
              <w:t>淮河</w:t>
            </w:r>
          </w:p>
        </w:tc>
        <w:tc>
          <w:tcPr>
            <w:tcW w:w="749" w:type="pct"/>
            <w:shd w:val="clear" w:color="auto" w:fill="auto"/>
            <w:noWrap/>
            <w:vAlign w:val="center"/>
          </w:tcPr>
          <w:p>
            <w:pPr>
              <w:widowControl/>
              <w:jc w:val="center"/>
              <w:rPr>
                <w:kern w:val="0"/>
                <w:sz w:val="18"/>
                <w:szCs w:val="18"/>
              </w:rPr>
            </w:pPr>
            <w:r>
              <w:rPr>
                <w:kern w:val="0"/>
                <w:sz w:val="18"/>
                <w:szCs w:val="18"/>
              </w:rPr>
              <w:t>城西湖</w:t>
            </w:r>
          </w:p>
        </w:tc>
        <w:tc>
          <w:tcPr>
            <w:tcW w:w="530" w:type="pct"/>
            <w:shd w:val="clear" w:color="auto" w:fill="auto"/>
            <w:noWrap/>
            <w:vAlign w:val="center"/>
          </w:tcPr>
          <w:p>
            <w:pPr>
              <w:widowControl/>
              <w:jc w:val="center"/>
              <w:rPr>
                <w:kern w:val="0"/>
                <w:sz w:val="18"/>
                <w:szCs w:val="18"/>
              </w:rPr>
            </w:pPr>
            <w:r>
              <w:rPr>
                <w:kern w:val="0"/>
                <w:sz w:val="18"/>
                <w:szCs w:val="18"/>
              </w:rPr>
              <w:t>霍邱县</w:t>
            </w:r>
          </w:p>
        </w:tc>
        <w:tc>
          <w:tcPr>
            <w:tcW w:w="691" w:type="pct"/>
            <w:vAlign w:val="center"/>
          </w:tcPr>
          <w:p>
            <w:pPr>
              <w:widowControl/>
              <w:jc w:val="center"/>
              <w:rPr>
                <w:kern w:val="0"/>
                <w:sz w:val="18"/>
                <w:szCs w:val="18"/>
              </w:rPr>
            </w:pPr>
            <w:r>
              <w:rPr>
                <w:kern w:val="0"/>
                <w:sz w:val="18"/>
                <w:szCs w:val="18"/>
              </w:rPr>
              <w:t>19.0</w:t>
            </w:r>
          </w:p>
        </w:tc>
        <w:tc>
          <w:tcPr>
            <w:tcW w:w="585" w:type="pct"/>
            <w:vAlign w:val="center"/>
          </w:tcPr>
          <w:p>
            <w:pPr>
              <w:widowControl/>
              <w:jc w:val="center"/>
              <w:rPr>
                <w:kern w:val="0"/>
                <w:sz w:val="18"/>
                <w:szCs w:val="18"/>
              </w:rPr>
            </w:pPr>
            <w:r>
              <w:rPr>
                <w:kern w:val="0"/>
                <w:sz w:val="18"/>
                <w:szCs w:val="18"/>
              </w:rPr>
              <w:t>146</w:t>
            </w:r>
          </w:p>
        </w:tc>
        <w:tc>
          <w:tcPr>
            <w:tcW w:w="622" w:type="pct"/>
            <w:shd w:val="clear" w:color="auto" w:fill="auto"/>
            <w:noWrap/>
            <w:vAlign w:val="center"/>
          </w:tcPr>
          <w:p>
            <w:pPr>
              <w:widowControl/>
              <w:jc w:val="center"/>
              <w:rPr>
                <w:kern w:val="0"/>
                <w:sz w:val="18"/>
                <w:szCs w:val="18"/>
              </w:rPr>
            </w:pPr>
            <w:r>
              <w:rPr>
                <w:kern w:val="0"/>
                <w:sz w:val="18"/>
                <w:szCs w:val="18"/>
              </w:rPr>
              <w:t>0.90</w:t>
            </w:r>
          </w:p>
        </w:tc>
        <w:tc>
          <w:tcPr>
            <w:tcW w:w="762" w:type="pct"/>
            <w:shd w:val="clear" w:color="auto" w:fill="auto"/>
            <w:noWrap/>
            <w:vAlign w:val="center"/>
          </w:tcPr>
          <w:p>
            <w:pPr>
              <w:widowControl/>
              <w:jc w:val="center"/>
              <w:rPr>
                <w:kern w:val="0"/>
                <w:sz w:val="18"/>
                <w:szCs w:val="18"/>
              </w:rPr>
            </w:pPr>
            <w:r>
              <w:rPr>
                <w:kern w:val="0"/>
                <w:sz w:val="18"/>
                <w:szCs w:val="18"/>
              </w:rPr>
              <w:t>1774</w:t>
            </w:r>
          </w:p>
        </w:tc>
        <w:tc>
          <w:tcPr>
            <w:tcW w:w="531" w:type="pct"/>
            <w:shd w:val="clear" w:color="auto" w:fill="auto"/>
            <w:noWrap/>
            <w:vAlign w:val="center"/>
          </w:tcPr>
          <w:p>
            <w:pPr>
              <w:widowControl/>
              <w:jc w:val="center"/>
              <w:rPr>
                <w:kern w:val="0"/>
                <w:sz w:val="18"/>
                <w:szCs w:val="18"/>
              </w:rPr>
            </w:pPr>
            <w:r>
              <w:rPr>
                <w:kern w:val="0"/>
                <w:sz w:val="18"/>
                <w:szCs w:val="18"/>
              </w:rPr>
              <w:t>沣河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0" w:type="pct"/>
            <w:vMerge w:val="continue"/>
            <w:shd w:val="clear" w:color="auto" w:fill="auto"/>
            <w:vAlign w:val="center"/>
          </w:tcPr>
          <w:p>
            <w:pPr>
              <w:widowControl/>
              <w:jc w:val="center"/>
              <w:rPr>
                <w:kern w:val="0"/>
                <w:sz w:val="18"/>
                <w:szCs w:val="18"/>
              </w:rPr>
            </w:pPr>
          </w:p>
        </w:tc>
        <w:tc>
          <w:tcPr>
            <w:tcW w:w="749" w:type="pct"/>
            <w:shd w:val="clear" w:color="auto" w:fill="auto"/>
            <w:noWrap/>
            <w:vAlign w:val="center"/>
          </w:tcPr>
          <w:p>
            <w:pPr>
              <w:widowControl/>
              <w:jc w:val="center"/>
              <w:rPr>
                <w:kern w:val="0"/>
                <w:sz w:val="18"/>
                <w:szCs w:val="18"/>
              </w:rPr>
            </w:pPr>
            <w:r>
              <w:rPr>
                <w:kern w:val="0"/>
                <w:sz w:val="18"/>
                <w:szCs w:val="18"/>
              </w:rPr>
              <w:t>城东湖</w:t>
            </w:r>
          </w:p>
        </w:tc>
        <w:tc>
          <w:tcPr>
            <w:tcW w:w="530" w:type="pct"/>
            <w:shd w:val="clear" w:color="auto" w:fill="auto"/>
            <w:noWrap/>
            <w:vAlign w:val="center"/>
          </w:tcPr>
          <w:p>
            <w:pPr>
              <w:widowControl/>
              <w:jc w:val="center"/>
              <w:rPr>
                <w:kern w:val="0"/>
                <w:sz w:val="18"/>
                <w:szCs w:val="18"/>
              </w:rPr>
            </w:pPr>
            <w:r>
              <w:rPr>
                <w:kern w:val="0"/>
                <w:sz w:val="18"/>
                <w:szCs w:val="18"/>
              </w:rPr>
              <w:t>霍邱县</w:t>
            </w:r>
          </w:p>
        </w:tc>
        <w:tc>
          <w:tcPr>
            <w:tcW w:w="691" w:type="pct"/>
            <w:vAlign w:val="center"/>
          </w:tcPr>
          <w:p>
            <w:pPr>
              <w:widowControl/>
              <w:jc w:val="center"/>
              <w:rPr>
                <w:kern w:val="0"/>
                <w:sz w:val="18"/>
                <w:szCs w:val="18"/>
              </w:rPr>
            </w:pPr>
            <w:r>
              <w:rPr>
                <w:kern w:val="0"/>
                <w:sz w:val="18"/>
                <w:szCs w:val="18"/>
              </w:rPr>
              <w:t>20.0</w:t>
            </w:r>
          </w:p>
        </w:tc>
        <w:tc>
          <w:tcPr>
            <w:tcW w:w="585" w:type="pct"/>
            <w:vAlign w:val="center"/>
          </w:tcPr>
          <w:p>
            <w:pPr>
              <w:widowControl/>
              <w:jc w:val="center"/>
              <w:rPr>
                <w:kern w:val="0"/>
                <w:sz w:val="18"/>
                <w:szCs w:val="18"/>
              </w:rPr>
            </w:pPr>
            <w:r>
              <w:rPr>
                <w:kern w:val="0"/>
                <w:sz w:val="18"/>
                <w:szCs w:val="18"/>
              </w:rPr>
              <w:t>140</w:t>
            </w:r>
          </w:p>
        </w:tc>
        <w:tc>
          <w:tcPr>
            <w:tcW w:w="622" w:type="pct"/>
            <w:shd w:val="clear" w:color="auto" w:fill="auto"/>
            <w:noWrap/>
            <w:vAlign w:val="center"/>
          </w:tcPr>
          <w:p>
            <w:pPr>
              <w:widowControl/>
              <w:jc w:val="center"/>
              <w:rPr>
                <w:kern w:val="0"/>
                <w:sz w:val="18"/>
                <w:szCs w:val="18"/>
              </w:rPr>
            </w:pPr>
            <w:r>
              <w:rPr>
                <w:kern w:val="0"/>
                <w:sz w:val="18"/>
                <w:szCs w:val="18"/>
              </w:rPr>
              <w:t>2.80</w:t>
            </w:r>
          </w:p>
        </w:tc>
        <w:tc>
          <w:tcPr>
            <w:tcW w:w="762" w:type="pct"/>
            <w:shd w:val="clear" w:color="auto" w:fill="auto"/>
            <w:noWrap/>
            <w:vAlign w:val="center"/>
          </w:tcPr>
          <w:p>
            <w:pPr>
              <w:widowControl/>
              <w:jc w:val="center"/>
              <w:rPr>
                <w:kern w:val="0"/>
                <w:sz w:val="18"/>
                <w:szCs w:val="18"/>
              </w:rPr>
            </w:pPr>
            <w:r>
              <w:rPr>
                <w:kern w:val="0"/>
                <w:sz w:val="18"/>
                <w:szCs w:val="18"/>
              </w:rPr>
              <w:t>2170</w:t>
            </w:r>
          </w:p>
        </w:tc>
        <w:tc>
          <w:tcPr>
            <w:tcW w:w="531" w:type="pct"/>
            <w:shd w:val="clear" w:color="auto" w:fill="auto"/>
            <w:noWrap/>
            <w:vAlign w:val="center"/>
          </w:tcPr>
          <w:p>
            <w:pPr>
              <w:widowControl/>
              <w:jc w:val="center"/>
              <w:rPr>
                <w:kern w:val="0"/>
                <w:sz w:val="18"/>
                <w:szCs w:val="18"/>
              </w:rPr>
            </w:pPr>
            <w:r>
              <w:rPr>
                <w:kern w:val="0"/>
                <w:sz w:val="18"/>
                <w:szCs w:val="18"/>
              </w:rPr>
              <w:t>汲河</w:t>
            </w:r>
          </w:p>
        </w:tc>
      </w:tr>
    </w:tbl>
    <w:p/>
    <w:p>
      <w:pPr>
        <w:keepNext/>
        <w:keepLines/>
        <w:adjustRightInd w:val="0"/>
        <w:snapToGrid w:val="0"/>
        <w:spacing w:before="312" w:beforeLines="100" w:after="312" w:afterLines="100" w:line="360" w:lineRule="auto"/>
        <w:jc w:val="center"/>
        <w:outlineLvl w:val="1"/>
        <w:rPr>
          <w:b/>
          <w:bCs/>
          <w:sz w:val="32"/>
          <w:szCs w:val="36"/>
        </w:rPr>
      </w:pPr>
      <w:bookmarkStart w:id="37" w:name="_Toc28831"/>
      <w:bookmarkStart w:id="38" w:name="_Toc11650"/>
      <w:bookmarkStart w:id="39" w:name="_Toc11159690"/>
      <w:bookmarkStart w:id="40" w:name="_Toc95382436"/>
      <w:bookmarkStart w:id="41" w:name="_Toc413249254"/>
      <w:bookmarkStart w:id="42" w:name="_Toc8066"/>
      <w:bookmarkStart w:id="43" w:name="_Toc3419"/>
      <w:bookmarkStart w:id="44" w:name="_Toc12073"/>
      <w:bookmarkStart w:id="45" w:name="_Toc1902"/>
      <w:bookmarkStart w:id="46" w:name="_Toc23976"/>
      <w:r>
        <w:rPr>
          <w:b/>
          <w:bCs/>
          <w:sz w:val="32"/>
          <w:szCs w:val="36"/>
        </w:rPr>
        <w:t>第二节 规划范围及水平年</w:t>
      </w:r>
      <w:bookmarkEnd w:id="37"/>
      <w:bookmarkEnd w:id="38"/>
      <w:bookmarkEnd w:id="39"/>
      <w:bookmarkEnd w:id="40"/>
      <w:bookmarkEnd w:id="41"/>
      <w:bookmarkEnd w:id="42"/>
      <w:bookmarkEnd w:id="43"/>
      <w:bookmarkEnd w:id="44"/>
      <w:bookmarkEnd w:id="45"/>
      <w:bookmarkEnd w:id="46"/>
    </w:p>
    <w:p>
      <w:pPr>
        <w:pStyle w:val="4"/>
        <w:spacing w:before="156" w:beforeLines="50" w:after="156" w:afterLines="50" w:line="360" w:lineRule="auto"/>
        <w:rPr>
          <w:sz w:val="28"/>
        </w:rPr>
      </w:pPr>
      <w:bookmarkStart w:id="47" w:name="_Toc95382437"/>
      <w:bookmarkStart w:id="48" w:name="_Toc11159691"/>
      <w:bookmarkStart w:id="49" w:name="_Toc413249255"/>
      <w:r>
        <w:rPr>
          <w:sz w:val="28"/>
        </w:rPr>
        <w:t>一、规划范围</w:t>
      </w:r>
      <w:bookmarkEnd w:id="47"/>
      <w:bookmarkEnd w:id="48"/>
      <w:bookmarkEnd w:id="49"/>
    </w:p>
    <w:p>
      <w:pPr>
        <w:suppressAutoHyphens/>
        <w:autoSpaceDE w:val="0"/>
        <w:autoSpaceDN w:val="0"/>
        <w:adjustRightInd w:val="0"/>
        <w:snapToGrid w:val="0"/>
        <w:spacing w:line="360" w:lineRule="auto"/>
        <w:ind w:firstLine="480" w:firstLineChars="200"/>
        <w:rPr>
          <w:kern w:val="1"/>
          <w:sz w:val="24"/>
          <w:szCs w:val="24"/>
        </w:rPr>
      </w:pPr>
      <w:bookmarkStart w:id="50" w:name="_Toc413249256"/>
      <w:r>
        <w:rPr>
          <w:kern w:val="1"/>
          <w:sz w:val="24"/>
          <w:szCs w:val="24"/>
        </w:rPr>
        <w:t>规划范围为六安市全境，现辖霍邱县、舒城县、金寨县、霍山县4县和金安区、裕安区、叶集区3区，全市国土面积15451 km</w:t>
      </w:r>
      <w:r>
        <w:rPr>
          <w:kern w:val="1"/>
          <w:sz w:val="24"/>
          <w:szCs w:val="24"/>
          <w:vertAlign w:val="superscript"/>
        </w:rPr>
        <w:t>2</w:t>
      </w:r>
      <w:r>
        <w:rPr>
          <w:rFonts w:hint="eastAsia"/>
          <w:kern w:val="1"/>
          <w:sz w:val="24"/>
          <w:szCs w:val="24"/>
        </w:rPr>
        <w:t>。</w:t>
      </w:r>
    </w:p>
    <w:p>
      <w:pPr>
        <w:pStyle w:val="4"/>
        <w:spacing w:before="156" w:beforeLines="50" w:after="156" w:afterLines="50" w:line="360" w:lineRule="auto"/>
        <w:rPr>
          <w:sz w:val="28"/>
        </w:rPr>
      </w:pPr>
      <w:bookmarkStart w:id="51" w:name="_Toc95382438"/>
      <w:bookmarkStart w:id="52" w:name="_Toc11159692"/>
      <w:r>
        <w:rPr>
          <w:sz w:val="28"/>
        </w:rPr>
        <w:t>二、规划水平年</w:t>
      </w:r>
      <w:bookmarkEnd w:id="51"/>
      <w:bookmarkEnd w:id="52"/>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为了与其他相关规划的协调性，规划水平年定为：现状水平年为2020年，近期规划水平年为2025年，远期规划水平年为2030年。</w:t>
      </w:r>
    </w:p>
    <w:bookmarkEnd w:id="50"/>
    <w:p>
      <w:pPr>
        <w:keepNext/>
        <w:keepLines/>
        <w:adjustRightInd w:val="0"/>
        <w:snapToGrid w:val="0"/>
        <w:spacing w:before="312" w:beforeLines="100" w:after="312" w:afterLines="100" w:line="360" w:lineRule="auto"/>
        <w:jc w:val="center"/>
        <w:outlineLvl w:val="1"/>
        <w:rPr>
          <w:b/>
          <w:bCs/>
          <w:sz w:val="32"/>
          <w:szCs w:val="32"/>
        </w:rPr>
      </w:pPr>
      <w:bookmarkStart w:id="53" w:name="_Toc15336"/>
      <w:bookmarkStart w:id="54" w:name="_Toc21114"/>
      <w:bookmarkStart w:id="55" w:name="_Toc610"/>
      <w:bookmarkStart w:id="56" w:name="_Toc9963"/>
      <w:bookmarkStart w:id="57" w:name="_Toc26784"/>
      <w:bookmarkStart w:id="58" w:name="_Toc11159701"/>
      <w:bookmarkStart w:id="59" w:name="_Toc21400"/>
      <w:bookmarkStart w:id="60" w:name="_Toc95382439"/>
      <w:bookmarkStart w:id="61" w:name="_Toc7097680"/>
      <w:bookmarkStart w:id="62" w:name="_Toc6867"/>
      <w:r>
        <w:rPr>
          <w:b/>
          <w:bCs/>
          <w:sz w:val="32"/>
          <w:szCs w:val="32"/>
        </w:rPr>
        <w:t>第</w:t>
      </w:r>
      <w:r>
        <w:rPr>
          <w:rFonts w:hint="eastAsia"/>
          <w:b/>
          <w:bCs/>
          <w:sz w:val="32"/>
          <w:szCs w:val="32"/>
        </w:rPr>
        <w:t>三</w:t>
      </w:r>
      <w:r>
        <w:rPr>
          <w:b/>
          <w:bCs/>
          <w:sz w:val="32"/>
          <w:szCs w:val="32"/>
        </w:rPr>
        <w:t>节 规划分区</w:t>
      </w:r>
      <w:bookmarkEnd w:id="53"/>
      <w:bookmarkEnd w:id="54"/>
      <w:bookmarkEnd w:id="55"/>
      <w:bookmarkEnd w:id="56"/>
      <w:bookmarkEnd w:id="57"/>
      <w:bookmarkEnd w:id="58"/>
      <w:bookmarkEnd w:id="59"/>
      <w:bookmarkEnd w:id="60"/>
      <w:bookmarkEnd w:id="61"/>
      <w:bookmarkEnd w:id="62"/>
    </w:p>
    <w:p>
      <w:pPr>
        <w:pStyle w:val="4"/>
        <w:spacing w:before="156" w:beforeLines="50" w:after="156" w:afterLines="50" w:line="360" w:lineRule="auto"/>
        <w:rPr>
          <w:sz w:val="28"/>
        </w:rPr>
      </w:pPr>
      <w:bookmarkStart w:id="63" w:name="_Toc324432013"/>
      <w:bookmarkStart w:id="64" w:name="_Toc95382440"/>
      <w:bookmarkStart w:id="65" w:name="_Toc382472177"/>
      <w:r>
        <w:rPr>
          <w:sz w:val="28"/>
        </w:rPr>
        <w:t>一、水资源分区</w:t>
      </w:r>
      <w:bookmarkEnd w:id="63"/>
      <w:bookmarkEnd w:id="64"/>
      <w:bookmarkEnd w:id="65"/>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按水资源的流域属性和全国统一的水资源分区的有关规定，根据《全国水资源分区》及《安徽省水资源评价》，六安市划分为两个一级区：淮河流域、长江流域；两个二级区：淮河流域为淮河中游区、长江流域为湖口以下干流区；两个三级区：淮河流域为王蚌区间南岸（王家坝至蚌埠区间淮河以南区间）、长江流域为巢滁皖及沿江诸河（巢湖、滁河、皖河流域）；三个四级区：淮河流域为淠史河上游区、王蚌南岸沿淮区，长江流域为杭埠河区。各分区基本情况见表1.3.1。</w:t>
      </w:r>
    </w:p>
    <w:p>
      <w:pPr>
        <w:pStyle w:val="4"/>
        <w:spacing w:before="156" w:beforeLines="50" w:after="156" w:afterLines="50" w:line="360" w:lineRule="auto"/>
        <w:rPr>
          <w:sz w:val="28"/>
        </w:rPr>
      </w:pPr>
      <w:bookmarkStart w:id="66" w:name="_Toc382472178"/>
      <w:bookmarkStart w:id="67" w:name="_Toc324432014"/>
      <w:bookmarkStart w:id="68" w:name="_Toc95382441"/>
      <w:r>
        <w:rPr>
          <w:sz w:val="28"/>
        </w:rPr>
        <w:t>二、分区概况</w:t>
      </w:r>
      <w:bookmarkEnd w:id="66"/>
      <w:bookmarkEnd w:id="67"/>
      <w:bookmarkEnd w:id="68"/>
    </w:p>
    <w:p>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（一）淠史河上游区</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包括霍山县、金寨县、裕安区</w:t>
      </w:r>
      <w:r>
        <w:rPr>
          <w:rFonts w:hint="eastAsia"/>
          <w:kern w:val="1"/>
          <w:sz w:val="24"/>
          <w:szCs w:val="24"/>
        </w:rPr>
        <w:t>的</w:t>
      </w:r>
      <w:r>
        <w:rPr>
          <w:kern w:val="1"/>
          <w:sz w:val="24"/>
          <w:szCs w:val="24"/>
        </w:rPr>
        <w:t>部分面积，主要水系为淠河及史河水系。分区面积5903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w:t>
      </w:r>
      <w:r>
        <w:rPr>
          <w:kern w:val="1"/>
          <w:sz w:val="24"/>
          <w:szCs w:val="24"/>
        </w:rPr>
        <w:t>常住人口77.7万人。</w:t>
      </w:r>
    </w:p>
    <w:p>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（二）王蚌南岸沿淮区</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包括霍邱县、金寨县、金安区、裕安区和</w:t>
      </w:r>
      <w:r>
        <w:rPr>
          <w:rFonts w:hint="eastAsia"/>
          <w:kern w:val="1"/>
          <w:sz w:val="24"/>
          <w:szCs w:val="24"/>
        </w:rPr>
        <w:t>叶集区</w:t>
      </w:r>
      <w:r>
        <w:rPr>
          <w:kern w:val="1"/>
          <w:sz w:val="24"/>
          <w:szCs w:val="24"/>
        </w:rPr>
        <w:t>，主要水系有淠河、沣河、汲河、史河及东淝河水系。分区面积6458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年常住</w:t>
      </w:r>
      <w:r>
        <w:rPr>
          <w:kern w:val="1"/>
          <w:sz w:val="24"/>
          <w:szCs w:val="24"/>
        </w:rPr>
        <w:t>人口261.6万人。</w:t>
      </w:r>
    </w:p>
    <w:p>
      <w:pPr>
        <w:suppressAutoHyphens/>
        <w:autoSpaceDE w:val="0"/>
        <w:autoSpaceDN w:val="0"/>
        <w:adjustRightInd w:val="0"/>
        <w:snapToGrid w:val="0"/>
        <w:spacing w:line="360" w:lineRule="auto"/>
        <w:ind w:firstLine="480" w:firstLineChars="200"/>
        <w:rPr>
          <w:b/>
          <w:bCs/>
          <w:kern w:val="1"/>
          <w:sz w:val="24"/>
          <w:szCs w:val="24"/>
        </w:rPr>
      </w:pPr>
      <w:r>
        <w:rPr>
          <w:b/>
          <w:bCs/>
          <w:kern w:val="1"/>
          <w:sz w:val="24"/>
          <w:szCs w:val="24"/>
        </w:rPr>
        <w:t>（三）杭埠河区</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包括</w:t>
      </w:r>
      <w:r>
        <w:rPr>
          <w:rFonts w:hint="eastAsia"/>
          <w:kern w:val="1"/>
          <w:sz w:val="24"/>
          <w:szCs w:val="24"/>
        </w:rPr>
        <w:t>舒城县</w:t>
      </w:r>
      <w:r>
        <w:rPr>
          <w:kern w:val="1"/>
          <w:sz w:val="24"/>
          <w:szCs w:val="24"/>
        </w:rPr>
        <w:t>和金安区</w:t>
      </w:r>
      <w:r>
        <w:rPr>
          <w:rFonts w:hint="eastAsia"/>
          <w:kern w:val="1"/>
          <w:sz w:val="24"/>
          <w:szCs w:val="24"/>
        </w:rPr>
        <w:t>的部分面积</w:t>
      </w:r>
      <w:r>
        <w:rPr>
          <w:kern w:val="1"/>
          <w:sz w:val="24"/>
          <w:szCs w:val="24"/>
        </w:rPr>
        <w:t>，主要水系有杭埠河和丰乐河水系。分区面积3090 km</w:t>
      </w:r>
      <w:r>
        <w:rPr>
          <w:kern w:val="1"/>
          <w:sz w:val="24"/>
          <w:szCs w:val="24"/>
          <w:vertAlign w:val="superscript"/>
        </w:rPr>
        <w:t>2</w:t>
      </w:r>
      <w:r>
        <w:rPr>
          <w:kern w:val="1"/>
          <w:sz w:val="24"/>
          <w:szCs w:val="24"/>
        </w:rPr>
        <w:t>，</w:t>
      </w:r>
      <w:r>
        <w:rPr>
          <w:rFonts w:hint="eastAsia"/>
          <w:kern w:val="1"/>
          <w:sz w:val="24"/>
          <w:szCs w:val="24"/>
        </w:rPr>
        <w:t>现状2</w:t>
      </w:r>
      <w:r>
        <w:rPr>
          <w:kern w:val="1"/>
          <w:sz w:val="24"/>
          <w:szCs w:val="24"/>
        </w:rPr>
        <w:t>020</w:t>
      </w:r>
      <w:r>
        <w:rPr>
          <w:rFonts w:hint="eastAsia"/>
          <w:kern w:val="1"/>
          <w:sz w:val="24"/>
          <w:szCs w:val="24"/>
        </w:rPr>
        <w:t>年常住</w:t>
      </w:r>
      <w:r>
        <w:rPr>
          <w:kern w:val="1"/>
          <w:sz w:val="24"/>
          <w:szCs w:val="24"/>
        </w:rPr>
        <w:t>人口100.1万人。</w:t>
      </w: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uppressAutoHyphens/>
        <w:autoSpaceDE w:val="0"/>
        <w:autoSpaceDN w:val="0"/>
        <w:adjustRightInd w:val="0"/>
        <w:snapToGrid w:val="0"/>
        <w:spacing w:line="360" w:lineRule="auto"/>
        <w:ind w:firstLine="480" w:firstLineChars="200"/>
        <w:rPr>
          <w:kern w:val="1"/>
          <w:sz w:val="24"/>
          <w:szCs w:val="24"/>
        </w:rPr>
      </w:pPr>
    </w:p>
    <w:p>
      <w:pPr>
        <w:spacing w:line="360" w:lineRule="auto"/>
        <w:jc w:val="center"/>
        <w:rPr>
          <w:b/>
          <w:sz w:val="24"/>
          <w:szCs w:val="24"/>
        </w:rPr>
      </w:pPr>
      <w:r>
        <w:rPr>
          <w:rFonts w:hint="eastAsia"/>
          <w:b/>
          <w:sz w:val="24"/>
          <w:szCs w:val="24"/>
        </w:rPr>
        <w:t>表</w:t>
      </w:r>
      <w:r>
        <w:rPr>
          <w:b/>
          <w:sz w:val="24"/>
          <w:szCs w:val="24"/>
        </w:rPr>
        <w:t>1.3.1</w:t>
      </w:r>
      <w:r>
        <w:rPr>
          <w:rFonts w:hint="eastAsia"/>
          <w:b/>
          <w:sz w:val="24"/>
          <w:szCs w:val="24"/>
        </w:rPr>
        <w:t xml:space="preserve">  六安市水资源综合规划分区表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63"/>
        <w:gridCol w:w="1452"/>
        <w:gridCol w:w="1598"/>
        <w:gridCol w:w="1454"/>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shd w:val="clear" w:color="auto" w:fill="auto"/>
            <w:vAlign w:val="center"/>
          </w:tcPr>
          <w:p>
            <w:pPr>
              <w:widowControl/>
              <w:spacing w:line="280" w:lineRule="exact"/>
              <w:jc w:val="center"/>
              <w:rPr>
                <w:kern w:val="0"/>
                <w:sz w:val="18"/>
                <w:szCs w:val="18"/>
              </w:rPr>
            </w:pPr>
            <w:r>
              <w:rPr>
                <w:kern w:val="0"/>
                <w:sz w:val="18"/>
                <w:szCs w:val="18"/>
              </w:rPr>
              <w:t>流 域</w:t>
            </w:r>
          </w:p>
        </w:tc>
        <w:tc>
          <w:tcPr>
            <w:tcW w:w="1132" w:type="dxa"/>
            <w:vAlign w:val="center"/>
          </w:tcPr>
          <w:p>
            <w:pPr>
              <w:widowControl/>
              <w:spacing w:line="280" w:lineRule="exact"/>
              <w:jc w:val="center"/>
              <w:rPr>
                <w:kern w:val="0"/>
                <w:sz w:val="18"/>
                <w:szCs w:val="18"/>
              </w:rPr>
            </w:pPr>
            <w:r>
              <w:rPr>
                <w:kern w:val="0"/>
                <w:sz w:val="18"/>
                <w:szCs w:val="18"/>
              </w:rPr>
              <w:t>二级区</w:t>
            </w:r>
          </w:p>
        </w:tc>
        <w:tc>
          <w:tcPr>
            <w:tcW w:w="1414" w:type="dxa"/>
            <w:shd w:val="clear" w:color="auto" w:fill="auto"/>
            <w:vAlign w:val="center"/>
          </w:tcPr>
          <w:p>
            <w:pPr>
              <w:widowControl/>
              <w:spacing w:line="280" w:lineRule="exact"/>
              <w:jc w:val="center"/>
              <w:rPr>
                <w:kern w:val="0"/>
                <w:sz w:val="18"/>
                <w:szCs w:val="18"/>
              </w:rPr>
            </w:pPr>
            <w:r>
              <w:rPr>
                <w:kern w:val="0"/>
                <w:sz w:val="18"/>
                <w:szCs w:val="18"/>
              </w:rPr>
              <w:t>三级区</w:t>
            </w:r>
          </w:p>
        </w:tc>
        <w:tc>
          <w:tcPr>
            <w:tcW w:w="1556" w:type="dxa"/>
            <w:shd w:val="clear" w:color="auto" w:fill="auto"/>
            <w:vAlign w:val="center"/>
          </w:tcPr>
          <w:p>
            <w:pPr>
              <w:widowControl/>
              <w:spacing w:line="280" w:lineRule="exact"/>
              <w:jc w:val="center"/>
              <w:rPr>
                <w:kern w:val="0"/>
                <w:sz w:val="18"/>
                <w:szCs w:val="18"/>
              </w:rPr>
            </w:pPr>
            <w:r>
              <w:rPr>
                <w:kern w:val="0"/>
                <w:sz w:val="18"/>
                <w:szCs w:val="18"/>
              </w:rPr>
              <w:t>四级分区</w:t>
            </w:r>
          </w:p>
        </w:tc>
        <w:tc>
          <w:tcPr>
            <w:tcW w:w="1415" w:type="dxa"/>
            <w:shd w:val="clear" w:color="auto" w:fill="auto"/>
            <w:vAlign w:val="center"/>
          </w:tcPr>
          <w:p>
            <w:pPr>
              <w:widowControl/>
              <w:spacing w:line="280" w:lineRule="exact"/>
              <w:jc w:val="center"/>
              <w:rPr>
                <w:kern w:val="0"/>
                <w:sz w:val="18"/>
                <w:szCs w:val="18"/>
              </w:rPr>
            </w:pPr>
            <w:r>
              <w:rPr>
                <w:kern w:val="0"/>
                <w:sz w:val="18"/>
                <w:szCs w:val="18"/>
              </w:rPr>
              <w:t>行政县区</w:t>
            </w:r>
          </w:p>
        </w:tc>
        <w:tc>
          <w:tcPr>
            <w:tcW w:w="1800" w:type="dxa"/>
            <w:shd w:val="clear" w:color="auto" w:fill="auto"/>
            <w:vAlign w:val="center"/>
          </w:tcPr>
          <w:p>
            <w:pPr>
              <w:widowControl/>
              <w:spacing w:line="280" w:lineRule="exact"/>
              <w:jc w:val="center"/>
              <w:rPr>
                <w:kern w:val="0"/>
                <w:sz w:val="18"/>
                <w:szCs w:val="18"/>
              </w:rPr>
            </w:pPr>
            <w:r>
              <w:rPr>
                <w:kern w:val="0"/>
                <w:sz w:val="18"/>
                <w:szCs w:val="18"/>
              </w:rPr>
              <w:t>面积(km</w:t>
            </w:r>
            <w:r>
              <w:rPr>
                <w:kern w:val="0"/>
                <w:sz w:val="18"/>
                <w:szCs w:val="18"/>
                <w:vertAlign w:val="superscript"/>
              </w:rPr>
              <w:t>2</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restart"/>
            <w:shd w:val="clear" w:color="auto" w:fill="auto"/>
            <w:vAlign w:val="center"/>
          </w:tcPr>
          <w:p>
            <w:pPr>
              <w:widowControl/>
              <w:spacing w:line="280" w:lineRule="exact"/>
              <w:jc w:val="center"/>
              <w:rPr>
                <w:kern w:val="0"/>
                <w:sz w:val="18"/>
                <w:szCs w:val="18"/>
              </w:rPr>
            </w:pPr>
            <w:r>
              <w:rPr>
                <w:kern w:val="0"/>
                <w:sz w:val="18"/>
                <w:szCs w:val="18"/>
              </w:rPr>
              <w:t>淮河流域</w:t>
            </w:r>
          </w:p>
        </w:tc>
        <w:tc>
          <w:tcPr>
            <w:tcW w:w="1132" w:type="dxa"/>
            <w:vMerge w:val="restart"/>
            <w:vAlign w:val="center"/>
          </w:tcPr>
          <w:p>
            <w:pPr>
              <w:widowControl/>
              <w:spacing w:line="280" w:lineRule="exact"/>
              <w:jc w:val="center"/>
              <w:rPr>
                <w:kern w:val="0"/>
                <w:sz w:val="18"/>
                <w:szCs w:val="18"/>
              </w:rPr>
            </w:pPr>
            <w:r>
              <w:rPr>
                <w:kern w:val="0"/>
                <w:sz w:val="18"/>
                <w:szCs w:val="18"/>
              </w:rPr>
              <w:t>淮河中游区</w:t>
            </w:r>
          </w:p>
        </w:tc>
        <w:tc>
          <w:tcPr>
            <w:tcW w:w="1414" w:type="dxa"/>
            <w:vMerge w:val="restart"/>
            <w:shd w:val="clear" w:color="auto" w:fill="auto"/>
            <w:vAlign w:val="center"/>
          </w:tcPr>
          <w:p>
            <w:pPr>
              <w:widowControl/>
              <w:spacing w:line="280" w:lineRule="exact"/>
              <w:jc w:val="center"/>
              <w:rPr>
                <w:kern w:val="0"/>
                <w:sz w:val="18"/>
                <w:szCs w:val="18"/>
              </w:rPr>
            </w:pPr>
            <w:r>
              <w:rPr>
                <w:kern w:val="0"/>
                <w:sz w:val="18"/>
                <w:szCs w:val="18"/>
              </w:rPr>
              <w:t>王蚌区间南岸</w:t>
            </w:r>
          </w:p>
        </w:tc>
        <w:tc>
          <w:tcPr>
            <w:tcW w:w="1556" w:type="dxa"/>
            <w:vMerge w:val="restart"/>
            <w:shd w:val="clear" w:color="auto" w:fill="auto"/>
            <w:vAlign w:val="center"/>
          </w:tcPr>
          <w:p>
            <w:pPr>
              <w:widowControl/>
              <w:spacing w:line="280" w:lineRule="exact"/>
              <w:jc w:val="center"/>
              <w:rPr>
                <w:kern w:val="0"/>
                <w:sz w:val="18"/>
                <w:szCs w:val="18"/>
              </w:rPr>
            </w:pPr>
            <w:r>
              <w:rPr>
                <w:kern w:val="0"/>
                <w:sz w:val="18"/>
                <w:szCs w:val="18"/>
              </w:rPr>
              <w:t>淠史河上游区</w:t>
            </w:r>
          </w:p>
        </w:tc>
        <w:tc>
          <w:tcPr>
            <w:tcW w:w="1415" w:type="dxa"/>
            <w:shd w:val="clear" w:color="auto" w:fill="auto"/>
            <w:vAlign w:val="center"/>
          </w:tcPr>
          <w:p>
            <w:pPr>
              <w:widowControl/>
              <w:spacing w:line="280" w:lineRule="exact"/>
              <w:jc w:val="center"/>
              <w:rPr>
                <w:kern w:val="0"/>
                <w:sz w:val="18"/>
                <w:szCs w:val="18"/>
              </w:rPr>
            </w:pPr>
            <w:r>
              <w:rPr>
                <w:kern w:val="0"/>
                <w:sz w:val="18"/>
                <w:szCs w:val="18"/>
              </w:rPr>
              <w:t>霍山县</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sz w:val="18"/>
                <w:szCs w:val="18"/>
              </w:rPr>
            </w:pPr>
            <w:r>
              <w:rPr>
                <w:rFonts w:eastAsia="等线"/>
                <w:sz w:val="18"/>
                <w:szCs w:val="18"/>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金寨县</w:t>
            </w:r>
          </w:p>
        </w:tc>
        <w:tc>
          <w:tcPr>
            <w:tcW w:w="1800"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sz w:val="18"/>
                <w:szCs w:val="18"/>
              </w:rPr>
            </w:pPr>
            <w:r>
              <w:rPr>
                <w:rFonts w:eastAsia="等线"/>
                <w:sz w:val="18"/>
                <w:szCs w:val="18"/>
              </w:rPr>
              <w:t>3592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裕安区</w:t>
            </w:r>
          </w:p>
        </w:tc>
        <w:tc>
          <w:tcPr>
            <w:tcW w:w="1800"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sz w:val="18"/>
                <w:szCs w:val="18"/>
              </w:rPr>
            </w:pPr>
            <w:r>
              <w:rPr>
                <w:rFonts w:eastAsia="等线"/>
                <w:sz w:val="18"/>
                <w:szCs w:val="18"/>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小 计</w:t>
            </w:r>
          </w:p>
        </w:tc>
        <w:tc>
          <w:tcPr>
            <w:tcW w:w="1800" w:type="dxa"/>
            <w:tcBorders>
              <w:bottom w:val="single" w:color="auto" w:sz="4" w:space="0"/>
            </w:tcBorders>
            <w:shd w:val="clear" w:color="auto" w:fill="auto"/>
            <w:vAlign w:val="center"/>
          </w:tcPr>
          <w:p>
            <w:pPr>
              <w:spacing w:line="280" w:lineRule="exact"/>
              <w:jc w:val="center"/>
              <w:rPr>
                <w:sz w:val="18"/>
                <w:szCs w:val="18"/>
              </w:rPr>
            </w:pPr>
            <w:r>
              <w:rPr>
                <w:rFonts w:hint="eastAsia"/>
                <w:sz w:val="18"/>
                <w:szCs w:val="18"/>
              </w:rPr>
              <w:t>5</w:t>
            </w:r>
            <w:r>
              <w:rPr>
                <w:sz w:val="18"/>
                <w:szCs w:val="18"/>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restart"/>
            <w:shd w:val="clear" w:color="auto" w:fill="auto"/>
            <w:vAlign w:val="center"/>
          </w:tcPr>
          <w:p>
            <w:pPr>
              <w:widowControl/>
              <w:spacing w:line="280" w:lineRule="exact"/>
              <w:jc w:val="center"/>
              <w:rPr>
                <w:kern w:val="0"/>
                <w:sz w:val="18"/>
                <w:szCs w:val="18"/>
              </w:rPr>
            </w:pPr>
            <w:r>
              <w:rPr>
                <w:kern w:val="0"/>
                <w:sz w:val="18"/>
                <w:szCs w:val="18"/>
              </w:rPr>
              <w:t>王蚌南岸沿淮区</w:t>
            </w:r>
          </w:p>
        </w:tc>
        <w:tc>
          <w:tcPr>
            <w:tcW w:w="1415" w:type="dxa"/>
            <w:shd w:val="clear" w:color="auto" w:fill="auto"/>
            <w:vAlign w:val="center"/>
          </w:tcPr>
          <w:p>
            <w:pPr>
              <w:widowControl/>
              <w:spacing w:line="280" w:lineRule="exact"/>
              <w:jc w:val="center"/>
              <w:rPr>
                <w:kern w:val="0"/>
                <w:sz w:val="18"/>
                <w:szCs w:val="18"/>
              </w:rPr>
            </w:pPr>
            <w:r>
              <w:rPr>
                <w:rFonts w:hint="eastAsia"/>
                <w:kern w:val="0"/>
                <w:sz w:val="18"/>
                <w:szCs w:val="18"/>
              </w:rPr>
              <w:t>霍邱县</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eastAsia="等线"/>
                <w:sz w:val="18"/>
                <w:szCs w:val="18"/>
              </w:rPr>
            </w:pPr>
            <w:r>
              <w:rPr>
                <w:rFonts w:hint="eastAsia" w:eastAsia="等线"/>
                <w:sz w:val="18"/>
                <w:szCs w:val="18"/>
              </w:rPr>
              <w:t>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金寨县</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eastAsia="等线"/>
                <w:sz w:val="18"/>
                <w:szCs w:val="18"/>
              </w:rPr>
            </w:pPr>
            <w:r>
              <w:rPr>
                <w:rFonts w:hint="eastAsia" w:eastAsia="等线"/>
                <w:sz w:val="18"/>
                <w:szCs w:val="18"/>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金安区</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eastAsia="等线"/>
                <w:sz w:val="18"/>
                <w:szCs w:val="18"/>
              </w:rPr>
            </w:pPr>
            <w:r>
              <w:rPr>
                <w:rFonts w:hint="eastAsia" w:eastAsia="等线"/>
                <w:sz w:val="18"/>
                <w:szCs w:val="18"/>
              </w:rPr>
              <w:t>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裕安区</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eastAsia="等线"/>
                <w:sz w:val="18"/>
                <w:szCs w:val="18"/>
              </w:rPr>
            </w:pPr>
            <w:r>
              <w:rPr>
                <w:rFonts w:hint="eastAsia" w:eastAsia="等线"/>
                <w:sz w:val="18"/>
                <w:szCs w:val="18"/>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叶集</w:t>
            </w:r>
            <w:r>
              <w:rPr>
                <w:rFonts w:hint="eastAsia"/>
                <w:kern w:val="0"/>
                <w:sz w:val="18"/>
                <w:szCs w:val="18"/>
              </w:rPr>
              <w:t>区</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eastAsia="等线"/>
                <w:sz w:val="18"/>
                <w:szCs w:val="18"/>
              </w:rPr>
            </w:pPr>
            <w:r>
              <w:rPr>
                <w:rFonts w:hint="eastAsia" w:eastAsia="等线"/>
                <w:sz w:val="18"/>
                <w:szCs w:val="18"/>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小 计</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eastAsia="等线"/>
                <w:sz w:val="18"/>
                <w:szCs w:val="18"/>
              </w:rPr>
            </w:pPr>
            <w:r>
              <w:rPr>
                <w:rFonts w:hint="eastAsia" w:eastAsia="等线"/>
                <w:sz w:val="18"/>
                <w:szCs w:val="18"/>
              </w:rPr>
              <w:t>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2971" w:type="dxa"/>
            <w:gridSpan w:val="2"/>
            <w:shd w:val="clear" w:color="auto" w:fill="auto"/>
            <w:vAlign w:val="center"/>
          </w:tcPr>
          <w:p>
            <w:pPr>
              <w:widowControl/>
              <w:spacing w:line="280" w:lineRule="exact"/>
              <w:jc w:val="center"/>
              <w:rPr>
                <w:kern w:val="0"/>
                <w:sz w:val="18"/>
                <w:szCs w:val="18"/>
              </w:rPr>
            </w:pPr>
            <w:r>
              <w:rPr>
                <w:kern w:val="0"/>
                <w:sz w:val="18"/>
                <w:szCs w:val="18"/>
              </w:rPr>
              <w:t>合   计</w:t>
            </w:r>
          </w:p>
        </w:tc>
        <w:tc>
          <w:tcPr>
            <w:tcW w:w="1800" w:type="dxa"/>
            <w:tcBorders>
              <w:top w:val="single" w:color="auto" w:sz="4" w:space="0"/>
            </w:tcBorders>
            <w:shd w:val="clear" w:color="auto" w:fill="auto"/>
            <w:vAlign w:val="center"/>
          </w:tcPr>
          <w:p>
            <w:pPr>
              <w:widowControl/>
              <w:spacing w:line="280" w:lineRule="exact"/>
              <w:jc w:val="center"/>
              <w:rPr>
                <w:kern w:val="0"/>
                <w:sz w:val="18"/>
                <w:szCs w:val="18"/>
              </w:rPr>
            </w:pPr>
            <w:r>
              <w:rPr>
                <w:rFonts w:hint="eastAsia"/>
                <w:kern w:val="0"/>
                <w:sz w:val="18"/>
                <w:szCs w:val="18"/>
              </w:rPr>
              <w:t>1</w:t>
            </w:r>
            <w:r>
              <w:rPr>
                <w:kern w:val="0"/>
                <w:sz w:val="18"/>
                <w:szCs w:val="18"/>
              </w:rPr>
              <w:t>2361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restart"/>
            <w:shd w:val="clear" w:color="auto" w:fill="auto"/>
            <w:vAlign w:val="center"/>
          </w:tcPr>
          <w:p>
            <w:pPr>
              <w:widowControl/>
              <w:spacing w:line="280" w:lineRule="exact"/>
              <w:jc w:val="center"/>
              <w:rPr>
                <w:kern w:val="0"/>
                <w:sz w:val="18"/>
                <w:szCs w:val="18"/>
              </w:rPr>
            </w:pPr>
            <w:r>
              <w:rPr>
                <w:kern w:val="0"/>
                <w:sz w:val="18"/>
                <w:szCs w:val="18"/>
              </w:rPr>
              <w:t>长江流域</w:t>
            </w:r>
          </w:p>
        </w:tc>
        <w:tc>
          <w:tcPr>
            <w:tcW w:w="1132" w:type="dxa"/>
            <w:vMerge w:val="restart"/>
            <w:vAlign w:val="center"/>
          </w:tcPr>
          <w:p>
            <w:pPr>
              <w:widowControl/>
              <w:spacing w:line="280" w:lineRule="exact"/>
              <w:jc w:val="center"/>
              <w:rPr>
                <w:kern w:val="0"/>
                <w:sz w:val="18"/>
                <w:szCs w:val="18"/>
              </w:rPr>
            </w:pPr>
            <w:r>
              <w:rPr>
                <w:kern w:val="0"/>
                <w:sz w:val="18"/>
                <w:szCs w:val="18"/>
              </w:rPr>
              <w:t>湖口以下干流区</w:t>
            </w:r>
          </w:p>
        </w:tc>
        <w:tc>
          <w:tcPr>
            <w:tcW w:w="1414" w:type="dxa"/>
            <w:vMerge w:val="restart"/>
            <w:shd w:val="clear" w:color="auto" w:fill="auto"/>
            <w:vAlign w:val="center"/>
          </w:tcPr>
          <w:p>
            <w:pPr>
              <w:widowControl/>
              <w:spacing w:line="280" w:lineRule="exact"/>
              <w:jc w:val="center"/>
              <w:rPr>
                <w:kern w:val="0"/>
                <w:sz w:val="18"/>
                <w:szCs w:val="18"/>
              </w:rPr>
            </w:pPr>
            <w:r>
              <w:rPr>
                <w:kern w:val="0"/>
                <w:sz w:val="18"/>
                <w:szCs w:val="18"/>
              </w:rPr>
              <w:t>巢滁皖及沿江诸河</w:t>
            </w:r>
          </w:p>
        </w:tc>
        <w:tc>
          <w:tcPr>
            <w:tcW w:w="1556" w:type="dxa"/>
            <w:vMerge w:val="restart"/>
            <w:shd w:val="clear" w:color="auto" w:fill="auto"/>
            <w:vAlign w:val="center"/>
          </w:tcPr>
          <w:p>
            <w:pPr>
              <w:widowControl/>
              <w:spacing w:line="280" w:lineRule="exact"/>
              <w:jc w:val="center"/>
              <w:rPr>
                <w:kern w:val="0"/>
                <w:sz w:val="18"/>
                <w:szCs w:val="18"/>
              </w:rPr>
            </w:pPr>
            <w:r>
              <w:rPr>
                <w:kern w:val="0"/>
                <w:sz w:val="18"/>
                <w:szCs w:val="18"/>
              </w:rPr>
              <w:t>杭埠河区</w:t>
            </w:r>
          </w:p>
        </w:tc>
        <w:tc>
          <w:tcPr>
            <w:tcW w:w="1415" w:type="dxa"/>
            <w:shd w:val="clear" w:color="auto" w:fill="auto"/>
            <w:vAlign w:val="center"/>
          </w:tcPr>
          <w:p>
            <w:pPr>
              <w:widowControl/>
              <w:spacing w:line="280" w:lineRule="exact"/>
              <w:jc w:val="center"/>
              <w:rPr>
                <w:kern w:val="0"/>
                <w:sz w:val="18"/>
                <w:szCs w:val="18"/>
              </w:rPr>
            </w:pPr>
            <w:r>
              <w:rPr>
                <w:rFonts w:hint="eastAsia"/>
                <w:kern w:val="0"/>
                <w:sz w:val="18"/>
                <w:szCs w:val="18"/>
              </w:rPr>
              <w:t>舒城</w:t>
            </w:r>
            <w:r>
              <w:rPr>
                <w:kern w:val="0"/>
                <w:sz w:val="18"/>
                <w:szCs w:val="18"/>
              </w:rPr>
              <w:t>县</w:t>
            </w:r>
          </w:p>
        </w:tc>
        <w:tc>
          <w:tcPr>
            <w:tcW w:w="1800" w:type="dxa"/>
            <w:shd w:val="clear" w:color="auto" w:fill="auto"/>
            <w:vAlign w:val="center"/>
          </w:tcPr>
          <w:p>
            <w:pPr>
              <w:widowControl/>
              <w:spacing w:line="280" w:lineRule="exact"/>
              <w:jc w:val="center"/>
              <w:rPr>
                <w:kern w:val="0"/>
                <w:sz w:val="18"/>
                <w:szCs w:val="18"/>
              </w:rPr>
            </w:pPr>
            <w:r>
              <w:rPr>
                <w:rFonts w:hint="eastAsia"/>
                <w:kern w:val="0"/>
                <w:sz w:val="18"/>
                <w:szCs w:val="18"/>
              </w:rPr>
              <w:t>2</w:t>
            </w:r>
            <w:r>
              <w:rPr>
                <w:kern w:val="0"/>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1556" w:type="dxa"/>
            <w:vMerge w:val="continue"/>
            <w:vAlign w:val="center"/>
          </w:tcPr>
          <w:p>
            <w:pPr>
              <w:widowControl/>
              <w:spacing w:line="280" w:lineRule="exact"/>
              <w:jc w:val="center"/>
              <w:rPr>
                <w:kern w:val="0"/>
                <w:sz w:val="18"/>
                <w:szCs w:val="18"/>
              </w:rPr>
            </w:pPr>
          </w:p>
        </w:tc>
        <w:tc>
          <w:tcPr>
            <w:tcW w:w="1415" w:type="dxa"/>
            <w:shd w:val="clear" w:color="auto" w:fill="auto"/>
            <w:vAlign w:val="center"/>
          </w:tcPr>
          <w:p>
            <w:pPr>
              <w:widowControl/>
              <w:spacing w:line="280" w:lineRule="exact"/>
              <w:jc w:val="center"/>
              <w:rPr>
                <w:kern w:val="0"/>
                <w:sz w:val="18"/>
                <w:szCs w:val="18"/>
              </w:rPr>
            </w:pPr>
            <w:r>
              <w:rPr>
                <w:kern w:val="0"/>
                <w:sz w:val="18"/>
                <w:szCs w:val="18"/>
              </w:rPr>
              <w:t>金安区</w:t>
            </w:r>
          </w:p>
        </w:tc>
        <w:tc>
          <w:tcPr>
            <w:tcW w:w="1800" w:type="dxa"/>
            <w:shd w:val="clear" w:color="auto" w:fill="auto"/>
            <w:vAlign w:val="center"/>
          </w:tcPr>
          <w:p>
            <w:pPr>
              <w:widowControl/>
              <w:spacing w:line="280" w:lineRule="exact"/>
              <w:jc w:val="center"/>
              <w:rPr>
                <w:kern w:val="0"/>
                <w:sz w:val="18"/>
                <w:szCs w:val="18"/>
              </w:rPr>
            </w:pPr>
            <w:r>
              <w:rPr>
                <w:rFonts w:hint="eastAsia"/>
                <w:kern w:val="0"/>
                <w:sz w:val="18"/>
                <w:szCs w:val="18"/>
              </w:rPr>
              <w:t>9</w:t>
            </w:r>
            <w:r>
              <w:rPr>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pPr>
              <w:widowControl/>
              <w:spacing w:line="280" w:lineRule="exact"/>
              <w:jc w:val="center"/>
              <w:rPr>
                <w:kern w:val="0"/>
                <w:sz w:val="18"/>
                <w:szCs w:val="18"/>
              </w:rPr>
            </w:pPr>
          </w:p>
        </w:tc>
        <w:tc>
          <w:tcPr>
            <w:tcW w:w="1132" w:type="dxa"/>
            <w:vMerge w:val="continue"/>
            <w:vAlign w:val="center"/>
          </w:tcPr>
          <w:p>
            <w:pPr>
              <w:widowControl/>
              <w:spacing w:line="280" w:lineRule="exact"/>
              <w:jc w:val="center"/>
              <w:rPr>
                <w:kern w:val="0"/>
                <w:sz w:val="18"/>
                <w:szCs w:val="18"/>
              </w:rPr>
            </w:pPr>
          </w:p>
        </w:tc>
        <w:tc>
          <w:tcPr>
            <w:tcW w:w="1414" w:type="dxa"/>
            <w:vMerge w:val="continue"/>
            <w:vAlign w:val="center"/>
          </w:tcPr>
          <w:p>
            <w:pPr>
              <w:widowControl/>
              <w:spacing w:line="280" w:lineRule="exact"/>
              <w:jc w:val="center"/>
              <w:rPr>
                <w:kern w:val="0"/>
                <w:sz w:val="18"/>
                <w:szCs w:val="18"/>
              </w:rPr>
            </w:pPr>
          </w:p>
        </w:tc>
        <w:tc>
          <w:tcPr>
            <w:tcW w:w="2971" w:type="dxa"/>
            <w:gridSpan w:val="2"/>
            <w:shd w:val="clear" w:color="auto" w:fill="auto"/>
            <w:vAlign w:val="center"/>
          </w:tcPr>
          <w:p>
            <w:pPr>
              <w:widowControl/>
              <w:spacing w:line="280" w:lineRule="exact"/>
              <w:jc w:val="center"/>
              <w:rPr>
                <w:kern w:val="0"/>
                <w:sz w:val="18"/>
                <w:szCs w:val="18"/>
              </w:rPr>
            </w:pPr>
            <w:r>
              <w:rPr>
                <w:kern w:val="0"/>
                <w:sz w:val="18"/>
                <w:szCs w:val="18"/>
              </w:rPr>
              <w:t>合   计</w:t>
            </w:r>
          </w:p>
        </w:tc>
        <w:tc>
          <w:tcPr>
            <w:tcW w:w="1800" w:type="dxa"/>
            <w:shd w:val="clear" w:color="auto" w:fill="auto"/>
            <w:vAlign w:val="center"/>
          </w:tcPr>
          <w:p>
            <w:pPr>
              <w:widowControl/>
              <w:spacing w:line="280" w:lineRule="exact"/>
              <w:jc w:val="center"/>
              <w:rPr>
                <w:kern w:val="0"/>
                <w:sz w:val="18"/>
                <w:szCs w:val="18"/>
              </w:rPr>
            </w:pPr>
            <w:r>
              <w:rPr>
                <w:rFonts w:hint="eastAsia"/>
                <w:kern w:val="0"/>
                <w:sz w:val="18"/>
                <w:szCs w:val="18"/>
              </w:rPr>
              <w:t>3</w:t>
            </w:r>
            <w:r>
              <w:rPr>
                <w:kern w:val="0"/>
                <w:sz w:val="18"/>
                <w:szCs w:val="1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2" w:type="dxa"/>
            <w:gridSpan w:val="5"/>
            <w:vAlign w:val="center"/>
          </w:tcPr>
          <w:p>
            <w:pPr>
              <w:widowControl/>
              <w:spacing w:line="280" w:lineRule="exact"/>
              <w:jc w:val="center"/>
              <w:rPr>
                <w:kern w:val="0"/>
                <w:sz w:val="18"/>
                <w:szCs w:val="18"/>
              </w:rPr>
            </w:pPr>
            <w:r>
              <w:rPr>
                <w:kern w:val="0"/>
                <w:sz w:val="18"/>
                <w:szCs w:val="18"/>
              </w:rPr>
              <w:t>全   市</w:t>
            </w:r>
          </w:p>
        </w:tc>
        <w:tc>
          <w:tcPr>
            <w:tcW w:w="1800" w:type="dxa"/>
            <w:shd w:val="clear" w:color="auto" w:fill="auto"/>
            <w:vAlign w:val="center"/>
          </w:tcPr>
          <w:p>
            <w:pPr>
              <w:widowControl/>
              <w:spacing w:line="280" w:lineRule="exact"/>
              <w:jc w:val="center"/>
              <w:rPr>
                <w:kern w:val="0"/>
                <w:sz w:val="18"/>
                <w:szCs w:val="18"/>
              </w:rPr>
            </w:pPr>
            <w:r>
              <w:rPr>
                <w:rFonts w:hint="eastAsia"/>
                <w:kern w:val="0"/>
                <w:sz w:val="18"/>
                <w:szCs w:val="18"/>
              </w:rPr>
              <w:t>1</w:t>
            </w:r>
            <w:r>
              <w:rPr>
                <w:kern w:val="0"/>
                <w:sz w:val="18"/>
                <w:szCs w:val="18"/>
              </w:rPr>
              <w:t>5451</w:t>
            </w:r>
          </w:p>
        </w:tc>
      </w:tr>
    </w:tbl>
    <w:p>
      <w:bookmarkStart w:id="69" w:name="_Toc382472312"/>
    </w:p>
    <w:bookmarkEnd w:id="69"/>
    <w:p>
      <w:pPr>
        <w:keepNext/>
        <w:keepLines/>
        <w:adjustRightInd w:val="0"/>
        <w:snapToGrid w:val="0"/>
        <w:spacing w:before="312" w:beforeLines="100" w:after="312" w:afterLines="100" w:line="360" w:lineRule="auto"/>
        <w:jc w:val="center"/>
        <w:outlineLvl w:val="1"/>
        <w:rPr>
          <w:b/>
          <w:bCs/>
          <w:sz w:val="32"/>
          <w:szCs w:val="32"/>
        </w:rPr>
      </w:pPr>
      <w:bookmarkStart w:id="70" w:name="_Toc95382442"/>
      <w:r>
        <w:rPr>
          <w:b/>
          <w:bCs/>
          <w:sz w:val="32"/>
          <w:szCs w:val="32"/>
        </w:rPr>
        <w:t>第</w:t>
      </w:r>
      <w:r>
        <w:rPr>
          <w:rFonts w:hint="eastAsia"/>
          <w:b/>
          <w:bCs/>
          <w:sz w:val="32"/>
          <w:szCs w:val="32"/>
        </w:rPr>
        <w:t>四</w:t>
      </w:r>
      <w:r>
        <w:rPr>
          <w:b/>
          <w:bCs/>
          <w:sz w:val="32"/>
          <w:szCs w:val="32"/>
        </w:rPr>
        <w:t xml:space="preserve">节 </w:t>
      </w:r>
      <w:r>
        <w:rPr>
          <w:rFonts w:hint="eastAsia"/>
          <w:b/>
          <w:bCs/>
          <w:sz w:val="32"/>
          <w:szCs w:val="32"/>
        </w:rPr>
        <w:t>社会经济</w:t>
      </w:r>
      <w:bookmarkEnd w:id="70"/>
    </w:p>
    <w:p>
      <w:pPr>
        <w:pStyle w:val="4"/>
        <w:spacing w:before="156" w:beforeLines="50" w:after="156" w:afterLines="50" w:line="360" w:lineRule="auto"/>
        <w:rPr>
          <w:sz w:val="28"/>
        </w:rPr>
      </w:pPr>
      <w:bookmarkStart w:id="71" w:name="_Toc95382443"/>
      <w:r>
        <w:rPr>
          <w:rFonts w:hint="eastAsia"/>
          <w:sz w:val="28"/>
        </w:rPr>
        <w:t>一</w:t>
      </w:r>
      <w:r>
        <w:rPr>
          <w:sz w:val="28"/>
        </w:rPr>
        <w:t>、</w:t>
      </w:r>
      <w:r>
        <w:rPr>
          <w:rFonts w:hint="eastAsia"/>
          <w:sz w:val="28"/>
        </w:rPr>
        <w:t>社会经济总体概况</w:t>
      </w:r>
      <w:bookmarkEnd w:id="71"/>
    </w:p>
    <w:p>
      <w:pPr>
        <w:spacing w:line="360" w:lineRule="auto"/>
        <w:ind w:firstLine="480" w:firstLineChars="200"/>
        <w:rPr>
          <w:sz w:val="24"/>
        </w:rPr>
      </w:pPr>
      <w:r>
        <w:rPr>
          <w:sz w:val="24"/>
        </w:rPr>
        <w:t>2020年六安市常住人口439.37万人，其中城镇人口213.03万人，平均城镇化率48.5%。2020年全市平均人口密度为284人/km</w:t>
      </w:r>
      <w:r>
        <w:rPr>
          <w:sz w:val="24"/>
          <w:vertAlign w:val="superscript"/>
        </w:rPr>
        <w:t>2</w:t>
      </w:r>
      <w:r>
        <w:rPr>
          <w:sz w:val="24"/>
        </w:rPr>
        <w:t>，地区间人口分布存在不均衡性，人口最密集区主要分布在王蚌南岸沿淮区。</w:t>
      </w:r>
    </w:p>
    <w:p>
      <w:pPr>
        <w:spacing w:line="360" w:lineRule="auto"/>
        <w:ind w:firstLine="480" w:firstLineChars="200"/>
        <w:rPr>
          <w:sz w:val="24"/>
        </w:rPr>
      </w:pPr>
      <w:r>
        <w:rPr>
          <w:sz w:val="24"/>
        </w:rPr>
        <w:t>2020年全市7个县级行政区划中，以霍邱县人口最多，占全市总人口的21.5%，人口最少的为</w:t>
      </w:r>
      <w:r>
        <w:rPr>
          <w:rFonts w:hint="eastAsia"/>
          <w:sz w:val="24"/>
        </w:rPr>
        <w:t>叶集区</w:t>
      </w:r>
      <w:r>
        <w:rPr>
          <w:sz w:val="24"/>
        </w:rPr>
        <w:t>，占全市的4.9%。2020年全市城镇化率为48.5%；行政分区中，霍山县城镇化率最高，为69.3%；其他县区城镇化率在35％～60%</w:t>
      </w:r>
    </w:p>
    <w:p>
      <w:pPr>
        <w:spacing w:line="360" w:lineRule="auto"/>
        <w:ind w:firstLine="480" w:firstLineChars="200"/>
        <w:rPr>
          <w:sz w:val="24"/>
        </w:rPr>
      </w:pPr>
      <w:r>
        <w:rPr>
          <w:sz w:val="24"/>
        </w:rPr>
        <w:t>2020年六安市实现当年价GDP达1669.5亿元，占全省GDP的4.32%。全市人均GDP当年价为37998元（按常住人口计算），仅占全省人均GDP的59.9%。2020年全市工业增加值429.0亿元</w:t>
      </w:r>
      <w:r>
        <w:rPr>
          <w:rFonts w:hint="eastAsia"/>
          <w:sz w:val="24"/>
        </w:rPr>
        <w:t>。</w:t>
      </w:r>
    </w:p>
    <w:p>
      <w:pPr>
        <w:spacing w:line="360" w:lineRule="auto"/>
        <w:ind w:firstLine="480" w:firstLineChars="200"/>
        <w:rPr>
          <w:sz w:val="24"/>
        </w:rPr>
      </w:pPr>
      <w:r>
        <w:rPr>
          <w:sz w:val="24"/>
        </w:rPr>
        <w:t>自2010年以来全市经济发展迅速，GDP由2010年的580.94亿元增加到2020年的1669.5亿元，年均增长率11.1%</w:t>
      </w:r>
      <w:r>
        <w:rPr>
          <w:rFonts w:hint="eastAsia"/>
          <w:sz w:val="24"/>
        </w:rPr>
        <w:t>；</w:t>
      </w:r>
      <w:r>
        <w:rPr>
          <w:sz w:val="24"/>
        </w:rPr>
        <w:t>人均GDP从2010年的12580元/人增加到2020年的37998元/人</w:t>
      </w:r>
      <w:r>
        <w:rPr>
          <w:rFonts w:hint="eastAsia"/>
          <w:sz w:val="24"/>
        </w:rPr>
        <w:t>，</w:t>
      </w:r>
      <w:r>
        <w:rPr>
          <w:sz w:val="24"/>
        </w:rPr>
        <w:t>年均增长率11.7%。产业结构也随着发生了较大变化，2010年全市一产、二产、三产比重为20.7%、44.7%和34.7%，2020年</w:t>
      </w:r>
      <w:r>
        <w:rPr>
          <w:rFonts w:hint="eastAsia"/>
          <w:sz w:val="24"/>
        </w:rPr>
        <w:t>全市</w:t>
      </w:r>
      <w:r>
        <w:rPr>
          <w:sz w:val="24"/>
        </w:rPr>
        <w:t>一产、二产、三产比重调整为14.3%、36.4%和49.3%，</w:t>
      </w:r>
      <w:r>
        <w:rPr>
          <w:rFonts w:hint="eastAsia"/>
          <w:sz w:val="24"/>
        </w:rPr>
        <w:t>第一、二产业比重明显下降，</w:t>
      </w:r>
      <w:r>
        <w:rPr>
          <w:sz w:val="24"/>
        </w:rPr>
        <w:t>第三产业比重明显上升。</w:t>
      </w:r>
    </w:p>
    <w:p>
      <w:pPr>
        <w:pStyle w:val="4"/>
        <w:spacing w:before="156" w:beforeLines="50" w:after="156" w:afterLines="50" w:line="360" w:lineRule="auto"/>
        <w:rPr>
          <w:sz w:val="28"/>
        </w:rPr>
      </w:pPr>
      <w:bookmarkStart w:id="72" w:name="_Toc95382444"/>
      <w:r>
        <w:rPr>
          <w:rFonts w:hint="eastAsia"/>
          <w:sz w:val="28"/>
        </w:rPr>
        <w:t>二</w:t>
      </w:r>
      <w:r>
        <w:rPr>
          <w:sz w:val="28"/>
        </w:rPr>
        <w:t>、</w:t>
      </w:r>
      <w:r>
        <w:rPr>
          <w:rFonts w:hint="eastAsia"/>
          <w:sz w:val="28"/>
        </w:rPr>
        <w:t>市域城镇及开发区概况</w:t>
      </w:r>
      <w:bookmarkEnd w:id="72"/>
    </w:p>
    <w:p>
      <w:pPr>
        <w:spacing w:line="360" w:lineRule="auto"/>
        <w:ind w:firstLine="480" w:firstLineChars="200"/>
        <w:rPr>
          <w:sz w:val="24"/>
        </w:rPr>
      </w:pPr>
      <w:r>
        <w:rPr>
          <w:rFonts w:hint="eastAsia"/>
          <w:sz w:val="24"/>
        </w:rPr>
        <w:t>1、市域城镇概况</w:t>
      </w:r>
    </w:p>
    <w:p>
      <w:pPr>
        <w:spacing w:line="360" w:lineRule="auto"/>
        <w:ind w:firstLine="480" w:firstLineChars="200"/>
        <w:rPr>
          <w:sz w:val="24"/>
        </w:rPr>
      </w:pPr>
      <w:r>
        <w:rPr>
          <w:rFonts w:hint="eastAsia"/>
          <w:sz w:val="24"/>
        </w:rPr>
        <w:t>六安市主要市域城镇包括六安市建成区（金安区和裕安区）、叶集区建成区、霍邱县城关镇、舒城县城关镇、金寨县梅山镇和霍山县衡山镇。</w:t>
      </w:r>
    </w:p>
    <w:p>
      <w:pPr>
        <w:spacing w:line="360" w:lineRule="auto"/>
        <w:ind w:firstLine="480" w:firstLineChars="200"/>
        <w:rPr>
          <w:sz w:val="24"/>
        </w:rPr>
      </w:pPr>
      <w:r>
        <w:rPr>
          <w:rFonts w:hint="eastAsia"/>
          <w:sz w:val="24"/>
        </w:rPr>
        <w:t>霍邱县城关镇地处淮河南岸，城西湖东侧，霍邱县东北部，是霍邱县政治、经济、文化中心。全镇总面积为56k</w:t>
      </w:r>
      <w:r>
        <w:rPr>
          <w:sz w:val="24"/>
        </w:rPr>
        <w:t>m</w:t>
      </w:r>
      <w:r>
        <w:rPr>
          <w:sz w:val="24"/>
          <w:vertAlign w:val="superscript"/>
        </w:rPr>
        <w:t>2</w:t>
      </w:r>
      <w:r>
        <w:rPr>
          <w:rFonts w:hint="eastAsia"/>
          <w:sz w:val="24"/>
        </w:rPr>
        <w:t>，辖12个社区，12个行政村，总人口15万人。</w:t>
      </w:r>
    </w:p>
    <w:p>
      <w:pPr>
        <w:spacing w:line="360" w:lineRule="auto"/>
        <w:ind w:firstLine="480" w:firstLineChars="200"/>
        <w:rPr>
          <w:sz w:val="24"/>
        </w:rPr>
      </w:pPr>
      <w:r>
        <w:rPr>
          <w:rFonts w:hint="eastAsia"/>
          <w:sz w:val="24"/>
        </w:rPr>
        <w:t>舒城县城关镇地处大别山东麓，舒城县东北部，是舒城县政治、经济、文化中心。全镇总面积为</w:t>
      </w:r>
      <w:r>
        <w:rPr>
          <w:sz w:val="24"/>
        </w:rPr>
        <w:t>111.7</w:t>
      </w:r>
      <w:r>
        <w:rPr>
          <w:rFonts w:hint="eastAsia"/>
          <w:sz w:val="24"/>
        </w:rPr>
        <w:t>k</w:t>
      </w:r>
      <w:r>
        <w:rPr>
          <w:sz w:val="24"/>
        </w:rPr>
        <w:t>m</w:t>
      </w:r>
      <w:r>
        <w:rPr>
          <w:sz w:val="24"/>
          <w:vertAlign w:val="superscript"/>
        </w:rPr>
        <w:t>2</w:t>
      </w:r>
      <w:r>
        <w:rPr>
          <w:rFonts w:hint="eastAsia"/>
          <w:sz w:val="24"/>
        </w:rPr>
        <w:t>，辖</w:t>
      </w:r>
      <w:r>
        <w:rPr>
          <w:sz w:val="24"/>
        </w:rPr>
        <w:t>14</w:t>
      </w:r>
      <w:r>
        <w:rPr>
          <w:rFonts w:hint="eastAsia"/>
          <w:sz w:val="24"/>
        </w:rPr>
        <w:t>个社区，</w:t>
      </w:r>
      <w:r>
        <w:rPr>
          <w:sz w:val="24"/>
        </w:rPr>
        <w:t>29</w:t>
      </w:r>
      <w:r>
        <w:rPr>
          <w:rFonts w:hint="eastAsia"/>
          <w:sz w:val="24"/>
        </w:rPr>
        <w:t>个行政村，总人口</w:t>
      </w:r>
      <w:r>
        <w:rPr>
          <w:sz w:val="24"/>
        </w:rPr>
        <w:t>19</w:t>
      </w:r>
      <w:r>
        <w:rPr>
          <w:rFonts w:hint="eastAsia"/>
          <w:sz w:val="24"/>
        </w:rPr>
        <w:t>万人。</w:t>
      </w:r>
    </w:p>
    <w:p>
      <w:pPr>
        <w:spacing w:line="360" w:lineRule="auto"/>
        <w:ind w:firstLine="480" w:firstLineChars="200"/>
        <w:rPr>
          <w:sz w:val="24"/>
        </w:rPr>
      </w:pPr>
      <w:r>
        <w:rPr>
          <w:rFonts w:hint="eastAsia"/>
          <w:sz w:val="24"/>
        </w:rPr>
        <w:t>金寨县梅山镇地处大别山北麓，金寨县西北部，是金寨县政治、经济、文化中心。全镇总面积280.61k</w:t>
      </w:r>
      <w:r>
        <w:rPr>
          <w:sz w:val="24"/>
        </w:rPr>
        <w:t>m</w:t>
      </w:r>
      <w:r>
        <w:rPr>
          <w:sz w:val="24"/>
          <w:vertAlign w:val="superscript"/>
        </w:rPr>
        <w:t>2</w:t>
      </w:r>
      <w:r>
        <w:rPr>
          <w:rFonts w:hint="eastAsia"/>
          <w:sz w:val="24"/>
        </w:rPr>
        <w:t>，辖6个社区，16个行政村、常住人口17.3万人。</w:t>
      </w:r>
    </w:p>
    <w:p>
      <w:pPr>
        <w:spacing w:line="360" w:lineRule="auto"/>
        <w:ind w:firstLine="480" w:firstLineChars="200"/>
        <w:rPr>
          <w:sz w:val="24"/>
        </w:rPr>
      </w:pPr>
      <w:r>
        <w:rPr>
          <w:rFonts w:hint="eastAsia"/>
          <w:sz w:val="24"/>
        </w:rPr>
        <w:t>霍山县衡山镇地处大别山北麓，霍山县北部，是霍山县政治、经济、文化、商贸中心，标准建制镇，全镇总面积180.69k</w:t>
      </w:r>
      <w:r>
        <w:rPr>
          <w:sz w:val="24"/>
        </w:rPr>
        <w:t>m</w:t>
      </w:r>
      <w:r>
        <w:rPr>
          <w:sz w:val="24"/>
          <w:vertAlign w:val="superscript"/>
        </w:rPr>
        <w:t>2</w:t>
      </w:r>
      <w:r>
        <w:rPr>
          <w:rFonts w:hint="eastAsia"/>
          <w:sz w:val="24"/>
        </w:rPr>
        <w:t>，辖11个社区，11个村，常住人口14</w:t>
      </w:r>
      <w:r>
        <w:rPr>
          <w:sz w:val="24"/>
        </w:rPr>
        <w:t>.1</w:t>
      </w:r>
      <w:r>
        <w:rPr>
          <w:rFonts w:hint="eastAsia"/>
          <w:sz w:val="24"/>
        </w:rPr>
        <w:t>万人。</w:t>
      </w:r>
    </w:p>
    <w:p>
      <w:pPr>
        <w:spacing w:line="360" w:lineRule="auto"/>
        <w:ind w:firstLine="480" w:firstLineChars="200"/>
        <w:rPr>
          <w:sz w:val="24"/>
        </w:rPr>
      </w:pPr>
      <w:r>
        <w:rPr>
          <w:rFonts w:hint="eastAsia"/>
          <w:sz w:val="24"/>
        </w:rPr>
        <w:t>2、开发区概况</w:t>
      </w:r>
    </w:p>
    <w:p>
      <w:pPr>
        <w:spacing w:line="360" w:lineRule="auto"/>
        <w:ind w:firstLine="480" w:firstLineChars="200"/>
        <w:rPr>
          <w:sz w:val="24"/>
        </w:rPr>
      </w:pPr>
      <w:r>
        <w:rPr>
          <w:rFonts w:hint="eastAsia"/>
          <w:sz w:val="24"/>
        </w:rPr>
        <w:t>六安市现状有省级以上开发（园）区8个，分别为六安经济技术开发区、金安经济开发区（六安承接产业转移集中示范园区）、六安高新技术产业开发区、舒城经济开发区（舒城包河现代产业园）、霍邱经济开发区（合肥高新区霍邱现代产业园）、</w:t>
      </w:r>
      <w:bookmarkStart w:id="73" w:name="_Hlk81499847"/>
      <w:r>
        <w:rPr>
          <w:rFonts w:hint="eastAsia"/>
          <w:sz w:val="24"/>
        </w:rPr>
        <w:t>霍山经济开发区</w:t>
      </w:r>
      <w:bookmarkEnd w:id="73"/>
      <w:r>
        <w:rPr>
          <w:rFonts w:hint="eastAsia"/>
          <w:sz w:val="24"/>
        </w:rPr>
        <w:t>、金寨经济开发区（金寨现代产业园区）、叶集经济开发区。</w:t>
      </w:r>
    </w:p>
    <w:p>
      <w:pPr>
        <w:spacing w:line="360" w:lineRule="auto"/>
        <w:ind w:firstLine="480" w:firstLineChars="200"/>
        <w:rPr>
          <w:sz w:val="24"/>
        </w:rPr>
      </w:pPr>
      <w:r>
        <w:rPr>
          <w:rFonts w:hint="eastAsia"/>
          <w:sz w:val="24"/>
        </w:rPr>
        <w:t>（1）六安经济技术开发区</w:t>
      </w:r>
    </w:p>
    <w:p>
      <w:pPr>
        <w:spacing w:line="360" w:lineRule="auto"/>
        <w:ind w:firstLine="480" w:firstLineChars="200"/>
        <w:rPr>
          <w:sz w:val="24"/>
        </w:rPr>
      </w:pPr>
      <w:r>
        <w:rPr>
          <w:rFonts w:hint="eastAsia"/>
          <w:sz w:val="24"/>
        </w:rPr>
        <w:t>六安经济技术开发区位于六安市中心城区东部，始建于1992年，1993年5月被批准为省级经济技术开发区，2013年3月晋升为国家级经济技术开发区，是合肥都市圈、皖江城市带承接产业转移示范区、大别山革命老区振兴规划核心发展区的重要组成部分，安徽省省级新型工业化产业示范基地、“产城一体化”试点开发区、首批知识产权示范园区和全省十大创新型智慧园区试点。</w:t>
      </w:r>
    </w:p>
    <w:p>
      <w:pPr>
        <w:spacing w:line="360" w:lineRule="auto"/>
        <w:ind w:firstLine="480" w:firstLineChars="200"/>
        <w:rPr>
          <w:sz w:val="24"/>
        </w:rPr>
      </w:pPr>
      <w:r>
        <w:rPr>
          <w:rFonts w:hint="eastAsia"/>
          <w:sz w:val="24"/>
        </w:rPr>
        <w:t>六安经济技术开发区发展目标定位为“三区一极”，即“产业转移示范区、产城一体新城区、体制机制创新先行区和区域发展核心增长极”。根据形势的发展变化，市委市政府分别提出了建设“工业强市主板，绿色振兴高地”和打造“工业强市主阵地，高质量发展增长极”的新要求。园区规划控制面积90k</w:t>
      </w:r>
      <w:r>
        <w:rPr>
          <w:sz w:val="24"/>
        </w:rPr>
        <w:t>m</w:t>
      </w:r>
      <w:r>
        <w:rPr>
          <w:sz w:val="24"/>
          <w:vertAlign w:val="superscript"/>
        </w:rPr>
        <w:t>2</w:t>
      </w:r>
      <w:r>
        <w:rPr>
          <w:rFonts w:hint="eastAsia"/>
          <w:sz w:val="24"/>
        </w:rPr>
        <w:t>，建成区面积35km</w:t>
      </w:r>
      <w:r>
        <w:rPr>
          <w:sz w:val="24"/>
          <w:vertAlign w:val="superscript"/>
        </w:rPr>
        <w:t>2</w:t>
      </w:r>
      <w:r>
        <w:rPr>
          <w:rFonts w:hint="eastAsia"/>
          <w:sz w:val="24"/>
        </w:rPr>
        <w:t>，下辖4个社区、8个行政村，常住人口10万多人。</w:t>
      </w:r>
    </w:p>
    <w:p>
      <w:pPr>
        <w:spacing w:line="360" w:lineRule="auto"/>
        <w:ind w:firstLine="480" w:firstLineChars="200"/>
        <w:rPr>
          <w:sz w:val="24"/>
        </w:rPr>
      </w:pPr>
      <w:r>
        <w:rPr>
          <w:rFonts w:hint="eastAsia"/>
          <w:sz w:val="24"/>
        </w:rPr>
        <w:t>园区现有企业3000多家，其中工业企业500多家，规模工业企业133 家，产值亿元以上工业企业52家，15亿元以上工业企业2家，20亿元以上工业企业1家。高新技术企业51家，战略性新兴产业企业65家，初步培育形成了以博微长安电子、星瑞齿轮传动、江淮永达机械为代表的高端装备制造产业（1个首位产业）；以俪信成服饰、星星服装、海洋羽毛为代表的纺织服装产业，以中财管道科技、墙煌彩铝、瀚海新材料为代表的新材料产业，以华润雪花啤酒、华润怡宝水、九仙尊霍山石斛为代表的食品医药健康产业（3个主导产业）；以渠道网络科技、传化物流、曙光铂尊酒店、金太阳汽车城、居然之家为代表的现代服务业（1个配套产业）等“131”产业板块。</w:t>
      </w:r>
    </w:p>
    <w:p>
      <w:pPr>
        <w:spacing w:line="360" w:lineRule="auto"/>
        <w:ind w:firstLine="480" w:firstLineChars="200"/>
        <w:rPr>
          <w:sz w:val="24"/>
        </w:rPr>
      </w:pPr>
      <w:r>
        <w:rPr>
          <w:rFonts w:hint="eastAsia"/>
          <w:sz w:val="24"/>
        </w:rPr>
        <w:t>（2）金安经济开发区（六安承接产业转移集中示范园区）</w:t>
      </w:r>
    </w:p>
    <w:p>
      <w:pPr>
        <w:spacing w:line="360" w:lineRule="auto"/>
        <w:ind w:firstLine="480" w:firstLineChars="200"/>
        <w:rPr>
          <w:sz w:val="24"/>
        </w:rPr>
      </w:pPr>
      <w:r>
        <w:rPr>
          <w:rFonts w:hint="eastAsia"/>
          <w:sz w:val="24"/>
        </w:rPr>
        <w:t>金安经济开发区是省级经济开发区，位于六安市东部，是合六经济走廊核心区，总规划控制面积38k</w:t>
      </w:r>
      <w:r>
        <w:rPr>
          <w:sz w:val="24"/>
        </w:rPr>
        <w:t>m</w:t>
      </w:r>
      <w:r>
        <w:rPr>
          <w:sz w:val="24"/>
          <w:vertAlign w:val="superscript"/>
        </w:rPr>
        <w:t>2</w:t>
      </w:r>
      <w:r>
        <w:rPr>
          <w:rFonts w:hint="eastAsia"/>
          <w:sz w:val="24"/>
        </w:rPr>
        <w:t>，常住人口约1</w:t>
      </w:r>
      <w:r>
        <w:rPr>
          <w:sz w:val="24"/>
        </w:rPr>
        <w:t>3</w:t>
      </w:r>
      <w:r>
        <w:rPr>
          <w:rFonts w:hint="eastAsia"/>
          <w:sz w:val="24"/>
        </w:rPr>
        <w:t>万人。距省会合肥仅39km，距新桥国际机场仅40k</w:t>
      </w:r>
      <w:r>
        <w:rPr>
          <w:sz w:val="24"/>
        </w:rPr>
        <w:t>m</w:t>
      </w:r>
      <w:r>
        <w:rPr>
          <w:rFonts w:hint="eastAsia"/>
          <w:sz w:val="24"/>
        </w:rPr>
        <w:t>。拥有多重战略叠加优势，长三角一体化国家级战略和合肥都市圈、“合六经济走廊”等省级战略叠加覆盖于此。围绕构建特色鲜明、集约高效的产业集群，大力发展先进装备制造、电子信息、氢能源、新能源汽车零部件四大主导产业，拥有应流航空、明天氢能、上达电子、中航科电等一批明星企业，正在集中力量打造航空产业园、电子信息产业园、氢能源产业园、新能源汽车零部件产业园以及科技创新产业园。</w:t>
      </w:r>
    </w:p>
    <w:p>
      <w:pPr>
        <w:spacing w:line="360" w:lineRule="auto"/>
        <w:ind w:firstLine="480" w:firstLineChars="200"/>
        <w:rPr>
          <w:sz w:val="24"/>
        </w:rPr>
      </w:pPr>
      <w:r>
        <w:rPr>
          <w:rFonts w:hint="eastAsia"/>
          <w:sz w:val="24"/>
        </w:rPr>
        <w:t>（3）安徽裕安经济开发区</w:t>
      </w:r>
    </w:p>
    <w:p>
      <w:pPr>
        <w:spacing w:line="360" w:lineRule="auto"/>
        <w:ind w:firstLine="480" w:firstLineChars="200"/>
        <w:rPr>
          <w:sz w:val="24"/>
        </w:rPr>
      </w:pPr>
      <w:r>
        <w:rPr>
          <w:rFonts w:hint="eastAsia"/>
          <w:sz w:val="24"/>
        </w:rPr>
        <w:t>安徽裕安经济开发区位于六安市市区南部，2006年批准为省级开发区，2019年1月8日经安徽省人民政府批准更名为六安高新技术产业开发区，国家核准面积4.62</w:t>
      </w:r>
      <w:r>
        <w:rPr>
          <w:sz w:val="24"/>
        </w:rPr>
        <w:t>km</w:t>
      </w:r>
      <w:r>
        <w:rPr>
          <w:sz w:val="24"/>
          <w:vertAlign w:val="superscript"/>
        </w:rPr>
        <w:t>2</w:t>
      </w:r>
      <w:r>
        <w:rPr>
          <w:rFonts w:hint="eastAsia"/>
          <w:sz w:val="24"/>
        </w:rPr>
        <w:t>，区域面积55.4k</w:t>
      </w:r>
      <w:r>
        <w:rPr>
          <w:sz w:val="24"/>
        </w:rPr>
        <w:t>m</w:t>
      </w:r>
      <w:r>
        <w:rPr>
          <w:sz w:val="24"/>
          <w:vertAlign w:val="superscript"/>
        </w:rPr>
        <w:t>2</w:t>
      </w:r>
      <w:r>
        <w:rPr>
          <w:rFonts w:hint="eastAsia"/>
          <w:sz w:val="24"/>
        </w:rPr>
        <w:t>，规划面积40k</w:t>
      </w:r>
      <w:r>
        <w:rPr>
          <w:sz w:val="24"/>
        </w:rPr>
        <w:t>m</w:t>
      </w:r>
      <w:r>
        <w:rPr>
          <w:sz w:val="24"/>
          <w:vertAlign w:val="superscript"/>
        </w:rPr>
        <w:t>2</w:t>
      </w:r>
      <w:r>
        <w:rPr>
          <w:rFonts w:hint="eastAsia"/>
          <w:sz w:val="24"/>
        </w:rPr>
        <w:t>，建成区约18k</w:t>
      </w:r>
      <w:r>
        <w:rPr>
          <w:sz w:val="24"/>
        </w:rPr>
        <w:t>m</w:t>
      </w:r>
      <w:r>
        <w:rPr>
          <w:sz w:val="24"/>
          <w:vertAlign w:val="superscript"/>
        </w:rPr>
        <w:t>2</w:t>
      </w:r>
      <w:r>
        <w:rPr>
          <w:rFonts w:hint="eastAsia"/>
          <w:sz w:val="24"/>
        </w:rPr>
        <w:t>，固定资产投资千万元以上企业近65家，规模工业企业50家，高新技术企业21家。初步形成以国泰玻璃、鑫源玻璃、高迪环保，中宝建材、思源净化、佑通管业、盛世碧美等近30家企业为主的节能环保产业，以英科实业、奇盟光电、天通新材料、首玻光电、汉盛光电、尚荣无纺布等近30家企业为主的新材料产业，以梦娜服饰、益希璐服饰、爱戈斯服饰等近20家为主的轻工纺织产业，以恒兴工贸、万邦机械、智升汽摩、科力机械、顺怡隆机械、金龙齿轮等近20家企业为主的机械加工产业。</w:t>
      </w:r>
    </w:p>
    <w:p>
      <w:pPr>
        <w:spacing w:line="360" w:lineRule="auto"/>
        <w:ind w:firstLine="480" w:firstLineChars="200"/>
        <w:rPr>
          <w:sz w:val="24"/>
        </w:rPr>
      </w:pPr>
      <w:r>
        <w:rPr>
          <w:rFonts w:hint="eastAsia"/>
          <w:sz w:val="24"/>
        </w:rPr>
        <w:t>（4）舒城经济开发区（舒城包河现代产业园）</w:t>
      </w:r>
    </w:p>
    <w:p>
      <w:pPr>
        <w:spacing w:line="360" w:lineRule="auto"/>
        <w:ind w:firstLine="480" w:firstLineChars="200"/>
        <w:rPr>
          <w:sz w:val="24"/>
        </w:rPr>
      </w:pPr>
      <w:r>
        <w:rPr>
          <w:rFonts w:hint="eastAsia"/>
          <w:sz w:val="24"/>
        </w:rPr>
        <w:t>舒城经济开发区城关园区位于县城北部，规划面积13k</w:t>
      </w:r>
      <w:r>
        <w:rPr>
          <w:sz w:val="24"/>
        </w:rPr>
        <w:t>m</w:t>
      </w:r>
      <w:r>
        <w:rPr>
          <w:sz w:val="24"/>
          <w:vertAlign w:val="superscript"/>
        </w:rPr>
        <w:t>2</w:t>
      </w:r>
      <w:r>
        <w:rPr>
          <w:rFonts w:hint="eastAsia"/>
          <w:sz w:val="24"/>
        </w:rPr>
        <w:t>，是2006年省政府批准建立的省级开发区，是产城一体化园区，是全国农产品加工创业基地、全省新型工业化童车童床示范基地。</w:t>
      </w:r>
    </w:p>
    <w:p>
      <w:pPr>
        <w:spacing w:line="360" w:lineRule="auto"/>
        <w:ind w:firstLine="480" w:firstLineChars="200"/>
        <w:rPr>
          <w:sz w:val="24"/>
        </w:rPr>
      </w:pPr>
      <w:r>
        <w:rPr>
          <w:rFonts w:hint="eastAsia"/>
          <w:sz w:val="24"/>
        </w:rPr>
        <w:t>近年来，城关园区先后引进了总投资2200万美元的快乐蜂食品、总投资1亿美元的必斐艾食品、总投资6亿元的夏星年产20万吨速冻肉制品深加工、总投资2亿元的浩缘朋制衣、总投资1亿元的金丝狐羽绒服饰加工、总投资10亿元的峰源包装产业园、总投资5亿元的儿童用品产业园、总投资2.3亿元的绿荣虹茂白色家电五金配套、总投资5亿元的宏路轻工电子等一大批科技含量高、税收贡献大、发展前景好的大项目。这些项目的落户和建成投产，进一步加快了园区食品加工、儿童用品、纺织服装等传统产业的升级步伐，进一步壮大了园区经济总量和产业规模。</w:t>
      </w:r>
    </w:p>
    <w:p>
      <w:pPr>
        <w:spacing w:line="360" w:lineRule="auto"/>
        <w:ind w:firstLine="480" w:firstLineChars="200"/>
        <w:rPr>
          <w:sz w:val="24"/>
        </w:rPr>
      </w:pPr>
      <w:r>
        <w:rPr>
          <w:rFonts w:hint="eastAsia"/>
          <w:sz w:val="24"/>
        </w:rPr>
        <w:t>截至目前，园区入驻企业430多家，其中规模企业56家，形成了食品加工、装备制造、新型建材等主导产业，食品产业园、五金产业园、儿童用品产业园初具规模。2020年度，实现工业总产值200亿元，实现税收6.5亿元。</w:t>
      </w:r>
    </w:p>
    <w:p>
      <w:pPr>
        <w:spacing w:line="360" w:lineRule="auto"/>
        <w:ind w:firstLine="480" w:firstLineChars="200"/>
        <w:rPr>
          <w:sz w:val="24"/>
        </w:rPr>
      </w:pPr>
      <w:r>
        <w:rPr>
          <w:rFonts w:hint="eastAsia"/>
          <w:sz w:val="24"/>
        </w:rPr>
        <w:t>（5）霍邱经济开发区（合肥高新区霍邱现代产业园）</w:t>
      </w:r>
    </w:p>
    <w:p>
      <w:pPr>
        <w:spacing w:line="360" w:lineRule="auto"/>
        <w:ind w:firstLine="480" w:firstLineChars="200"/>
        <w:rPr>
          <w:sz w:val="24"/>
        </w:rPr>
      </w:pPr>
      <w:r>
        <w:rPr>
          <w:rFonts w:hint="eastAsia"/>
          <w:sz w:val="24"/>
        </w:rPr>
        <w:t>安徽霍邱经济开发区属省级开发区，2013年被批准为全省首批产城一体化示范园区，2014年被批准为国家循环化改造示范试点园区，2016年7月被省批准为与合肥高新区结对共建园区。辖区面积42</w:t>
      </w:r>
      <w:r>
        <w:rPr>
          <w:sz w:val="24"/>
        </w:rPr>
        <w:t>km</w:t>
      </w:r>
      <w:r>
        <w:rPr>
          <w:sz w:val="24"/>
          <w:vertAlign w:val="superscript"/>
        </w:rPr>
        <w:t>2</w:t>
      </w:r>
      <w:r>
        <w:rPr>
          <w:rFonts w:hint="eastAsia"/>
          <w:sz w:val="24"/>
        </w:rPr>
        <w:t>，人口3.1万人，规划面积17.09k</w:t>
      </w:r>
      <w:r>
        <w:rPr>
          <w:sz w:val="24"/>
        </w:rPr>
        <w:t>m</w:t>
      </w:r>
      <w:r>
        <w:rPr>
          <w:sz w:val="24"/>
          <w:vertAlign w:val="superscript"/>
        </w:rPr>
        <w:t>2</w:t>
      </w:r>
      <w:r>
        <w:rPr>
          <w:rFonts w:hint="eastAsia"/>
          <w:sz w:val="24"/>
        </w:rPr>
        <w:t>，累计建成区面积达6.64k</w:t>
      </w:r>
      <w:r>
        <w:rPr>
          <w:sz w:val="24"/>
        </w:rPr>
        <w:t>m</w:t>
      </w:r>
      <w:r>
        <w:rPr>
          <w:sz w:val="24"/>
          <w:vertAlign w:val="superscript"/>
        </w:rPr>
        <w:t>2</w:t>
      </w:r>
      <w:r>
        <w:rPr>
          <w:rFonts w:hint="eastAsia"/>
          <w:sz w:val="24"/>
        </w:rPr>
        <w:t>；作为“副城区”规划面积30k</w:t>
      </w:r>
      <w:r>
        <w:rPr>
          <w:sz w:val="24"/>
        </w:rPr>
        <w:t>m</w:t>
      </w:r>
      <w:r>
        <w:rPr>
          <w:sz w:val="24"/>
          <w:vertAlign w:val="superscript"/>
        </w:rPr>
        <w:t>2</w:t>
      </w:r>
      <w:r>
        <w:rPr>
          <w:rFonts w:hint="eastAsia"/>
          <w:sz w:val="24"/>
        </w:rPr>
        <w:t>，居住人口25万人。</w:t>
      </w:r>
    </w:p>
    <w:p>
      <w:pPr>
        <w:spacing w:line="360" w:lineRule="auto"/>
        <w:ind w:firstLine="480" w:firstLineChars="200"/>
        <w:rPr>
          <w:sz w:val="24"/>
        </w:rPr>
      </w:pPr>
      <w:r>
        <w:rPr>
          <w:rFonts w:hint="eastAsia"/>
          <w:sz w:val="24"/>
        </w:rPr>
        <w:t>安徽霍邱经济开发区依托铁矿资源，坚持“围矿不唯矿，抓铁超越铁”的指导思想，按“黑色金属冶炼及压延加工业、非金属矿物制品业、通用设备制造业为主导”的产业定位，实施延伸铁矿和深加工产业链条、转型升级和循环化改造战略，积极推进铁矿深加工、高新技术材料和机械加工制造的产业发展，持续推进钢铁千亿产业园、产城一体化试点园和循环化改造示范试点园区，构建铁矿开采和深加工产业、高新技术产业、新型材料产业、商贸物流产业、加工制造产业和专业市场等6个产业板块。园区内现有矿山企业14家，其中世界500强企业4家，国内500强企业3家，设计年度采选总规模近5000万吨，全部建成达产年可选铁精粉1500万吨，现已有9家矿山企业建成投产，年铁精粉产量达500万吨以上。区内规上工业企业30多家，工商企业400多家。</w:t>
      </w:r>
    </w:p>
    <w:p>
      <w:pPr>
        <w:spacing w:line="360" w:lineRule="auto"/>
        <w:ind w:firstLine="480" w:firstLineChars="200"/>
        <w:rPr>
          <w:sz w:val="24"/>
        </w:rPr>
      </w:pPr>
      <w:r>
        <w:rPr>
          <w:rFonts w:hint="eastAsia"/>
          <w:sz w:val="24"/>
        </w:rPr>
        <w:t>（6）霍山经济开发区</w:t>
      </w:r>
    </w:p>
    <w:p>
      <w:pPr>
        <w:spacing w:line="360" w:lineRule="auto"/>
        <w:ind w:firstLine="480" w:firstLineChars="200"/>
        <w:rPr>
          <w:sz w:val="24"/>
        </w:rPr>
      </w:pPr>
      <w:r>
        <w:rPr>
          <w:rFonts w:hint="eastAsia"/>
          <w:sz w:val="24"/>
        </w:rPr>
        <w:t>安徽霍山经济开发区成立于2002年7月，2006年4月被批准为省级开发区。经多次扩区及优化整合，目前开发区总控制面积50k</w:t>
      </w:r>
      <w:r>
        <w:rPr>
          <w:sz w:val="24"/>
        </w:rPr>
        <w:t>m</w:t>
      </w:r>
      <w:r>
        <w:rPr>
          <w:sz w:val="24"/>
          <w:vertAlign w:val="superscript"/>
        </w:rPr>
        <w:t>2</w:t>
      </w:r>
      <w:r>
        <w:rPr>
          <w:rFonts w:hint="eastAsia"/>
          <w:sz w:val="24"/>
        </w:rPr>
        <w:t>，建成区面积15.2k</w:t>
      </w:r>
      <w:r>
        <w:rPr>
          <w:sz w:val="24"/>
        </w:rPr>
        <w:t>m</w:t>
      </w:r>
      <w:r>
        <w:rPr>
          <w:sz w:val="24"/>
          <w:vertAlign w:val="superscript"/>
        </w:rPr>
        <w:t>2</w:t>
      </w:r>
      <w:r>
        <w:rPr>
          <w:rFonts w:hint="eastAsia"/>
          <w:sz w:val="24"/>
        </w:rPr>
        <w:t>。2017年9月，经济开发区进入国家级经济技术开发区培育期。</w:t>
      </w:r>
    </w:p>
    <w:p>
      <w:pPr>
        <w:spacing w:line="360" w:lineRule="auto"/>
        <w:ind w:firstLine="480" w:firstLineChars="200"/>
        <w:rPr>
          <w:sz w:val="24"/>
        </w:rPr>
      </w:pPr>
      <w:r>
        <w:rPr>
          <w:rFonts w:hint="eastAsia"/>
          <w:sz w:val="24"/>
        </w:rPr>
        <w:t>开发区目前已形成食品酿造、高端装备制造、光源电器、金属新材料、新能源、特色农产品深加工等优势主导产业，培育了迎驾集团、应流集团、世林集团、中国中药霍山石斛、天易金属、五洲新春等一批行业骨干龙头企业，主板上市公司2家，上市公司分公司5家，高新技术企业25家。目前，开发区现有工业企业400余家，其中规上企业75家。2020年，开发区实现规模工业总产值131.5亿元。</w:t>
      </w:r>
    </w:p>
    <w:p>
      <w:pPr>
        <w:spacing w:line="360" w:lineRule="auto"/>
        <w:ind w:firstLine="480" w:firstLineChars="200"/>
        <w:rPr>
          <w:sz w:val="24"/>
        </w:rPr>
      </w:pPr>
      <w:r>
        <w:rPr>
          <w:rFonts w:hint="eastAsia"/>
          <w:sz w:val="24"/>
        </w:rPr>
        <w:t>（7）</w:t>
      </w:r>
      <w:bookmarkStart w:id="74" w:name="_Hlk81500903"/>
      <w:r>
        <w:rPr>
          <w:rFonts w:hint="eastAsia"/>
          <w:sz w:val="24"/>
        </w:rPr>
        <w:t>金寨经济开发区（金寨现代产业园区）</w:t>
      </w:r>
      <w:bookmarkEnd w:id="74"/>
    </w:p>
    <w:p>
      <w:pPr>
        <w:spacing w:line="360" w:lineRule="auto"/>
        <w:ind w:firstLine="480" w:firstLineChars="200"/>
        <w:rPr>
          <w:sz w:val="24"/>
        </w:rPr>
      </w:pPr>
      <w:r>
        <w:rPr>
          <w:rFonts w:hint="eastAsia"/>
          <w:sz w:val="24"/>
        </w:rPr>
        <w:t>金寨经济开发区前身为金寨县工业园区，于2002年设立。2006年省政府以皖政秘[2006]22号文批准设立“安徽金寨经济开发区”为省级开发区。2012年，金寨现代产业园区经省政府批准设立。2012年11月底，金寨经济开发区纳入金寨现代产业园区统一管理。2019年9月，金寨现代产业园区（经济开发区）更名为金寨经济开发区（金寨现代产业园区）。</w:t>
      </w:r>
    </w:p>
    <w:p>
      <w:pPr>
        <w:spacing w:line="360" w:lineRule="auto"/>
        <w:ind w:firstLine="480" w:firstLineChars="200"/>
        <w:rPr>
          <w:sz w:val="24"/>
        </w:rPr>
      </w:pPr>
      <w:r>
        <w:rPr>
          <w:rFonts w:hint="eastAsia"/>
          <w:sz w:val="24"/>
        </w:rPr>
        <w:t>金寨经济开发区（金寨现代产业园区）行政管辖面积57.91k</w:t>
      </w:r>
      <w:r>
        <w:rPr>
          <w:sz w:val="24"/>
        </w:rPr>
        <w:t>m</w:t>
      </w:r>
      <w:r>
        <w:rPr>
          <w:sz w:val="24"/>
          <w:vertAlign w:val="superscript"/>
        </w:rPr>
        <w:t>2</w:t>
      </w:r>
      <w:r>
        <w:rPr>
          <w:rFonts w:hint="eastAsia"/>
          <w:sz w:val="24"/>
        </w:rPr>
        <w:t>，下辖3个村、4个社区，常住人口3万余人。历经多年发展，开发区已经成为县域经济发展的主阵地、产业脱贫的主战场，入园企业300余家，其中规模以上企业83家，初步形成了新能源、电子信息、机械制造、中医药大健康（农特产品深加工）、纺织五大主导产业。</w:t>
      </w:r>
    </w:p>
    <w:p>
      <w:pPr>
        <w:spacing w:line="360" w:lineRule="auto"/>
        <w:ind w:firstLine="480" w:firstLineChars="200"/>
        <w:rPr>
          <w:sz w:val="24"/>
        </w:rPr>
      </w:pPr>
      <w:r>
        <w:rPr>
          <w:rFonts w:hint="eastAsia"/>
          <w:sz w:val="24"/>
        </w:rPr>
        <w:t>（8）叶集经济开发区</w:t>
      </w:r>
    </w:p>
    <w:p>
      <w:pPr>
        <w:spacing w:line="360" w:lineRule="auto"/>
        <w:ind w:firstLine="480" w:firstLineChars="200"/>
        <w:rPr>
          <w:sz w:val="24"/>
        </w:rPr>
      </w:pPr>
      <w:r>
        <w:rPr>
          <w:rFonts w:hint="eastAsia"/>
          <w:sz w:val="24"/>
        </w:rPr>
        <w:t>叶集经济开发区于2002年8月经安徽省人民政府（皖政秘[2002]116号文件）批准设立，批准规划面积5.36km</w:t>
      </w:r>
      <w:r>
        <w:rPr>
          <w:sz w:val="24"/>
          <w:vertAlign w:val="superscript"/>
        </w:rPr>
        <w:t>2</w:t>
      </w:r>
      <w:r>
        <w:rPr>
          <w:rFonts w:hint="eastAsia"/>
          <w:sz w:val="24"/>
        </w:rPr>
        <w:t>。2007年，新增拓展区面积6.38km</w:t>
      </w:r>
      <w:r>
        <w:rPr>
          <w:sz w:val="24"/>
          <w:vertAlign w:val="superscript"/>
        </w:rPr>
        <w:t>2</w:t>
      </w:r>
      <w:r>
        <w:rPr>
          <w:rFonts w:hint="eastAsia"/>
          <w:sz w:val="24"/>
        </w:rPr>
        <w:t>，现开发区总计面积达13.54 km</w:t>
      </w:r>
      <w:r>
        <w:rPr>
          <w:sz w:val="24"/>
          <w:vertAlign w:val="superscript"/>
        </w:rPr>
        <w:t>2</w:t>
      </w:r>
      <w:r>
        <w:rPr>
          <w:rFonts w:hint="eastAsia"/>
          <w:sz w:val="24"/>
        </w:rPr>
        <w:t>。</w:t>
      </w:r>
    </w:p>
    <w:p>
      <w:pPr>
        <w:spacing w:line="360" w:lineRule="auto"/>
        <w:ind w:firstLine="480" w:firstLineChars="200"/>
        <w:rPr>
          <w:sz w:val="24"/>
        </w:rPr>
      </w:pPr>
      <w:r>
        <w:rPr>
          <w:rFonts w:hint="eastAsia"/>
          <w:sz w:val="24"/>
        </w:rPr>
        <w:t>叶集经济开发区主要分为五大功能区：一是以火车站站前广场为核心、站前大道为中轴的商贸物流园区（5.36km</w:t>
      </w:r>
      <w:r>
        <w:rPr>
          <w:sz w:val="24"/>
          <w:vertAlign w:val="superscript"/>
        </w:rPr>
        <w:t>2</w:t>
      </w:r>
      <w:r>
        <w:rPr>
          <w:rFonts w:hint="eastAsia"/>
          <w:sz w:val="24"/>
        </w:rPr>
        <w:t>），主要是建设大型专业市场和物流仓储；二是已经基本建成的个私工业园区（1.5 km</w:t>
      </w:r>
      <w:r>
        <w:rPr>
          <w:sz w:val="24"/>
          <w:vertAlign w:val="superscript"/>
        </w:rPr>
        <w:t>2</w:t>
      </w:r>
      <w:r>
        <w:rPr>
          <w:rFonts w:hint="eastAsia"/>
          <w:sz w:val="24"/>
        </w:rPr>
        <w:t>），以木材、建材加工为主；三是基本建成的绳铺木材产业园（0.3 km</w:t>
      </w:r>
      <w:r>
        <w:rPr>
          <w:sz w:val="24"/>
          <w:vertAlign w:val="superscript"/>
        </w:rPr>
        <w:t>2</w:t>
      </w:r>
      <w:r>
        <w:rPr>
          <w:rFonts w:hint="eastAsia"/>
          <w:sz w:val="24"/>
        </w:rPr>
        <w:t>），以板材加工为主；四是新312国道以南、岗南路北侧、柳林大道以东正在建设的轻纺、食品、木材加工为主的综合工业区（约2.5 km</w:t>
      </w:r>
      <w:r>
        <w:rPr>
          <w:sz w:val="24"/>
          <w:vertAlign w:val="superscript"/>
        </w:rPr>
        <w:t>2</w:t>
      </w:r>
      <w:r>
        <w:rPr>
          <w:rFonts w:hint="eastAsia"/>
          <w:sz w:val="24"/>
        </w:rPr>
        <w:t>）；五是新312国道以北的新型工业区（3.88 km</w:t>
      </w:r>
      <w:r>
        <w:rPr>
          <w:sz w:val="24"/>
          <w:vertAlign w:val="superscript"/>
        </w:rPr>
        <w:t>2</w:t>
      </w:r>
      <w:r>
        <w:rPr>
          <w:rFonts w:hint="eastAsia"/>
          <w:sz w:val="24"/>
        </w:rPr>
        <w:t>），计划引进科技含量和附加值较高的新型工业项目入驻。</w:t>
      </w:r>
    </w:p>
    <w:p>
      <w:pPr>
        <w:pStyle w:val="4"/>
        <w:spacing w:before="156" w:beforeLines="50" w:after="156" w:afterLines="50" w:line="360" w:lineRule="auto"/>
        <w:rPr>
          <w:sz w:val="28"/>
        </w:rPr>
      </w:pPr>
      <w:bookmarkStart w:id="75" w:name="_Toc95382445"/>
      <w:r>
        <w:rPr>
          <w:rFonts w:hint="eastAsia"/>
          <w:sz w:val="28"/>
        </w:rPr>
        <w:t>三</w:t>
      </w:r>
      <w:r>
        <w:rPr>
          <w:sz w:val="28"/>
        </w:rPr>
        <w:t>、</w:t>
      </w:r>
      <w:r>
        <w:rPr>
          <w:rFonts w:hint="eastAsia"/>
          <w:sz w:val="28"/>
        </w:rPr>
        <w:t>灌区分布及范围情况</w:t>
      </w:r>
      <w:bookmarkEnd w:id="75"/>
    </w:p>
    <w:p>
      <w:pPr>
        <w:spacing w:line="360" w:lineRule="auto"/>
        <w:ind w:firstLine="480" w:firstLineChars="200"/>
        <w:rPr>
          <w:sz w:val="24"/>
        </w:rPr>
      </w:pPr>
      <w:r>
        <w:rPr>
          <w:rFonts w:hint="eastAsia"/>
          <w:sz w:val="24"/>
        </w:rPr>
        <w:t>六安市现有大型灌区1处，为淠史杭灌区，设计灌溉面积1</w:t>
      </w:r>
      <w:r>
        <w:rPr>
          <w:sz w:val="24"/>
        </w:rPr>
        <w:t>198</w:t>
      </w:r>
      <w:r>
        <w:rPr>
          <w:rFonts w:hint="eastAsia"/>
          <w:sz w:val="24"/>
        </w:rPr>
        <w:t>万亩，分布于金安区、裕安区、叶集区、霍邱县、舒城县、金寨县和霍山县淠源渠。</w:t>
      </w:r>
    </w:p>
    <w:p>
      <w:pPr>
        <w:spacing w:line="360" w:lineRule="auto"/>
        <w:ind w:firstLine="480" w:firstLineChars="200"/>
        <w:rPr>
          <w:sz w:val="24"/>
        </w:rPr>
      </w:pPr>
      <w:r>
        <w:rPr>
          <w:rFonts w:hint="eastAsia"/>
          <w:sz w:val="24"/>
        </w:rPr>
        <w:t>六安市现有中型灌区</w:t>
      </w:r>
      <w:r>
        <w:rPr>
          <w:sz w:val="24"/>
        </w:rPr>
        <w:t>33</w:t>
      </w:r>
      <w:r>
        <w:rPr>
          <w:rFonts w:hint="eastAsia"/>
          <w:sz w:val="24"/>
        </w:rPr>
        <w:t>处，设计灌溉面积合计为</w:t>
      </w:r>
      <w:r>
        <w:rPr>
          <w:sz w:val="24"/>
        </w:rPr>
        <w:t>121.5</w:t>
      </w:r>
      <w:r>
        <w:rPr>
          <w:rFonts w:hint="eastAsia"/>
          <w:sz w:val="24"/>
        </w:rPr>
        <w:t>万亩。其中金安区有</w:t>
      </w:r>
      <w:r>
        <w:rPr>
          <w:sz w:val="24"/>
        </w:rPr>
        <w:t>4</w:t>
      </w:r>
      <w:r>
        <w:rPr>
          <w:rFonts w:hint="eastAsia"/>
          <w:sz w:val="24"/>
        </w:rPr>
        <w:t>处，设计灌溉面积合计为</w:t>
      </w:r>
      <w:r>
        <w:rPr>
          <w:sz w:val="24"/>
        </w:rPr>
        <w:t>7.7</w:t>
      </w:r>
      <w:r>
        <w:rPr>
          <w:rFonts w:hint="eastAsia"/>
          <w:sz w:val="24"/>
        </w:rPr>
        <w:t>万亩；裕安区有</w:t>
      </w:r>
      <w:r>
        <w:rPr>
          <w:sz w:val="24"/>
        </w:rPr>
        <w:t>4</w:t>
      </w:r>
      <w:r>
        <w:rPr>
          <w:rFonts w:hint="eastAsia"/>
          <w:sz w:val="24"/>
        </w:rPr>
        <w:t>处，设计灌溉面积合计为</w:t>
      </w:r>
      <w:r>
        <w:rPr>
          <w:sz w:val="24"/>
        </w:rPr>
        <w:t>7.5</w:t>
      </w:r>
      <w:r>
        <w:rPr>
          <w:rFonts w:hint="eastAsia"/>
          <w:sz w:val="24"/>
        </w:rPr>
        <w:t>万亩；叶集区有</w:t>
      </w:r>
      <w:r>
        <w:rPr>
          <w:sz w:val="24"/>
        </w:rPr>
        <w:t>2</w:t>
      </w:r>
      <w:r>
        <w:rPr>
          <w:rFonts w:hint="eastAsia"/>
          <w:sz w:val="24"/>
        </w:rPr>
        <w:t>处，设计灌溉面积为</w:t>
      </w:r>
      <w:r>
        <w:rPr>
          <w:sz w:val="24"/>
        </w:rPr>
        <w:t>5.7</w:t>
      </w:r>
      <w:r>
        <w:rPr>
          <w:rFonts w:hint="eastAsia"/>
          <w:sz w:val="24"/>
        </w:rPr>
        <w:t>万亩；</w:t>
      </w:r>
      <w:r>
        <w:rPr>
          <w:rFonts w:hint="eastAsia"/>
          <w:color w:val="000000" w:themeColor="text1"/>
          <w:sz w:val="24"/>
          <w14:textFill>
            <w14:solidFill>
              <w14:schemeClr w14:val="tx1"/>
            </w14:solidFill>
          </w14:textFill>
        </w:rPr>
        <w:t>霍邱县有</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处，设计灌溉面积合计为</w:t>
      </w:r>
      <w:r>
        <w:rPr>
          <w:color w:val="000000" w:themeColor="text1"/>
          <w:sz w:val="24"/>
          <w14:textFill>
            <w14:solidFill>
              <w14:schemeClr w14:val="tx1"/>
            </w14:solidFill>
          </w14:textFill>
        </w:rPr>
        <w:t>43.4</w:t>
      </w:r>
      <w:r>
        <w:rPr>
          <w:rFonts w:hint="eastAsia"/>
          <w:color w:val="000000" w:themeColor="text1"/>
          <w:sz w:val="24"/>
          <w14:textFill>
            <w14:solidFill>
              <w14:schemeClr w14:val="tx1"/>
            </w14:solidFill>
          </w14:textFill>
        </w:rPr>
        <w:t>万亩；</w:t>
      </w:r>
      <w:r>
        <w:rPr>
          <w:rFonts w:hint="eastAsia"/>
          <w:sz w:val="24"/>
        </w:rPr>
        <w:t>舒城县有</w:t>
      </w:r>
      <w:r>
        <w:rPr>
          <w:sz w:val="24"/>
        </w:rPr>
        <w:t>4</w:t>
      </w:r>
      <w:r>
        <w:rPr>
          <w:rFonts w:hint="eastAsia"/>
          <w:sz w:val="24"/>
        </w:rPr>
        <w:t>处，设计灌溉面积合计为6</w:t>
      </w:r>
      <w:r>
        <w:rPr>
          <w:sz w:val="24"/>
        </w:rPr>
        <w:t>.7</w:t>
      </w:r>
      <w:r>
        <w:rPr>
          <w:rFonts w:hint="eastAsia"/>
          <w:sz w:val="24"/>
        </w:rPr>
        <w:t>万亩；金寨县有</w:t>
      </w:r>
      <w:r>
        <w:rPr>
          <w:sz w:val="24"/>
        </w:rPr>
        <w:t>9</w:t>
      </w:r>
      <w:r>
        <w:rPr>
          <w:rFonts w:hint="eastAsia"/>
          <w:sz w:val="24"/>
        </w:rPr>
        <w:t>处，设计灌溉面积合计为</w:t>
      </w:r>
      <w:r>
        <w:rPr>
          <w:sz w:val="24"/>
        </w:rPr>
        <w:t>27.5</w:t>
      </w:r>
      <w:r>
        <w:rPr>
          <w:rFonts w:hint="eastAsia"/>
          <w:sz w:val="24"/>
        </w:rPr>
        <w:t>万亩；霍山县有8处，设计灌溉面积合计为</w:t>
      </w:r>
      <w:r>
        <w:rPr>
          <w:sz w:val="24"/>
        </w:rPr>
        <w:t>23.0</w:t>
      </w:r>
      <w:r>
        <w:rPr>
          <w:rFonts w:hint="eastAsia"/>
          <w:sz w:val="24"/>
        </w:rPr>
        <w:t>万亩。</w:t>
      </w:r>
    </w:p>
    <w:p>
      <w:pPr>
        <w:spacing w:line="360" w:lineRule="auto"/>
        <w:ind w:firstLine="480" w:firstLineChars="200"/>
        <w:rPr>
          <w:sz w:val="24"/>
        </w:rPr>
      </w:pPr>
      <w:r>
        <w:rPr>
          <w:rFonts w:hint="eastAsia"/>
          <w:sz w:val="24"/>
        </w:rPr>
        <w:t>六安市现有大中型灌区基本情况见表1</w:t>
      </w:r>
      <w:r>
        <w:rPr>
          <w:sz w:val="24"/>
        </w:rPr>
        <w:t>.4.1</w:t>
      </w:r>
      <w:r>
        <w:rPr>
          <w:rFonts w:hint="eastAsia"/>
          <w:sz w:val="24"/>
        </w:rPr>
        <w:t>。</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b/>
          <w:sz w:val="24"/>
          <w:szCs w:val="24"/>
        </w:rPr>
      </w:pPr>
      <w:r>
        <w:rPr>
          <w:rFonts w:hint="eastAsia"/>
          <w:b/>
          <w:sz w:val="24"/>
          <w:szCs w:val="24"/>
        </w:rPr>
        <w:t>表</w:t>
      </w:r>
      <w:r>
        <w:rPr>
          <w:b/>
          <w:sz w:val="24"/>
          <w:szCs w:val="24"/>
        </w:rPr>
        <w:t>1.4.1</w:t>
      </w:r>
      <w:r>
        <w:rPr>
          <w:rFonts w:hint="eastAsia"/>
          <w:b/>
          <w:sz w:val="24"/>
          <w:szCs w:val="24"/>
        </w:rPr>
        <w:t xml:space="preserve">  六安市现有大中型灌区基本情况表</w:t>
      </w:r>
    </w:p>
    <w:tbl>
      <w:tblPr>
        <w:tblStyle w:val="36"/>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309"/>
        <w:gridCol w:w="749"/>
        <w:gridCol w:w="1018"/>
        <w:gridCol w:w="922"/>
        <w:gridCol w:w="824"/>
        <w:gridCol w:w="727"/>
        <w:gridCol w:w="728"/>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0" w:type="dxa"/>
            <w:vMerge w:val="restart"/>
            <w:shd w:val="clear" w:color="auto" w:fill="auto"/>
            <w:vAlign w:val="center"/>
          </w:tcPr>
          <w:p>
            <w:pPr>
              <w:widowControl/>
              <w:spacing w:line="240" w:lineRule="exact"/>
              <w:jc w:val="center"/>
              <w:rPr>
                <w:kern w:val="0"/>
                <w:sz w:val="18"/>
                <w:szCs w:val="18"/>
              </w:rPr>
            </w:pPr>
            <w:r>
              <w:rPr>
                <w:kern w:val="0"/>
                <w:sz w:val="18"/>
                <w:szCs w:val="18"/>
              </w:rPr>
              <w:t>序号</w:t>
            </w:r>
          </w:p>
        </w:tc>
        <w:tc>
          <w:tcPr>
            <w:tcW w:w="1309" w:type="dxa"/>
            <w:vMerge w:val="restart"/>
            <w:shd w:val="clear" w:color="auto" w:fill="auto"/>
            <w:vAlign w:val="center"/>
          </w:tcPr>
          <w:p>
            <w:pPr>
              <w:widowControl/>
              <w:spacing w:line="240" w:lineRule="exact"/>
              <w:jc w:val="center"/>
              <w:rPr>
                <w:kern w:val="0"/>
                <w:sz w:val="18"/>
                <w:szCs w:val="18"/>
              </w:rPr>
            </w:pPr>
            <w:r>
              <w:rPr>
                <w:kern w:val="0"/>
                <w:sz w:val="18"/>
                <w:szCs w:val="18"/>
              </w:rPr>
              <w:t>灌区名称</w:t>
            </w:r>
          </w:p>
        </w:tc>
        <w:tc>
          <w:tcPr>
            <w:tcW w:w="749" w:type="dxa"/>
            <w:vMerge w:val="restart"/>
            <w:shd w:val="clear" w:color="auto" w:fill="auto"/>
            <w:vAlign w:val="center"/>
          </w:tcPr>
          <w:p>
            <w:pPr>
              <w:widowControl/>
              <w:spacing w:line="240" w:lineRule="exact"/>
              <w:jc w:val="center"/>
              <w:rPr>
                <w:kern w:val="0"/>
                <w:sz w:val="18"/>
                <w:szCs w:val="18"/>
              </w:rPr>
            </w:pPr>
            <w:r>
              <w:rPr>
                <w:kern w:val="0"/>
                <w:sz w:val="18"/>
                <w:szCs w:val="18"/>
              </w:rPr>
              <w:t>灌区类型</w:t>
            </w:r>
          </w:p>
        </w:tc>
        <w:tc>
          <w:tcPr>
            <w:tcW w:w="1018" w:type="dxa"/>
            <w:vMerge w:val="restart"/>
            <w:shd w:val="clear" w:color="auto" w:fill="auto"/>
            <w:vAlign w:val="center"/>
          </w:tcPr>
          <w:p>
            <w:pPr>
              <w:widowControl/>
              <w:spacing w:line="240" w:lineRule="exact"/>
              <w:jc w:val="center"/>
              <w:rPr>
                <w:kern w:val="0"/>
                <w:sz w:val="18"/>
                <w:szCs w:val="18"/>
              </w:rPr>
            </w:pPr>
            <w:r>
              <w:rPr>
                <w:kern w:val="0"/>
                <w:sz w:val="18"/>
                <w:szCs w:val="18"/>
              </w:rPr>
              <w:t>设计灌溉面积</w:t>
            </w:r>
            <w:r>
              <w:rPr>
                <w:rFonts w:hint="eastAsia"/>
                <w:kern w:val="0"/>
                <w:sz w:val="18"/>
                <w:szCs w:val="18"/>
              </w:rPr>
              <w:t xml:space="preserve"> </w:t>
            </w:r>
            <w:r>
              <w:rPr>
                <w:kern w:val="0"/>
                <w:sz w:val="18"/>
                <w:szCs w:val="18"/>
              </w:rPr>
              <w:t xml:space="preserve"> （万亩）</w:t>
            </w:r>
          </w:p>
        </w:tc>
        <w:tc>
          <w:tcPr>
            <w:tcW w:w="922" w:type="dxa"/>
            <w:vMerge w:val="restart"/>
            <w:shd w:val="clear" w:color="auto" w:fill="auto"/>
            <w:vAlign w:val="center"/>
          </w:tcPr>
          <w:p>
            <w:pPr>
              <w:widowControl/>
              <w:spacing w:line="240" w:lineRule="exact"/>
              <w:jc w:val="center"/>
              <w:rPr>
                <w:kern w:val="0"/>
                <w:sz w:val="18"/>
                <w:szCs w:val="18"/>
              </w:rPr>
            </w:pPr>
            <w:r>
              <w:rPr>
                <w:kern w:val="0"/>
                <w:sz w:val="18"/>
                <w:szCs w:val="18"/>
              </w:rPr>
              <w:t>水源工程类型</w:t>
            </w:r>
          </w:p>
        </w:tc>
        <w:tc>
          <w:tcPr>
            <w:tcW w:w="824" w:type="dxa"/>
            <w:vMerge w:val="restart"/>
            <w:shd w:val="clear" w:color="auto" w:fill="auto"/>
            <w:vAlign w:val="center"/>
          </w:tcPr>
          <w:p>
            <w:pPr>
              <w:widowControl/>
              <w:spacing w:line="240" w:lineRule="exact"/>
              <w:jc w:val="center"/>
              <w:rPr>
                <w:kern w:val="0"/>
                <w:sz w:val="18"/>
                <w:szCs w:val="18"/>
              </w:rPr>
            </w:pPr>
            <w:r>
              <w:rPr>
                <w:kern w:val="0"/>
                <w:sz w:val="18"/>
                <w:szCs w:val="18"/>
              </w:rPr>
              <w:t>地貌类型</w:t>
            </w:r>
          </w:p>
        </w:tc>
        <w:tc>
          <w:tcPr>
            <w:tcW w:w="1455" w:type="dxa"/>
            <w:gridSpan w:val="2"/>
            <w:shd w:val="clear" w:color="auto" w:fill="auto"/>
            <w:vAlign w:val="center"/>
          </w:tcPr>
          <w:p>
            <w:pPr>
              <w:widowControl/>
              <w:spacing w:line="240" w:lineRule="exact"/>
              <w:jc w:val="center"/>
              <w:rPr>
                <w:kern w:val="0"/>
                <w:sz w:val="18"/>
                <w:szCs w:val="18"/>
              </w:rPr>
            </w:pPr>
            <w:r>
              <w:rPr>
                <w:kern w:val="0"/>
                <w:sz w:val="18"/>
                <w:szCs w:val="18"/>
              </w:rPr>
              <w:t>灌溉作物结构</w:t>
            </w:r>
            <w:r>
              <w:rPr>
                <w:kern w:val="0"/>
                <w:sz w:val="18"/>
                <w:szCs w:val="18"/>
              </w:rPr>
              <w:br w:type="textWrapping"/>
            </w:r>
            <w:r>
              <w:rPr>
                <w:kern w:val="0"/>
                <w:sz w:val="18"/>
                <w:szCs w:val="18"/>
              </w:rPr>
              <w:t>（%）</w:t>
            </w:r>
          </w:p>
        </w:tc>
        <w:tc>
          <w:tcPr>
            <w:tcW w:w="1619" w:type="dxa"/>
            <w:vMerge w:val="restart"/>
            <w:shd w:val="clear" w:color="auto" w:fill="auto"/>
            <w:vAlign w:val="center"/>
          </w:tcPr>
          <w:p>
            <w:pPr>
              <w:widowControl/>
              <w:spacing w:line="240" w:lineRule="exact"/>
              <w:jc w:val="center"/>
              <w:rPr>
                <w:kern w:val="0"/>
                <w:sz w:val="18"/>
                <w:szCs w:val="18"/>
              </w:rPr>
            </w:pPr>
            <w:r>
              <w:rPr>
                <w:kern w:val="0"/>
                <w:sz w:val="18"/>
                <w:szCs w:val="18"/>
              </w:rPr>
              <w:t>所在县区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0" w:type="dxa"/>
            <w:vMerge w:val="continue"/>
            <w:vAlign w:val="center"/>
          </w:tcPr>
          <w:p>
            <w:pPr>
              <w:widowControl/>
              <w:spacing w:line="240" w:lineRule="exact"/>
              <w:jc w:val="left"/>
              <w:rPr>
                <w:kern w:val="0"/>
                <w:sz w:val="18"/>
                <w:szCs w:val="18"/>
              </w:rPr>
            </w:pPr>
          </w:p>
        </w:tc>
        <w:tc>
          <w:tcPr>
            <w:tcW w:w="1309" w:type="dxa"/>
            <w:vMerge w:val="continue"/>
            <w:vAlign w:val="center"/>
          </w:tcPr>
          <w:p>
            <w:pPr>
              <w:widowControl/>
              <w:spacing w:line="240" w:lineRule="exact"/>
              <w:jc w:val="left"/>
              <w:rPr>
                <w:kern w:val="0"/>
                <w:sz w:val="18"/>
                <w:szCs w:val="18"/>
              </w:rPr>
            </w:pPr>
          </w:p>
        </w:tc>
        <w:tc>
          <w:tcPr>
            <w:tcW w:w="749" w:type="dxa"/>
            <w:vMerge w:val="continue"/>
            <w:vAlign w:val="center"/>
          </w:tcPr>
          <w:p>
            <w:pPr>
              <w:widowControl/>
              <w:spacing w:line="240" w:lineRule="exact"/>
              <w:jc w:val="left"/>
              <w:rPr>
                <w:kern w:val="0"/>
                <w:sz w:val="18"/>
                <w:szCs w:val="18"/>
              </w:rPr>
            </w:pPr>
          </w:p>
        </w:tc>
        <w:tc>
          <w:tcPr>
            <w:tcW w:w="1018" w:type="dxa"/>
            <w:vMerge w:val="continue"/>
            <w:vAlign w:val="center"/>
          </w:tcPr>
          <w:p>
            <w:pPr>
              <w:widowControl/>
              <w:spacing w:line="240" w:lineRule="exact"/>
              <w:jc w:val="left"/>
              <w:rPr>
                <w:kern w:val="0"/>
                <w:sz w:val="18"/>
                <w:szCs w:val="18"/>
              </w:rPr>
            </w:pPr>
          </w:p>
        </w:tc>
        <w:tc>
          <w:tcPr>
            <w:tcW w:w="922" w:type="dxa"/>
            <w:vMerge w:val="continue"/>
            <w:vAlign w:val="center"/>
          </w:tcPr>
          <w:p>
            <w:pPr>
              <w:widowControl/>
              <w:spacing w:line="240" w:lineRule="exact"/>
              <w:jc w:val="left"/>
              <w:rPr>
                <w:kern w:val="0"/>
                <w:sz w:val="18"/>
                <w:szCs w:val="18"/>
              </w:rPr>
            </w:pPr>
          </w:p>
        </w:tc>
        <w:tc>
          <w:tcPr>
            <w:tcW w:w="824" w:type="dxa"/>
            <w:vMerge w:val="continue"/>
            <w:vAlign w:val="center"/>
          </w:tcPr>
          <w:p>
            <w:pPr>
              <w:widowControl/>
              <w:spacing w:line="240" w:lineRule="exact"/>
              <w:jc w:val="left"/>
              <w:rPr>
                <w:kern w:val="0"/>
                <w:sz w:val="18"/>
                <w:szCs w:val="18"/>
              </w:rPr>
            </w:pPr>
          </w:p>
        </w:tc>
        <w:tc>
          <w:tcPr>
            <w:tcW w:w="727" w:type="dxa"/>
            <w:shd w:val="clear" w:color="auto" w:fill="auto"/>
            <w:vAlign w:val="center"/>
          </w:tcPr>
          <w:p>
            <w:pPr>
              <w:widowControl/>
              <w:spacing w:line="240" w:lineRule="exact"/>
              <w:jc w:val="center"/>
              <w:rPr>
                <w:kern w:val="0"/>
                <w:sz w:val="18"/>
                <w:szCs w:val="18"/>
              </w:rPr>
            </w:pPr>
            <w:r>
              <w:rPr>
                <w:kern w:val="0"/>
                <w:sz w:val="18"/>
                <w:szCs w:val="18"/>
              </w:rPr>
              <w:t>粮食作物</w:t>
            </w:r>
          </w:p>
        </w:tc>
        <w:tc>
          <w:tcPr>
            <w:tcW w:w="728" w:type="dxa"/>
            <w:shd w:val="clear" w:color="auto" w:fill="auto"/>
            <w:vAlign w:val="center"/>
          </w:tcPr>
          <w:p>
            <w:pPr>
              <w:widowControl/>
              <w:spacing w:line="240" w:lineRule="exact"/>
              <w:jc w:val="center"/>
              <w:rPr>
                <w:kern w:val="0"/>
                <w:sz w:val="18"/>
                <w:szCs w:val="18"/>
              </w:rPr>
            </w:pPr>
            <w:r>
              <w:rPr>
                <w:kern w:val="0"/>
                <w:sz w:val="18"/>
                <w:szCs w:val="18"/>
              </w:rPr>
              <w:t>经济作物</w:t>
            </w:r>
          </w:p>
        </w:tc>
        <w:tc>
          <w:tcPr>
            <w:tcW w:w="1619" w:type="dxa"/>
            <w:vMerge w:val="continue"/>
            <w:vAlign w:val="center"/>
          </w:tcPr>
          <w:p>
            <w:pPr>
              <w:widowControl/>
              <w:spacing w:line="24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kern w:val="0"/>
                <w:sz w:val="18"/>
                <w:szCs w:val="18"/>
              </w:rPr>
              <w:t>1</w:t>
            </w:r>
          </w:p>
        </w:tc>
        <w:tc>
          <w:tcPr>
            <w:tcW w:w="1309" w:type="dxa"/>
            <w:shd w:val="clear" w:color="auto" w:fill="auto"/>
            <w:vAlign w:val="center"/>
          </w:tcPr>
          <w:p>
            <w:pPr>
              <w:widowControl/>
              <w:spacing w:line="240" w:lineRule="exact"/>
              <w:jc w:val="center"/>
              <w:rPr>
                <w:kern w:val="0"/>
                <w:sz w:val="18"/>
                <w:szCs w:val="18"/>
              </w:rPr>
            </w:pPr>
            <w:r>
              <w:rPr>
                <w:kern w:val="0"/>
                <w:sz w:val="18"/>
                <w:szCs w:val="18"/>
              </w:rPr>
              <w:t>淠史杭灌区</w:t>
            </w:r>
          </w:p>
        </w:tc>
        <w:tc>
          <w:tcPr>
            <w:tcW w:w="749" w:type="dxa"/>
            <w:shd w:val="clear" w:color="auto" w:fill="auto"/>
            <w:vAlign w:val="center"/>
          </w:tcPr>
          <w:p>
            <w:pPr>
              <w:widowControl/>
              <w:spacing w:line="240" w:lineRule="exact"/>
              <w:jc w:val="center"/>
              <w:rPr>
                <w:kern w:val="0"/>
                <w:sz w:val="18"/>
                <w:szCs w:val="18"/>
              </w:rPr>
            </w:pPr>
            <w:r>
              <w:rPr>
                <w:kern w:val="0"/>
                <w:sz w:val="18"/>
                <w:szCs w:val="18"/>
              </w:rPr>
              <w:t>大型</w:t>
            </w:r>
          </w:p>
        </w:tc>
        <w:tc>
          <w:tcPr>
            <w:tcW w:w="1018" w:type="dxa"/>
            <w:shd w:val="clear" w:color="auto" w:fill="auto"/>
            <w:vAlign w:val="center"/>
          </w:tcPr>
          <w:p>
            <w:pPr>
              <w:widowControl/>
              <w:spacing w:line="240" w:lineRule="exact"/>
              <w:jc w:val="center"/>
              <w:rPr>
                <w:kern w:val="0"/>
                <w:sz w:val="18"/>
                <w:szCs w:val="18"/>
              </w:rPr>
            </w:pPr>
            <w:r>
              <w:rPr>
                <w:kern w:val="0"/>
                <w:sz w:val="18"/>
                <w:szCs w:val="18"/>
              </w:rPr>
              <w:t>1198</w:t>
            </w:r>
          </w:p>
        </w:tc>
        <w:tc>
          <w:tcPr>
            <w:tcW w:w="922" w:type="dxa"/>
            <w:shd w:val="clear" w:color="auto" w:fill="auto"/>
            <w:vAlign w:val="center"/>
          </w:tcPr>
          <w:p>
            <w:pPr>
              <w:widowControl/>
              <w:spacing w:line="240" w:lineRule="exact"/>
              <w:jc w:val="center"/>
              <w:rPr>
                <w:kern w:val="0"/>
                <w:sz w:val="18"/>
                <w:szCs w:val="18"/>
              </w:rPr>
            </w:pPr>
            <w:r>
              <w:rPr>
                <w:kern w:val="0"/>
                <w:sz w:val="18"/>
                <w:szCs w:val="18"/>
              </w:rPr>
              <w:t>水库</w:t>
            </w:r>
          </w:p>
        </w:tc>
        <w:tc>
          <w:tcPr>
            <w:tcW w:w="824" w:type="dxa"/>
            <w:shd w:val="clear" w:color="auto" w:fill="auto"/>
            <w:vAlign w:val="center"/>
          </w:tcPr>
          <w:p>
            <w:pPr>
              <w:widowControl/>
              <w:spacing w:line="240" w:lineRule="exact"/>
              <w:jc w:val="center"/>
              <w:rPr>
                <w:kern w:val="0"/>
                <w:sz w:val="18"/>
                <w:szCs w:val="18"/>
              </w:rPr>
            </w:pPr>
            <w:r>
              <w:rPr>
                <w:kern w:val="0"/>
                <w:sz w:val="18"/>
                <w:szCs w:val="18"/>
              </w:rPr>
              <w:t>丘陵、圩垸区</w:t>
            </w:r>
          </w:p>
        </w:tc>
        <w:tc>
          <w:tcPr>
            <w:tcW w:w="727" w:type="dxa"/>
            <w:shd w:val="clear" w:color="auto" w:fill="auto"/>
            <w:vAlign w:val="center"/>
          </w:tcPr>
          <w:p>
            <w:pPr>
              <w:widowControl/>
              <w:spacing w:line="240" w:lineRule="exact"/>
              <w:jc w:val="center"/>
              <w:rPr>
                <w:kern w:val="0"/>
                <w:sz w:val="18"/>
                <w:szCs w:val="18"/>
              </w:rPr>
            </w:pPr>
            <w:r>
              <w:rPr>
                <w:kern w:val="0"/>
                <w:sz w:val="18"/>
                <w:szCs w:val="18"/>
              </w:rPr>
              <w:t>-</w:t>
            </w:r>
          </w:p>
        </w:tc>
        <w:tc>
          <w:tcPr>
            <w:tcW w:w="728" w:type="dxa"/>
            <w:shd w:val="clear" w:color="auto" w:fill="auto"/>
            <w:vAlign w:val="center"/>
          </w:tcPr>
          <w:p>
            <w:pPr>
              <w:widowControl/>
              <w:spacing w:line="240" w:lineRule="exact"/>
              <w:jc w:val="center"/>
              <w:rPr>
                <w:kern w:val="0"/>
                <w:sz w:val="18"/>
                <w:szCs w:val="18"/>
              </w:rPr>
            </w:pPr>
            <w:r>
              <w:rPr>
                <w:kern w:val="0"/>
                <w:sz w:val="18"/>
                <w:szCs w:val="18"/>
              </w:rPr>
              <w:t>-</w:t>
            </w:r>
          </w:p>
        </w:tc>
        <w:tc>
          <w:tcPr>
            <w:tcW w:w="1619" w:type="dxa"/>
            <w:shd w:val="clear" w:color="auto" w:fill="auto"/>
            <w:vAlign w:val="center"/>
          </w:tcPr>
          <w:p>
            <w:pPr>
              <w:widowControl/>
              <w:spacing w:line="240" w:lineRule="exact"/>
              <w:jc w:val="center"/>
              <w:rPr>
                <w:kern w:val="0"/>
                <w:sz w:val="18"/>
                <w:szCs w:val="18"/>
              </w:rPr>
            </w:pPr>
            <w:r>
              <w:rPr>
                <w:kern w:val="0"/>
                <w:sz w:val="18"/>
                <w:szCs w:val="18"/>
              </w:rPr>
              <w:t>金安区、裕安区、叶集区、霍邱县、舒城县、金寨县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rFonts w:hint="eastAsia"/>
                <w:sz w:val="18"/>
                <w:szCs w:val="18"/>
              </w:rPr>
              <w:t>2</w:t>
            </w:r>
          </w:p>
        </w:tc>
        <w:tc>
          <w:tcPr>
            <w:tcW w:w="1309" w:type="dxa"/>
            <w:shd w:val="clear" w:color="auto" w:fill="auto"/>
            <w:vAlign w:val="center"/>
          </w:tcPr>
          <w:p>
            <w:pPr>
              <w:widowControl/>
              <w:spacing w:line="240" w:lineRule="exact"/>
              <w:jc w:val="center"/>
              <w:rPr>
                <w:kern w:val="0"/>
                <w:sz w:val="18"/>
                <w:szCs w:val="18"/>
              </w:rPr>
            </w:pPr>
            <w:r>
              <w:rPr>
                <w:sz w:val="18"/>
                <w:szCs w:val="18"/>
              </w:rPr>
              <w:t>横塘灌区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2.00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vAlign w:val="center"/>
          </w:tcPr>
          <w:p>
            <w:pPr>
              <w:widowControl/>
              <w:spacing w:line="240" w:lineRule="exact"/>
              <w:jc w:val="center"/>
              <w:rPr>
                <w:kern w:val="0"/>
                <w:sz w:val="18"/>
                <w:szCs w:val="18"/>
              </w:rPr>
            </w:pPr>
            <w:r>
              <w:rPr>
                <w:sz w:val="18"/>
                <w:szCs w:val="18"/>
              </w:rPr>
              <w:t>80</w:t>
            </w:r>
          </w:p>
        </w:tc>
        <w:tc>
          <w:tcPr>
            <w:tcW w:w="728" w:type="dxa"/>
            <w:shd w:val="clear" w:color="auto" w:fill="auto"/>
            <w:vAlign w:val="center"/>
          </w:tcPr>
          <w:p>
            <w:pPr>
              <w:widowControl/>
              <w:spacing w:line="240" w:lineRule="exact"/>
              <w:jc w:val="center"/>
              <w:rPr>
                <w:kern w:val="0"/>
                <w:sz w:val="18"/>
                <w:szCs w:val="18"/>
              </w:rPr>
            </w:pPr>
            <w:r>
              <w:rPr>
                <w:sz w:val="18"/>
                <w:szCs w:val="18"/>
              </w:rPr>
              <w:t>20</w:t>
            </w:r>
          </w:p>
        </w:tc>
        <w:tc>
          <w:tcPr>
            <w:tcW w:w="1619" w:type="dxa"/>
            <w:shd w:val="clear" w:color="auto" w:fill="auto"/>
            <w:vAlign w:val="center"/>
          </w:tcPr>
          <w:p>
            <w:pPr>
              <w:widowControl/>
              <w:spacing w:line="240" w:lineRule="exact"/>
              <w:jc w:val="center"/>
              <w:rPr>
                <w:kern w:val="0"/>
                <w:sz w:val="18"/>
                <w:szCs w:val="18"/>
              </w:rPr>
            </w:pPr>
            <w:r>
              <w:rPr>
                <w:sz w:val="18"/>
                <w:szCs w:val="18"/>
              </w:rPr>
              <w:t>金安区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rFonts w:hint="eastAsia"/>
                <w:sz w:val="18"/>
                <w:szCs w:val="18"/>
              </w:rPr>
              <w:t>3</w:t>
            </w:r>
          </w:p>
        </w:tc>
        <w:tc>
          <w:tcPr>
            <w:tcW w:w="1309" w:type="dxa"/>
            <w:shd w:val="clear" w:color="auto" w:fill="auto"/>
            <w:vAlign w:val="center"/>
          </w:tcPr>
          <w:p>
            <w:pPr>
              <w:widowControl/>
              <w:spacing w:line="240" w:lineRule="exact"/>
              <w:jc w:val="center"/>
              <w:rPr>
                <w:kern w:val="0"/>
                <w:sz w:val="18"/>
                <w:szCs w:val="18"/>
              </w:rPr>
            </w:pPr>
            <w:r>
              <w:rPr>
                <w:sz w:val="18"/>
                <w:szCs w:val="18"/>
              </w:rPr>
              <w:t>金杯灌区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1.20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vAlign w:val="center"/>
          </w:tcPr>
          <w:p>
            <w:pPr>
              <w:widowControl/>
              <w:spacing w:line="240" w:lineRule="exact"/>
              <w:jc w:val="center"/>
              <w:rPr>
                <w:kern w:val="0"/>
                <w:sz w:val="18"/>
                <w:szCs w:val="18"/>
              </w:rPr>
            </w:pPr>
            <w:r>
              <w:rPr>
                <w:sz w:val="18"/>
                <w:szCs w:val="18"/>
              </w:rPr>
              <w:t>85</w:t>
            </w:r>
          </w:p>
        </w:tc>
        <w:tc>
          <w:tcPr>
            <w:tcW w:w="728" w:type="dxa"/>
            <w:shd w:val="clear" w:color="auto" w:fill="auto"/>
            <w:vAlign w:val="center"/>
          </w:tcPr>
          <w:p>
            <w:pPr>
              <w:widowControl/>
              <w:spacing w:line="240" w:lineRule="exact"/>
              <w:jc w:val="center"/>
              <w:rPr>
                <w:kern w:val="0"/>
                <w:sz w:val="18"/>
                <w:szCs w:val="18"/>
              </w:rPr>
            </w:pPr>
            <w:r>
              <w:rPr>
                <w:sz w:val="18"/>
                <w:szCs w:val="18"/>
              </w:rPr>
              <w:t>15</w:t>
            </w:r>
          </w:p>
        </w:tc>
        <w:tc>
          <w:tcPr>
            <w:tcW w:w="1619" w:type="dxa"/>
            <w:shd w:val="clear" w:color="auto" w:fill="auto"/>
            <w:vAlign w:val="center"/>
          </w:tcPr>
          <w:p>
            <w:pPr>
              <w:widowControl/>
              <w:spacing w:line="240" w:lineRule="exact"/>
              <w:jc w:val="center"/>
              <w:rPr>
                <w:kern w:val="0"/>
                <w:sz w:val="18"/>
                <w:szCs w:val="18"/>
              </w:rPr>
            </w:pPr>
            <w:r>
              <w:rPr>
                <w:sz w:val="18"/>
                <w:szCs w:val="18"/>
              </w:rPr>
              <w:t>金安区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rFonts w:hint="eastAsia"/>
                <w:sz w:val="18"/>
                <w:szCs w:val="18"/>
              </w:rPr>
              <w:t>4</w:t>
            </w:r>
          </w:p>
        </w:tc>
        <w:tc>
          <w:tcPr>
            <w:tcW w:w="1309" w:type="dxa"/>
            <w:shd w:val="clear" w:color="auto" w:fill="auto"/>
            <w:vAlign w:val="center"/>
          </w:tcPr>
          <w:p>
            <w:pPr>
              <w:widowControl/>
              <w:spacing w:line="240" w:lineRule="exact"/>
              <w:jc w:val="center"/>
              <w:rPr>
                <w:kern w:val="0"/>
                <w:sz w:val="18"/>
                <w:szCs w:val="18"/>
              </w:rPr>
            </w:pPr>
            <w:r>
              <w:rPr>
                <w:sz w:val="18"/>
                <w:szCs w:val="18"/>
              </w:rPr>
              <w:t>长岭灌区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1.50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vAlign w:val="center"/>
          </w:tcPr>
          <w:p>
            <w:pPr>
              <w:widowControl/>
              <w:spacing w:line="240" w:lineRule="exact"/>
              <w:jc w:val="center"/>
              <w:rPr>
                <w:kern w:val="0"/>
                <w:sz w:val="18"/>
                <w:szCs w:val="18"/>
              </w:rPr>
            </w:pPr>
            <w:r>
              <w:rPr>
                <w:sz w:val="18"/>
                <w:szCs w:val="18"/>
              </w:rPr>
              <w:t>85</w:t>
            </w:r>
          </w:p>
        </w:tc>
        <w:tc>
          <w:tcPr>
            <w:tcW w:w="728" w:type="dxa"/>
            <w:shd w:val="clear" w:color="auto" w:fill="auto"/>
            <w:vAlign w:val="center"/>
          </w:tcPr>
          <w:p>
            <w:pPr>
              <w:widowControl/>
              <w:spacing w:line="240" w:lineRule="exact"/>
              <w:jc w:val="center"/>
              <w:rPr>
                <w:kern w:val="0"/>
                <w:sz w:val="18"/>
                <w:szCs w:val="18"/>
              </w:rPr>
            </w:pPr>
            <w:r>
              <w:rPr>
                <w:sz w:val="18"/>
                <w:szCs w:val="18"/>
              </w:rPr>
              <w:t>15</w:t>
            </w:r>
          </w:p>
        </w:tc>
        <w:tc>
          <w:tcPr>
            <w:tcW w:w="1619" w:type="dxa"/>
            <w:shd w:val="clear" w:color="auto" w:fill="auto"/>
            <w:vAlign w:val="center"/>
          </w:tcPr>
          <w:p>
            <w:pPr>
              <w:widowControl/>
              <w:spacing w:line="240" w:lineRule="exact"/>
              <w:jc w:val="center"/>
              <w:rPr>
                <w:kern w:val="0"/>
                <w:sz w:val="18"/>
                <w:szCs w:val="18"/>
              </w:rPr>
            </w:pPr>
            <w:r>
              <w:rPr>
                <w:sz w:val="18"/>
                <w:szCs w:val="18"/>
              </w:rPr>
              <w:t>金安区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rFonts w:hint="eastAsia"/>
                <w:sz w:val="18"/>
                <w:szCs w:val="18"/>
              </w:rPr>
              <w:t>5</w:t>
            </w:r>
          </w:p>
        </w:tc>
        <w:tc>
          <w:tcPr>
            <w:tcW w:w="1309" w:type="dxa"/>
            <w:shd w:val="clear" w:color="auto" w:fill="auto"/>
            <w:vAlign w:val="center"/>
          </w:tcPr>
          <w:p>
            <w:pPr>
              <w:widowControl/>
              <w:spacing w:line="240" w:lineRule="exact"/>
              <w:jc w:val="center"/>
              <w:rPr>
                <w:kern w:val="0"/>
                <w:sz w:val="18"/>
                <w:szCs w:val="18"/>
              </w:rPr>
            </w:pPr>
            <w:r>
              <w:rPr>
                <w:sz w:val="18"/>
                <w:szCs w:val="18"/>
              </w:rPr>
              <w:t>江淮果岭灌区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3.00</w:t>
            </w:r>
          </w:p>
        </w:tc>
        <w:tc>
          <w:tcPr>
            <w:tcW w:w="922" w:type="dxa"/>
            <w:shd w:val="clear" w:color="auto" w:fill="auto"/>
            <w:vAlign w:val="center"/>
          </w:tcPr>
          <w:p>
            <w:pPr>
              <w:widowControl/>
              <w:spacing w:line="240" w:lineRule="exact"/>
              <w:jc w:val="center"/>
              <w:rPr>
                <w:kern w:val="0"/>
                <w:sz w:val="18"/>
                <w:szCs w:val="18"/>
              </w:rPr>
            </w:pPr>
            <w:r>
              <w:rPr>
                <w:sz w:val="18"/>
                <w:szCs w:val="18"/>
              </w:rPr>
              <w:t>泵站</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vAlign w:val="center"/>
          </w:tcPr>
          <w:p>
            <w:pPr>
              <w:widowControl/>
              <w:spacing w:line="240" w:lineRule="exact"/>
              <w:jc w:val="center"/>
              <w:rPr>
                <w:kern w:val="0"/>
                <w:sz w:val="18"/>
                <w:szCs w:val="18"/>
              </w:rPr>
            </w:pPr>
            <w:r>
              <w:rPr>
                <w:sz w:val="18"/>
                <w:szCs w:val="18"/>
              </w:rPr>
              <w:t>20</w:t>
            </w:r>
          </w:p>
        </w:tc>
        <w:tc>
          <w:tcPr>
            <w:tcW w:w="728" w:type="dxa"/>
            <w:shd w:val="clear" w:color="auto" w:fill="auto"/>
            <w:vAlign w:val="center"/>
          </w:tcPr>
          <w:p>
            <w:pPr>
              <w:widowControl/>
              <w:spacing w:line="240" w:lineRule="exact"/>
              <w:jc w:val="center"/>
              <w:rPr>
                <w:kern w:val="0"/>
                <w:sz w:val="18"/>
                <w:szCs w:val="18"/>
              </w:rPr>
            </w:pPr>
            <w:r>
              <w:rPr>
                <w:sz w:val="18"/>
                <w:szCs w:val="18"/>
              </w:rPr>
              <w:t>80</w:t>
            </w:r>
          </w:p>
        </w:tc>
        <w:tc>
          <w:tcPr>
            <w:tcW w:w="1619" w:type="dxa"/>
            <w:shd w:val="clear" w:color="auto" w:fill="auto"/>
            <w:vAlign w:val="center"/>
          </w:tcPr>
          <w:p>
            <w:pPr>
              <w:widowControl/>
              <w:spacing w:line="240" w:lineRule="exact"/>
              <w:jc w:val="center"/>
              <w:rPr>
                <w:kern w:val="0"/>
                <w:sz w:val="18"/>
                <w:szCs w:val="18"/>
              </w:rPr>
            </w:pPr>
            <w:r>
              <w:rPr>
                <w:sz w:val="18"/>
                <w:szCs w:val="18"/>
              </w:rPr>
              <w:t>金安区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6</w:t>
            </w:r>
          </w:p>
        </w:tc>
        <w:tc>
          <w:tcPr>
            <w:tcW w:w="1309" w:type="dxa"/>
            <w:shd w:val="clear" w:color="auto" w:fill="auto"/>
            <w:vAlign w:val="center"/>
          </w:tcPr>
          <w:p>
            <w:pPr>
              <w:widowControl/>
              <w:spacing w:line="240" w:lineRule="exact"/>
              <w:jc w:val="center"/>
              <w:rPr>
                <w:kern w:val="0"/>
                <w:sz w:val="18"/>
                <w:szCs w:val="18"/>
              </w:rPr>
            </w:pPr>
            <w:r>
              <w:rPr>
                <w:sz w:val="18"/>
                <w:szCs w:val="18"/>
              </w:rPr>
              <w:t>谢坝灌区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1.50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vAlign w:val="center"/>
          </w:tcPr>
          <w:p>
            <w:pPr>
              <w:widowControl/>
              <w:spacing w:line="240" w:lineRule="exact"/>
              <w:jc w:val="center"/>
              <w:rPr>
                <w:kern w:val="0"/>
                <w:sz w:val="18"/>
                <w:szCs w:val="18"/>
              </w:rPr>
            </w:pPr>
            <w:r>
              <w:rPr>
                <w:sz w:val="18"/>
                <w:szCs w:val="18"/>
              </w:rPr>
              <w:t>100</w:t>
            </w:r>
          </w:p>
        </w:tc>
        <w:tc>
          <w:tcPr>
            <w:tcW w:w="728" w:type="dxa"/>
            <w:shd w:val="clear" w:color="auto" w:fill="auto"/>
            <w:vAlign w:val="center"/>
          </w:tcPr>
          <w:p>
            <w:pPr>
              <w:widowControl/>
              <w:spacing w:line="240" w:lineRule="exact"/>
              <w:jc w:val="center"/>
              <w:rPr>
                <w:kern w:val="0"/>
                <w:sz w:val="18"/>
                <w:szCs w:val="18"/>
              </w:rPr>
            </w:pPr>
            <w:r>
              <w:rPr>
                <w:sz w:val="18"/>
                <w:szCs w:val="18"/>
              </w:rPr>
              <w:t>0</w:t>
            </w:r>
          </w:p>
        </w:tc>
        <w:tc>
          <w:tcPr>
            <w:tcW w:w="1619" w:type="dxa"/>
            <w:shd w:val="clear" w:color="auto" w:fill="auto"/>
            <w:vAlign w:val="center"/>
          </w:tcPr>
          <w:p>
            <w:pPr>
              <w:widowControl/>
              <w:spacing w:line="240" w:lineRule="exact"/>
              <w:jc w:val="center"/>
              <w:rPr>
                <w:kern w:val="0"/>
                <w:sz w:val="18"/>
                <w:szCs w:val="18"/>
              </w:rPr>
            </w:pPr>
            <w:r>
              <w:rPr>
                <w:sz w:val="18"/>
                <w:szCs w:val="18"/>
              </w:rPr>
              <w:t>裕安区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7</w:t>
            </w:r>
          </w:p>
        </w:tc>
        <w:tc>
          <w:tcPr>
            <w:tcW w:w="1309" w:type="dxa"/>
            <w:shd w:val="clear" w:color="auto" w:fill="auto"/>
            <w:vAlign w:val="center"/>
          </w:tcPr>
          <w:p>
            <w:pPr>
              <w:widowControl/>
              <w:spacing w:line="240" w:lineRule="exact"/>
              <w:jc w:val="center"/>
              <w:rPr>
                <w:kern w:val="0"/>
                <w:sz w:val="18"/>
                <w:szCs w:val="18"/>
              </w:rPr>
            </w:pPr>
            <w:r>
              <w:rPr>
                <w:sz w:val="18"/>
                <w:szCs w:val="18"/>
              </w:rPr>
              <w:t>陶家河灌区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1.10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vAlign w:val="center"/>
          </w:tcPr>
          <w:p>
            <w:pPr>
              <w:widowControl/>
              <w:spacing w:line="240" w:lineRule="exact"/>
              <w:jc w:val="center"/>
              <w:rPr>
                <w:kern w:val="0"/>
                <w:sz w:val="18"/>
                <w:szCs w:val="18"/>
              </w:rPr>
            </w:pPr>
            <w:r>
              <w:rPr>
                <w:sz w:val="18"/>
                <w:szCs w:val="18"/>
              </w:rPr>
              <w:t>100</w:t>
            </w:r>
          </w:p>
        </w:tc>
        <w:tc>
          <w:tcPr>
            <w:tcW w:w="728" w:type="dxa"/>
            <w:shd w:val="clear" w:color="auto" w:fill="auto"/>
            <w:vAlign w:val="center"/>
          </w:tcPr>
          <w:p>
            <w:pPr>
              <w:widowControl/>
              <w:spacing w:line="240" w:lineRule="exact"/>
              <w:jc w:val="center"/>
              <w:rPr>
                <w:kern w:val="0"/>
                <w:sz w:val="18"/>
                <w:szCs w:val="18"/>
              </w:rPr>
            </w:pPr>
            <w:r>
              <w:rPr>
                <w:sz w:val="18"/>
                <w:szCs w:val="18"/>
              </w:rPr>
              <w:t>0</w:t>
            </w:r>
          </w:p>
        </w:tc>
        <w:tc>
          <w:tcPr>
            <w:tcW w:w="1619" w:type="dxa"/>
            <w:shd w:val="clear" w:color="auto" w:fill="auto"/>
            <w:vAlign w:val="center"/>
          </w:tcPr>
          <w:p>
            <w:pPr>
              <w:widowControl/>
              <w:spacing w:line="240" w:lineRule="exact"/>
              <w:jc w:val="center"/>
              <w:rPr>
                <w:kern w:val="0"/>
                <w:sz w:val="18"/>
                <w:szCs w:val="18"/>
              </w:rPr>
            </w:pPr>
            <w:r>
              <w:rPr>
                <w:sz w:val="18"/>
                <w:szCs w:val="18"/>
              </w:rPr>
              <w:t>裕安区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8</w:t>
            </w:r>
          </w:p>
        </w:tc>
        <w:tc>
          <w:tcPr>
            <w:tcW w:w="1309" w:type="dxa"/>
            <w:shd w:val="clear" w:color="auto" w:fill="auto"/>
            <w:vAlign w:val="center"/>
          </w:tcPr>
          <w:p>
            <w:pPr>
              <w:widowControl/>
              <w:spacing w:line="240" w:lineRule="exact"/>
              <w:jc w:val="center"/>
              <w:rPr>
                <w:kern w:val="0"/>
                <w:sz w:val="18"/>
                <w:szCs w:val="18"/>
              </w:rPr>
            </w:pPr>
            <w:r>
              <w:rPr>
                <w:sz w:val="18"/>
                <w:szCs w:val="18"/>
              </w:rPr>
              <w:t>九子堰灌区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1.05</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vAlign w:val="center"/>
          </w:tcPr>
          <w:p>
            <w:pPr>
              <w:widowControl/>
              <w:spacing w:line="240" w:lineRule="exact"/>
              <w:jc w:val="center"/>
              <w:rPr>
                <w:kern w:val="0"/>
                <w:sz w:val="18"/>
                <w:szCs w:val="18"/>
              </w:rPr>
            </w:pPr>
            <w:r>
              <w:rPr>
                <w:sz w:val="18"/>
                <w:szCs w:val="18"/>
              </w:rPr>
              <w:t>100</w:t>
            </w:r>
          </w:p>
        </w:tc>
        <w:tc>
          <w:tcPr>
            <w:tcW w:w="728" w:type="dxa"/>
            <w:shd w:val="clear" w:color="auto" w:fill="auto"/>
            <w:vAlign w:val="center"/>
          </w:tcPr>
          <w:p>
            <w:pPr>
              <w:widowControl/>
              <w:spacing w:line="240" w:lineRule="exact"/>
              <w:jc w:val="center"/>
              <w:rPr>
                <w:kern w:val="0"/>
                <w:sz w:val="18"/>
                <w:szCs w:val="18"/>
              </w:rPr>
            </w:pPr>
            <w:r>
              <w:rPr>
                <w:sz w:val="18"/>
                <w:szCs w:val="18"/>
              </w:rPr>
              <w:t>0</w:t>
            </w:r>
          </w:p>
        </w:tc>
        <w:tc>
          <w:tcPr>
            <w:tcW w:w="1619" w:type="dxa"/>
            <w:shd w:val="clear" w:color="auto" w:fill="auto"/>
            <w:vAlign w:val="center"/>
          </w:tcPr>
          <w:p>
            <w:pPr>
              <w:widowControl/>
              <w:spacing w:line="240" w:lineRule="exact"/>
              <w:jc w:val="center"/>
              <w:rPr>
                <w:kern w:val="0"/>
                <w:sz w:val="18"/>
                <w:szCs w:val="18"/>
              </w:rPr>
            </w:pPr>
            <w:r>
              <w:rPr>
                <w:sz w:val="18"/>
                <w:szCs w:val="18"/>
              </w:rPr>
              <w:t>裕安区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9</w:t>
            </w:r>
          </w:p>
        </w:tc>
        <w:tc>
          <w:tcPr>
            <w:tcW w:w="1309" w:type="dxa"/>
            <w:shd w:val="clear" w:color="auto" w:fill="auto"/>
            <w:vAlign w:val="center"/>
          </w:tcPr>
          <w:p>
            <w:pPr>
              <w:widowControl/>
              <w:spacing w:line="240" w:lineRule="exact"/>
              <w:jc w:val="center"/>
              <w:rPr>
                <w:kern w:val="0"/>
                <w:sz w:val="18"/>
                <w:szCs w:val="18"/>
              </w:rPr>
            </w:pPr>
            <w:r>
              <w:rPr>
                <w:sz w:val="18"/>
                <w:szCs w:val="18"/>
              </w:rPr>
              <w:t>狮子岗灌区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3.80</w:t>
            </w:r>
          </w:p>
        </w:tc>
        <w:tc>
          <w:tcPr>
            <w:tcW w:w="922" w:type="dxa"/>
            <w:shd w:val="clear" w:color="auto" w:fill="auto"/>
            <w:vAlign w:val="center"/>
          </w:tcPr>
          <w:p>
            <w:pPr>
              <w:widowControl/>
              <w:spacing w:line="240" w:lineRule="exact"/>
              <w:jc w:val="center"/>
              <w:rPr>
                <w:kern w:val="0"/>
                <w:sz w:val="18"/>
                <w:szCs w:val="18"/>
              </w:rPr>
            </w:pPr>
            <w:r>
              <w:rPr>
                <w:sz w:val="18"/>
                <w:szCs w:val="18"/>
              </w:rPr>
              <w:t>泵站</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vAlign w:val="center"/>
          </w:tcPr>
          <w:p>
            <w:pPr>
              <w:widowControl/>
              <w:spacing w:line="240" w:lineRule="exact"/>
              <w:jc w:val="center"/>
              <w:rPr>
                <w:kern w:val="0"/>
                <w:sz w:val="18"/>
                <w:szCs w:val="18"/>
              </w:rPr>
            </w:pPr>
            <w:r>
              <w:rPr>
                <w:sz w:val="18"/>
                <w:szCs w:val="18"/>
              </w:rPr>
              <w:t>100</w:t>
            </w:r>
          </w:p>
        </w:tc>
        <w:tc>
          <w:tcPr>
            <w:tcW w:w="728" w:type="dxa"/>
            <w:shd w:val="clear" w:color="auto" w:fill="auto"/>
            <w:vAlign w:val="center"/>
          </w:tcPr>
          <w:p>
            <w:pPr>
              <w:widowControl/>
              <w:spacing w:line="240" w:lineRule="exact"/>
              <w:jc w:val="center"/>
              <w:rPr>
                <w:kern w:val="0"/>
                <w:sz w:val="18"/>
                <w:szCs w:val="18"/>
              </w:rPr>
            </w:pPr>
            <w:r>
              <w:rPr>
                <w:sz w:val="18"/>
                <w:szCs w:val="18"/>
              </w:rPr>
              <w:t>0</w:t>
            </w:r>
          </w:p>
        </w:tc>
        <w:tc>
          <w:tcPr>
            <w:tcW w:w="1619" w:type="dxa"/>
            <w:shd w:val="clear" w:color="auto" w:fill="auto"/>
            <w:vAlign w:val="center"/>
          </w:tcPr>
          <w:p>
            <w:pPr>
              <w:widowControl/>
              <w:spacing w:line="240" w:lineRule="exact"/>
              <w:jc w:val="center"/>
              <w:rPr>
                <w:kern w:val="0"/>
                <w:sz w:val="18"/>
                <w:szCs w:val="18"/>
              </w:rPr>
            </w:pPr>
            <w:r>
              <w:rPr>
                <w:sz w:val="18"/>
                <w:szCs w:val="18"/>
              </w:rPr>
              <w:t>裕安区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sz w:val="18"/>
                <w:szCs w:val="18"/>
              </w:rPr>
            </w:pPr>
            <w:r>
              <w:rPr>
                <w:sz w:val="18"/>
                <w:szCs w:val="18"/>
              </w:rPr>
              <w:t>10</w:t>
            </w:r>
          </w:p>
        </w:tc>
        <w:tc>
          <w:tcPr>
            <w:tcW w:w="1309" w:type="dxa"/>
            <w:shd w:val="clear" w:color="auto" w:fill="auto"/>
            <w:vAlign w:val="center"/>
          </w:tcPr>
          <w:p>
            <w:pPr>
              <w:widowControl/>
              <w:spacing w:line="240" w:lineRule="exact"/>
              <w:jc w:val="center"/>
              <w:rPr>
                <w:sz w:val="18"/>
                <w:szCs w:val="18"/>
              </w:rPr>
            </w:pPr>
            <w:r>
              <w:rPr>
                <w:sz w:val="18"/>
                <w:szCs w:val="18"/>
              </w:rPr>
              <w:t>东风灌区</w:t>
            </w:r>
          </w:p>
        </w:tc>
        <w:tc>
          <w:tcPr>
            <w:tcW w:w="749" w:type="dxa"/>
            <w:shd w:val="clear" w:color="auto" w:fill="auto"/>
            <w:vAlign w:val="center"/>
          </w:tcPr>
          <w:p>
            <w:pPr>
              <w:widowControl/>
              <w:spacing w:line="240" w:lineRule="exact"/>
              <w:jc w:val="center"/>
              <w:rPr>
                <w:sz w:val="18"/>
                <w:szCs w:val="18"/>
              </w:rPr>
            </w:pPr>
            <w:r>
              <w:rPr>
                <w:sz w:val="18"/>
                <w:szCs w:val="18"/>
              </w:rPr>
              <w:t>中型</w:t>
            </w:r>
          </w:p>
        </w:tc>
        <w:tc>
          <w:tcPr>
            <w:tcW w:w="1018" w:type="dxa"/>
            <w:shd w:val="clear" w:color="auto" w:fill="auto"/>
            <w:vAlign w:val="center"/>
          </w:tcPr>
          <w:p>
            <w:pPr>
              <w:widowControl/>
              <w:spacing w:line="240" w:lineRule="exact"/>
              <w:jc w:val="center"/>
              <w:rPr>
                <w:sz w:val="18"/>
                <w:szCs w:val="18"/>
              </w:rPr>
            </w:pPr>
            <w:r>
              <w:rPr>
                <w:sz w:val="18"/>
                <w:szCs w:val="18"/>
              </w:rPr>
              <w:t>4.50</w:t>
            </w:r>
          </w:p>
        </w:tc>
        <w:tc>
          <w:tcPr>
            <w:tcW w:w="922" w:type="dxa"/>
            <w:shd w:val="clear" w:color="auto" w:fill="auto"/>
            <w:vAlign w:val="center"/>
          </w:tcPr>
          <w:p>
            <w:pPr>
              <w:widowControl/>
              <w:spacing w:line="240" w:lineRule="exact"/>
              <w:jc w:val="center"/>
              <w:rPr>
                <w:sz w:val="18"/>
                <w:szCs w:val="18"/>
              </w:rPr>
            </w:pPr>
            <w:r>
              <w:rPr>
                <w:sz w:val="18"/>
                <w:szCs w:val="18"/>
              </w:rPr>
              <w:t>水库</w:t>
            </w:r>
          </w:p>
        </w:tc>
        <w:tc>
          <w:tcPr>
            <w:tcW w:w="824" w:type="dxa"/>
            <w:shd w:val="clear" w:color="auto" w:fill="auto"/>
            <w:vAlign w:val="center"/>
          </w:tcPr>
          <w:p>
            <w:pPr>
              <w:widowControl/>
              <w:spacing w:line="240" w:lineRule="exact"/>
              <w:jc w:val="center"/>
              <w:rPr>
                <w:sz w:val="18"/>
                <w:szCs w:val="18"/>
              </w:rPr>
            </w:pPr>
            <w:r>
              <w:rPr>
                <w:sz w:val="18"/>
                <w:szCs w:val="18"/>
              </w:rPr>
              <w:t>丘陵</w:t>
            </w:r>
          </w:p>
        </w:tc>
        <w:tc>
          <w:tcPr>
            <w:tcW w:w="727" w:type="dxa"/>
            <w:shd w:val="clear" w:color="auto" w:fill="auto"/>
            <w:vAlign w:val="center"/>
          </w:tcPr>
          <w:p>
            <w:pPr>
              <w:widowControl/>
              <w:spacing w:line="240" w:lineRule="exact"/>
              <w:jc w:val="center"/>
              <w:rPr>
                <w:sz w:val="18"/>
                <w:szCs w:val="18"/>
              </w:rPr>
            </w:pPr>
            <w:r>
              <w:rPr>
                <w:sz w:val="18"/>
                <w:szCs w:val="18"/>
              </w:rPr>
              <w:t>78.2</w:t>
            </w:r>
          </w:p>
        </w:tc>
        <w:tc>
          <w:tcPr>
            <w:tcW w:w="728" w:type="dxa"/>
            <w:shd w:val="clear" w:color="auto" w:fill="auto"/>
            <w:vAlign w:val="center"/>
          </w:tcPr>
          <w:p>
            <w:pPr>
              <w:widowControl/>
              <w:spacing w:line="240" w:lineRule="exact"/>
              <w:jc w:val="center"/>
              <w:rPr>
                <w:sz w:val="18"/>
                <w:szCs w:val="18"/>
              </w:rPr>
            </w:pPr>
            <w:r>
              <w:rPr>
                <w:sz w:val="18"/>
                <w:szCs w:val="18"/>
              </w:rPr>
              <w:t>21.8</w:t>
            </w:r>
          </w:p>
        </w:tc>
        <w:tc>
          <w:tcPr>
            <w:tcW w:w="1619" w:type="dxa"/>
            <w:shd w:val="clear" w:color="auto" w:fill="auto"/>
            <w:vAlign w:val="center"/>
          </w:tcPr>
          <w:p>
            <w:pPr>
              <w:widowControl/>
              <w:spacing w:line="240" w:lineRule="exact"/>
              <w:jc w:val="center"/>
              <w:rPr>
                <w:sz w:val="18"/>
                <w:szCs w:val="18"/>
              </w:rPr>
            </w:pPr>
            <w:r>
              <w:rPr>
                <w:sz w:val="18"/>
                <w:szCs w:val="18"/>
              </w:rPr>
              <w:t>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sz w:val="18"/>
                <w:szCs w:val="18"/>
              </w:rPr>
            </w:pPr>
            <w:r>
              <w:rPr>
                <w:sz w:val="18"/>
                <w:szCs w:val="18"/>
              </w:rPr>
              <w:t>11</w:t>
            </w:r>
          </w:p>
        </w:tc>
        <w:tc>
          <w:tcPr>
            <w:tcW w:w="1309" w:type="dxa"/>
            <w:shd w:val="clear" w:color="auto" w:fill="auto"/>
            <w:vAlign w:val="center"/>
          </w:tcPr>
          <w:p>
            <w:pPr>
              <w:widowControl/>
              <w:spacing w:line="240" w:lineRule="exact"/>
              <w:jc w:val="center"/>
              <w:rPr>
                <w:sz w:val="18"/>
                <w:szCs w:val="18"/>
              </w:rPr>
            </w:pPr>
            <w:r>
              <w:rPr>
                <w:sz w:val="18"/>
                <w:szCs w:val="18"/>
              </w:rPr>
              <w:t>二道河灌区</w:t>
            </w:r>
          </w:p>
        </w:tc>
        <w:tc>
          <w:tcPr>
            <w:tcW w:w="749" w:type="dxa"/>
            <w:shd w:val="clear" w:color="auto" w:fill="auto"/>
            <w:vAlign w:val="center"/>
          </w:tcPr>
          <w:p>
            <w:pPr>
              <w:widowControl/>
              <w:spacing w:line="240" w:lineRule="exact"/>
              <w:jc w:val="center"/>
              <w:rPr>
                <w:sz w:val="18"/>
                <w:szCs w:val="18"/>
              </w:rPr>
            </w:pPr>
            <w:r>
              <w:rPr>
                <w:sz w:val="18"/>
                <w:szCs w:val="18"/>
              </w:rPr>
              <w:t>中型</w:t>
            </w:r>
          </w:p>
        </w:tc>
        <w:tc>
          <w:tcPr>
            <w:tcW w:w="1018" w:type="dxa"/>
            <w:shd w:val="clear" w:color="auto" w:fill="auto"/>
            <w:vAlign w:val="center"/>
          </w:tcPr>
          <w:p>
            <w:pPr>
              <w:widowControl/>
              <w:spacing w:line="240" w:lineRule="exact"/>
              <w:jc w:val="center"/>
              <w:rPr>
                <w:sz w:val="18"/>
                <w:szCs w:val="18"/>
              </w:rPr>
            </w:pPr>
            <w:r>
              <w:rPr>
                <w:sz w:val="18"/>
                <w:szCs w:val="18"/>
              </w:rPr>
              <w:t>1.22</w:t>
            </w:r>
          </w:p>
        </w:tc>
        <w:tc>
          <w:tcPr>
            <w:tcW w:w="922" w:type="dxa"/>
            <w:shd w:val="clear" w:color="auto" w:fill="auto"/>
            <w:vAlign w:val="center"/>
          </w:tcPr>
          <w:p>
            <w:pPr>
              <w:widowControl/>
              <w:spacing w:line="240" w:lineRule="exact"/>
              <w:jc w:val="center"/>
              <w:rPr>
                <w:sz w:val="18"/>
                <w:szCs w:val="18"/>
              </w:rPr>
            </w:pPr>
            <w:r>
              <w:rPr>
                <w:sz w:val="18"/>
                <w:szCs w:val="18"/>
              </w:rPr>
              <w:t>泵站</w:t>
            </w:r>
          </w:p>
        </w:tc>
        <w:tc>
          <w:tcPr>
            <w:tcW w:w="824" w:type="dxa"/>
            <w:shd w:val="clear" w:color="auto" w:fill="auto"/>
            <w:vAlign w:val="center"/>
          </w:tcPr>
          <w:p>
            <w:pPr>
              <w:widowControl/>
              <w:spacing w:line="240" w:lineRule="exact"/>
              <w:jc w:val="center"/>
              <w:rPr>
                <w:sz w:val="18"/>
                <w:szCs w:val="18"/>
              </w:rPr>
            </w:pPr>
            <w:r>
              <w:rPr>
                <w:sz w:val="18"/>
                <w:szCs w:val="18"/>
              </w:rPr>
              <w:t>丘陵</w:t>
            </w:r>
          </w:p>
        </w:tc>
        <w:tc>
          <w:tcPr>
            <w:tcW w:w="727" w:type="dxa"/>
            <w:shd w:val="clear" w:color="auto" w:fill="auto"/>
            <w:vAlign w:val="center"/>
          </w:tcPr>
          <w:p>
            <w:pPr>
              <w:widowControl/>
              <w:spacing w:line="240" w:lineRule="exact"/>
              <w:jc w:val="center"/>
              <w:rPr>
                <w:sz w:val="18"/>
                <w:szCs w:val="18"/>
              </w:rPr>
            </w:pPr>
            <w:r>
              <w:rPr>
                <w:sz w:val="18"/>
                <w:szCs w:val="18"/>
              </w:rPr>
              <w:t>100</w:t>
            </w:r>
          </w:p>
        </w:tc>
        <w:tc>
          <w:tcPr>
            <w:tcW w:w="728" w:type="dxa"/>
            <w:shd w:val="clear" w:color="auto" w:fill="auto"/>
            <w:vAlign w:val="center"/>
          </w:tcPr>
          <w:p>
            <w:pPr>
              <w:widowControl/>
              <w:spacing w:line="240" w:lineRule="exact"/>
              <w:jc w:val="center"/>
              <w:rPr>
                <w:sz w:val="18"/>
                <w:szCs w:val="18"/>
              </w:rPr>
            </w:pPr>
            <w:r>
              <w:rPr>
                <w:sz w:val="18"/>
                <w:szCs w:val="18"/>
              </w:rPr>
              <w:t>0</w:t>
            </w:r>
          </w:p>
        </w:tc>
        <w:tc>
          <w:tcPr>
            <w:tcW w:w="1619" w:type="dxa"/>
            <w:shd w:val="clear" w:color="auto" w:fill="auto"/>
            <w:vAlign w:val="center"/>
          </w:tcPr>
          <w:p>
            <w:pPr>
              <w:widowControl/>
              <w:spacing w:line="240" w:lineRule="exact"/>
              <w:jc w:val="center"/>
              <w:rPr>
                <w:sz w:val="18"/>
                <w:szCs w:val="18"/>
              </w:rPr>
            </w:pPr>
            <w:r>
              <w:rPr>
                <w:sz w:val="18"/>
                <w:szCs w:val="18"/>
              </w:rPr>
              <w:t>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sz w:val="18"/>
                <w:szCs w:val="18"/>
              </w:rPr>
            </w:pPr>
            <w:r>
              <w:rPr>
                <w:kern w:val="0"/>
                <w:sz w:val="18"/>
                <w:szCs w:val="18"/>
              </w:rPr>
              <w:t>12</w:t>
            </w:r>
          </w:p>
        </w:tc>
        <w:tc>
          <w:tcPr>
            <w:tcW w:w="1309" w:type="dxa"/>
            <w:shd w:val="clear" w:color="auto" w:fill="auto"/>
            <w:vAlign w:val="center"/>
          </w:tcPr>
          <w:p>
            <w:pPr>
              <w:widowControl/>
              <w:spacing w:line="240" w:lineRule="exact"/>
              <w:jc w:val="center"/>
              <w:rPr>
                <w:sz w:val="18"/>
                <w:szCs w:val="18"/>
              </w:rPr>
            </w:pPr>
            <w:r>
              <w:rPr>
                <w:kern w:val="0"/>
                <w:sz w:val="18"/>
                <w:szCs w:val="18"/>
              </w:rPr>
              <w:t>临王段灌区</w:t>
            </w:r>
          </w:p>
        </w:tc>
        <w:tc>
          <w:tcPr>
            <w:tcW w:w="749" w:type="dxa"/>
            <w:shd w:val="clear" w:color="auto" w:fill="auto"/>
            <w:vAlign w:val="center"/>
          </w:tcPr>
          <w:p>
            <w:pPr>
              <w:widowControl/>
              <w:spacing w:line="240" w:lineRule="exact"/>
              <w:jc w:val="center"/>
              <w:rPr>
                <w:sz w:val="18"/>
                <w:szCs w:val="18"/>
              </w:rPr>
            </w:pPr>
            <w:r>
              <w:rPr>
                <w:kern w:val="0"/>
                <w:sz w:val="18"/>
                <w:szCs w:val="18"/>
              </w:rPr>
              <w:t>中型</w:t>
            </w:r>
          </w:p>
        </w:tc>
        <w:tc>
          <w:tcPr>
            <w:tcW w:w="1018" w:type="dxa"/>
            <w:shd w:val="clear" w:color="auto" w:fill="auto"/>
            <w:vAlign w:val="center"/>
          </w:tcPr>
          <w:p>
            <w:pPr>
              <w:widowControl/>
              <w:spacing w:line="240" w:lineRule="exact"/>
              <w:jc w:val="center"/>
              <w:rPr>
                <w:sz w:val="18"/>
                <w:szCs w:val="18"/>
              </w:rPr>
            </w:pPr>
            <w:r>
              <w:rPr>
                <w:kern w:val="0"/>
                <w:sz w:val="18"/>
                <w:szCs w:val="18"/>
              </w:rPr>
              <w:t xml:space="preserve">15.40 </w:t>
            </w:r>
          </w:p>
        </w:tc>
        <w:tc>
          <w:tcPr>
            <w:tcW w:w="922" w:type="dxa"/>
            <w:shd w:val="clear" w:color="auto" w:fill="auto"/>
            <w:vAlign w:val="center"/>
          </w:tcPr>
          <w:p>
            <w:pPr>
              <w:widowControl/>
              <w:spacing w:line="240" w:lineRule="exact"/>
              <w:jc w:val="center"/>
              <w:rPr>
                <w:sz w:val="18"/>
                <w:szCs w:val="18"/>
              </w:rPr>
            </w:pPr>
            <w:r>
              <w:rPr>
                <w:kern w:val="0"/>
                <w:sz w:val="18"/>
                <w:szCs w:val="18"/>
              </w:rPr>
              <w:t>泵站</w:t>
            </w:r>
          </w:p>
        </w:tc>
        <w:tc>
          <w:tcPr>
            <w:tcW w:w="824" w:type="dxa"/>
            <w:shd w:val="clear" w:color="auto" w:fill="auto"/>
            <w:vAlign w:val="center"/>
          </w:tcPr>
          <w:p>
            <w:pPr>
              <w:widowControl/>
              <w:spacing w:line="240" w:lineRule="exact"/>
              <w:jc w:val="center"/>
              <w:rPr>
                <w:sz w:val="18"/>
                <w:szCs w:val="18"/>
              </w:rPr>
            </w:pPr>
            <w:r>
              <w:rPr>
                <w:kern w:val="0"/>
                <w:sz w:val="18"/>
                <w:szCs w:val="18"/>
              </w:rPr>
              <w:t>圩垸区</w:t>
            </w:r>
          </w:p>
        </w:tc>
        <w:tc>
          <w:tcPr>
            <w:tcW w:w="727" w:type="dxa"/>
            <w:shd w:val="clear" w:color="auto" w:fill="auto"/>
            <w:vAlign w:val="center"/>
          </w:tcPr>
          <w:p>
            <w:pPr>
              <w:widowControl/>
              <w:spacing w:line="240" w:lineRule="exact"/>
              <w:jc w:val="center"/>
              <w:rPr>
                <w:sz w:val="18"/>
                <w:szCs w:val="18"/>
              </w:rPr>
            </w:pPr>
            <w:r>
              <w:rPr>
                <w:kern w:val="0"/>
                <w:sz w:val="18"/>
                <w:szCs w:val="18"/>
              </w:rPr>
              <w:t>95</w:t>
            </w:r>
          </w:p>
        </w:tc>
        <w:tc>
          <w:tcPr>
            <w:tcW w:w="728" w:type="dxa"/>
            <w:shd w:val="clear" w:color="auto" w:fill="auto"/>
            <w:vAlign w:val="center"/>
          </w:tcPr>
          <w:p>
            <w:pPr>
              <w:widowControl/>
              <w:spacing w:line="240" w:lineRule="exact"/>
              <w:jc w:val="center"/>
              <w:rPr>
                <w:sz w:val="18"/>
                <w:szCs w:val="18"/>
              </w:rPr>
            </w:pPr>
            <w:r>
              <w:rPr>
                <w:kern w:val="0"/>
                <w:sz w:val="18"/>
                <w:szCs w:val="18"/>
              </w:rPr>
              <w:t>5</w:t>
            </w:r>
          </w:p>
        </w:tc>
        <w:tc>
          <w:tcPr>
            <w:tcW w:w="1619" w:type="dxa"/>
            <w:shd w:val="clear" w:color="auto" w:fill="auto"/>
            <w:vAlign w:val="center"/>
          </w:tcPr>
          <w:p>
            <w:pPr>
              <w:widowControl/>
              <w:spacing w:line="240" w:lineRule="exact"/>
              <w:jc w:val="center"/>
              <w:rPr>
                <w:sz w:val="18"/>
                <w:szCs w:val="18"/>
              </w:rPr>
            </w:pPr>
            <w:r>
              <w:rPr>
                <w:kern w:val="0"/>
                <w:sz w:val="18"/>
                <w:szCs w:val="18"/>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sz w:val="18"/>
                <w:szCs w:val="18"/>
              </w:rPr>
            </w:pPr>
            <w:r>
              <w:rPr>
                <w:rFonts w:hint="eastAsia"/>
                <w:kern w:val="0"/>
                <w:sz w:val="18"/>
                <w:szCs w:val="18"/>
              </w:rPr>
              <w:t>1</w:t>
            </w:r>
            <w:r>
              <w:rPr>
                <w:kern w:val="0"/>
                <w:sz w:val="18"/>
                <w:szCs w:val="18"/>
              </w:rPr>
              <w:t>3</w:t>
            </w:r>
          </w:p>
        </w:tc>
        <w:tc>
          <w:tcPr>
            <w:tcW w:w="1309" w:type="dxa"/>
            <w:shd w:val="clear" w:color="auto" w:fill="auto"/>
            <w:vAlign w:val="center"/>
          </w:tcPr>
          <w:p>
            <w:pPr>
              <w:widowControl/>
              <w:spacing w:line="240" w:lineRule="exact"/>
              <w:jc w:val="center"/>
              <w:rPr>
                <w:sz w:val="18"/>
                <w:szCs w:val="18"/>
              </w:rPr>
            </w:pPr>
            <w:r>
              <w:rPr>
                <w:kern w:val="0"/>
                <w:sz w:val="18"/>
                <w:szCs w:val="18"/>
              </w:rPr>
              <w:t>城西湖灌区</w:t>
            </w:r>
          </w:p>
        </w:tc>
        <w:tc>
          <w:tcPr>
            <w:tcW w:w="749" w:type="dxa"/>
            <w:shd w:val="clear" w:color="auto" w:fill="auto"/>
            <w:vAlign w:val="center"/>
          </w:tcPr>
          <w:p>
            <w:pPr>
              <w:widowControl/>
              <w:spacing w:line="240" w:lineRule="exact"/>
              <w:jc w:val="center"/>
              <w:rPr>
                <w:sz w:val="18"/>
                <w:szCs w:val="18"/>
              </w:rPr>
            </w:pPr>
            <w:r>
              <w:rPr>
                <w:kern w:val="0"/>
                <w:sz w:val="18"/>
                <w:szCs w:val="18"/>
              </w:rPr>
              <w:t>中型</w:t>
            </w:r>
          </w:p>
        </w:tc>
        <w:tc>
          <w:tcPr>
            <w:tcW w:w="1018" w:type="dxa"/>
            <w:shd w:val="clear" w:color="auto" w:fill="auto"/>
            <w:vAlign w:val="center"/>
          </w:tcPr>
          <w:p>
            <w:pPr>
              <w:widowControl/>
              <w:spacing w:line="240" w:lineRule="exact"/>
              <w:jc w:val="center"/>
              <w:rPr>
                <w:sz w:val="18"/>
                <w:szCs w:val="18"/>
              </w:rPr>
            </w:pPr>
            <w:r>
              <w:rPr>
                <w:kern w:val="0"/>
                <w:sz w:val="18"/>
                <w:szCs w:val="18"/>
              </w:rPr>
              <w:t xml:space="preserve">28.00 </w:t>
            </w:r>
          </w:p>
        </w:tc>
        <w:tc>
          <w:tcPr>
            <w:tcW w:w="922" w:type="dxa"/>
            <w:shd w:val="clear" w:color="auto" w:fill="auto"/>
            <w:vAlign w:val="center"/>
          </w:tcPr>
          <w:p>
            <w:pPr>
              <w:widowControl/>
              <w:spacing w:line="240" w:lineRule="exact"/>
              <w:jc w:val="center"/>
              <w:rPr>
                <w:sz w:val="18"/>
                <w:szCs w:val="18"/>
              </w:rPr>
            </w:pPr>
            <w:r>
              <w:rPr>
                <w:kern w:val="0"/>
                <w:sz w:val="18"/>
                <w:szCs w:val="18"/>
              </w:rPr>
              <w:t>泵站</w:t>
            </w:r>
          </w:p>
        </w:tc>
        <w:tc>
          <w:tcPr>
            <w:tcW w:w="824" w:type="dxa"/>
            <w:shd w:val="clear" w:color="auto" w:fill="auto"/>
            <w:vAlign w:val="center"/>
          </w:tcPr>
          <w:p>
            <w:pPr>
              <w:widowControl/>
              <w:spacing w:line="240" w:lineRule="exact"/>
              <w:jc w:val="center"/>
              <w:rPr>
                <w:sz w:val="18"/>
                <w:szCs w:val="18"/>
              </w:rPr>
            </w:pPr>
            <w:r>
              <w:rPr>
                <w:kern w:val="0"/>
                <w:sz w:val="18"/>
                <w:szCs w:val="18"/>
              </w:rPr>
              <w:t>圩垸区</w:t>
            </w:r>
          </w:p>
        </w:tc>
        <w:tc>
          <w:tcPr>
            <w:tcW w:w="727" w:type="dxa"/>
            <w:shd w:val="clear" w:color="auto" w:fill="auto"/>
            <w:vAlign w:val="center"/>
          </w:tcPr>
          <w:p>
            <w:pPr>
              <w:widowControl/>
              <w:spacing w:line="240" w:lineRule="exact"/>
              <w:jc w:val="center"/>
              <w:rPr>
                <w:sz w:val="18"/>
                <w:szCs w:val="18"/>
              </w:rPr>
            </w:pPr>
            <w:r>
              <w:rPr>
                <w:kern w:val="0"/>
                <w:sz w:val="18"/>
                <w:szCs w:val="18"/>
              </w:rPr>
              <w:t>95</w:t>
            </w:r>
          </w:p>
        </w:tc>
        <w:tc>
          <w:tcPr>
            <w:tcW w:w="728" w:type="dxa"/>
            <w:shd w:val="clear" w:color="auto" w:fill="auto"/>
            <w:vAlign w:val="center"/>
          </w:tcPr>
          <w:p>
            <w:pPr>
              <w:widowControl/>
              <w:spacing w:line="240" w:lineRule="exact"/>
              <w:jc w:val="center"/>
              <w:rPr>
                <w:sz w:val="18"/>
                <w:szCs w:val="18"/>
              </w:rPr>
            </w:pPr>
            <w:r>
              <w:rPr>
                <w:kern w:val="0"/>
                <w:sz w:val="18"/>
                <w:szCs w:val="18"/>
              </w:rPr>
              <w:t>5</w:t>
            </w:r>
          </w:p>
        </w:tc>
        <w:tc>
          <w:tcPr>
            <w:tcW w:w="1619" w:type="dxa"/>
            <w:shd w:val="clear" w:color="auto" w:fill="auto"/>
            <w:vAlign w:val="center"/>
          </w:tcPr>
          <w:p>
            <w:pPr>
              <w:widowControl/>
              <w:spacing w:line="240" w:lineRule="exact"/>
              <w:jc w:val="center"/>
              <w:rPr>
                <w:sz w:val="18"/>
                <w:szCs w:val="18"/>
              </w:rPr>
            </w:pPr>
            <w:r>
              <w:rPr>
                <w:kern w:val="0"/>
                <w:sz w:val="18"/>
                <w:szCs w:val="18"/>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sz w:val="18"/>
                <w:szCs w:val="18"/>
              </w:rPr>
            </w:pPr>
            <w:r>
              <w:rPr>
                <w:sz w:val="18"/>
                <w:szCs w:val="18"/>
              </w:rPr>
              <w:t>14</w:t>
            </w:r>
          </w:p>
        </w:tc>
        <w:tc>
          <w:tcPr>
            <w:tcW w:w="1309" w:type="dxa"/>
            <w:shd w:val="clear" w:color="auto" w:fill="auto"/>
            <w:vAlign w:val="center"/>
          </w:tcPr>
          <w:p>
            <w:pPr>
              <w:widowControl/>
              <w:spacing w:line="240" w:lineRule="exact"/>
              <w:jc w:val="center"/>
              <w:rPr>
                <w:sz w:val="18"/>
                <w:szCs w:val="18"/>
              </w:rPr>
            </w:pPr>
            <w:r>
              <w:rPr>
                <w:sz w:val="18"/>
                <w:szCs w:val="18"/>
              </w:rPr>
              <w:t>龙潭河灌区</w:t>
            </w:r>
          </w:p>
        </w:tc>
        <w:tc>
          <w:tcPr>
            <w:tcW w:w="749" w:type="dxa"/>
            <w:shd w:val="clear" w:color="auto" w:fill="auto"/>
            <w:vAlign w:val="center"/>
          </w:tcPr>
          <w:p>
            <w:pPr>
              <w:widowControl/>
              <w:spacing w:line="240" w:lineRule="exact"/>
              <w:jc w:val="center"/>
              <w:rPr>
                <w:sz w:val="18"/>
                <w:szCs w:val="18"/>
              </w:rPr>
            </w:pPr>
            <w:r>
              <w:rPr>
                <w:sz w:val="18"/>
                <w:szCs w:val="18"/>
              </w:rPr>
              <w:t>中型</w:t>
            </w:r>
          </w:p>
        </w:tc>
        <w:tc>
          <w:tcPr>
            <w:tcW w:w="1018" w:type="dxa"/>
            <w:shd w:val="clear" w:color="auto" w:fill="auto"/>
            <w:vAlign w:val="center"/>
          </w:tcPr>
          <w:p>
            <w:pPr>
              <w:widowControl/>
              <w:spacing w:line="240" w:lineRule="exact"/>
              <w:jc w:val="center"/>
              <w:rPr>
                <w:sz w:val="18"/>
                <w:szCs w:val="18"/>
              </w:rPr>
            </w:pPr>
            <w:r>
              <w:rPr>
                <w:sz w:val="18"/>
                <w:szCs w:val="18"/>
              </w:rPr>
              <w:t>3.50</w:t>
            </w:r>
          </w:p>
        </w:tc>
        <w:tc>
          <w:tcPr>
            <w:tcW w:w="922" w:type="dxa"/>
            <w:shd w:val="clear" w:color="auto" w:fill="auto"/>
            <w:vAlign w:val="center"/>
          </w:tcPr>
          <w:p>
            <w:pPr>
              <w:widowControl/>
              <w:spacing w:line="240" w:lineRule="exact"/>
              <w:jc w:val="center"/>
              <w:rPr>
                <w:sz w:val="18"/>
                <w:szCs w:val="18"/>
              </w:rPr>
            </w:pPr>
            <w:r>
              <w:rPr>
                <w:sz w:val="18"/>
                <w:szCs w:val="18"/>
              </w:rPr>
              <w:t>水库</w:t>
            </w:r>
          </w:p>
        </w:tc>
        <w:tc>
          <w:tcPr>
            <w:tcW w:w="824" w:type="dxa"/>
            <w:shd w:val="clear" w:color="auto" w:fill="auto"/>
            <w:vAlign w:val="center"/>
          </w:tcPr>
          <w:p>
            <w:pPr>
              <w:widowControl/>
              <w:spacing w:line="240" w:lineRule="exact"/>
              <w:jc w:val="center"/>
              <w:rPr>
                <w:sz w:val="18"/>
                <w:szCs w:val="18"/>
              </w:rPr>
            </w:pPr>
            <w:r>
              <w:rPr>
                <w:sz w:val="18"/>
                <w:szCs w:val="18"/>
              </w:rPr>
              <w:t>丘陵</w:t>
            </w:r>
          </w:p>
        </w:tc>
        <w:tc>
          <w:tcPr>
            <w:tcW w:w="727" w:type="dxa"/>
            <w:shd w:val="clear" w:color="auto" w:fill="auto"/>
            <w:vAlign w:val="center"/>
          </w:tcPr>
          <w:p>
            <w:pPr>
              <w:widowControl/>
              <w:spacing w:line="240" w:lineRule="exact"/>
              <w:jc w:val="center"/>
              <w:rPr>
                <w:sz w:val="18"/>
                <w:szCs w:val="18"/>
              </w:rPr>
            </w:pPr>
            <w:r>
              <w:rPr>
                <w:sz w:val="18"/>
                <w:szCs w:val="18"/>
              </w:rPr>
              <w:t>50</w:t>
            </w:r>
          </w:p>
        </w:tc>
        <w:tc>
          <w:tcPr>
            <w:tcW w:w="728" w:type="dxa"/>
            <w:shd w:val="clear" w:color="auto" w:fill="auto"/>
            <w:vAlign w:val="center"/>
          </w:tcPr>
          <w:p>
            <w:pPr>
              <w:widowControl/>
              <w:spacing w:line="240" w:lineRule="exact"/>
              <w:jc w:val="center"/>
              <w:rPr>
                <w:sz w:val="18"/>
                <w:szCs w:val="18"/>
              </w:rPr>
            </w:pPr>
            <w:r>
              <w:rPr>
                <w:sz w:val="18"/>
                <w:szCs w:val="18"/>
              </w:rPr>
              <w:t>50</w:t>
            </w:r>
          </w:p>
        </w:tc>
        <w:tc>
          <w:tcPr>
            <w:tcW w:w="1619" w:type="dxa"/>
            <w:shd w:val="clear" w:color="auto" w:fill="auto"/>
            <w:vAlign w:val="center"/>
          </w:tcPr>
          <w:p>
            <w:pPr>
              <w:widowControl/>
              <w:spacing w:line="240" w:lineRule="exact"/>
              <w:jc w:val="center"/>
              <w:rPr>
                <w:sz w:val="18"/>
                <w:szCs w:val="18"/>
              </w:rPr>
            </w:pPr>
            <w:r>
              <w:rPr>
                <w:sz w:val="18"/>
                <w:szCs w:val="18"/>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15</w:t>
            </w:r>
          </w:p>
        </w:tc>
        <w:tc>
          <w:tcPr>
            <w:tcW w:w="1309" w:type="dxa"/>
            <w:shd w:val="clear" w:color="auto" w:fill="auto"/>
            <w:vAlign w:val="center"/>
          </w:tcPr>
          <w:p>
            <w:pPr>
              <w:widowControl/>
              <w:spacing w:line="240" w:lineRule="exact"/>
              <w:jc w:val="center"/>
              <w:rPr>
                <w:kern w:val="0"/>
                <w:sz w:val="18"/>
                <w:szCs w:val="18"/>
              </w:rPr>
            </w:pPr>
            <w:r>
              <w:rPr>
                <w:sz w:val="18"/>
                <w:szCs w:val="18"/>
              </w:rPr>
              <w:t>五显河灌区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1.02</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山区、丘陵</w:t>
            </w:r>
          </w:p>
        </w:tc>
        <w:tc>
          <w:tcPr>
            <w:tcW w:w="727" w:type="dxa"/>
            <w:shd w:val="clear" w:color="auto" w:fill="auto"/>
            <w:vAlign w:val="center"/>
          </w:tcPr>
          <w:p>
            <w:pPr>
              <w:widowControl/>
              <w:spacing w:line="240" w:lineRule="exact"/>
              <w:jc w:val="center"/>
              <w:rPr>
                <w:kern w:val="0"/>
                <w:sz w:val="18"/>
                <w:szCs w:val="18"/>
              </w:rPr>
            </w:pPr>
            <w:r>
              <w:rPr>
                <w:sz w:val="18"/>
                <w:szCs w:val="18"/>
              </w:rPr>
              <w:t>45</w:t>
            </w:r>
          </w:p>
        </w:tc>
        <w:tc>
          <w:tcPr>
            <w:tcW w:w="728" w:type="dxa"/>
            <w:shd w:val="clear" w:color="auto" w:fill="auto"/>
            <w:vAlign w:val="center"/>
          </w:tcPr>
          <w:p>
            <w:pPr>
              <w:widowControl/>
              <w:spacing w:line="240" w:lineRule="exact"/>
              <w:jc w:val="center"/>
              <w:rPr>
                <w:kern w:val="0"/>
                <w:sz w:val="18"/>
                <w:szCs w:val="18"/>
              </w:rPr>
            </w:pPr>
            <w:r>
              <w:rPr>
                <w:sz w:val="18"/>
                <w:szCs w:val="18"/>
              </w:rPr>
              <w:t>55</w:t>
            </w:r>
          </w:p>
        </w:tc>
        <w:tc>
          <w:tcPr>
            <w:tcW w:w="1619" w:type="dxa"/>
            <w:shd w:val="clear" w:color="auto" w:fill="auto"/>
            <w:vAlign w:val="center"/>
          </w:tcPr>
          <w:p>
            <w:pPr>
              <w:widowControl/>
              <w:spacing w:line="240" w:lineRule="exact"/>
              <w:jc w:val="center"/>
              <w:rPr>
                <w:kern w:val="0"/>
                <w:sz w:val="18"/>
                <w:szCs w:val="18"/>
              </w:rPr>
            </w:pPr>
            <w:r>
              <w:rPr>
                <w:sz w:val="18"/>
                <w:szCs w:val="18"/>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16</w:t>
            </w:r>
          </w:p>
        </w:tc>
        <w:tc>
          <w:tcPr>
            <w:tcW w:w="1309" w:type="dxa"/>
            <w:shd w:val="clear" w:color="auto" w:fill="auto"/>
            <w:vAlign w:val="center"/>
          </w:tcPr>
          <w:p>
            <w:pPr>
              <w:widowControl/>
              <w:spacing w:line="240" w:lineRule="exact"/>
              <w:jc w:val="center"/>
              <w:rPr>
                <w:kern w:val="0"/>
                <w:sz w:val="18"/>
                <w:szCs w:val="18"/>
              </w:rPr>
            </w:pPr>
            <w:r>
              <w:rPr>
                <w:sz w:val="18"/>
                <w:szCs w:val="18"/>
              </w:rPr>
              <w:t>付冲水库灌区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1.05</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山区、丘陵</w:t>
            </w:r>
          </w:p>
        </w:tc>
        <w:tc>
          <w:tcPr>
            <w:tcW w:w="727" w:type="dxa"/>
            <w:shd w:val="clear" w:color="auto" w:fill="auto"/>
            <w:vAlign w:val="center"/>
          </w:tcPr>
          <w:p>
            <w:pPr>
              <w:widowControl/>
              <w:spacing w:line="240" w:lineRule="exact"/>
              <w:jc w:val="center"/>
              <w:rPr>
                <w:kern w:val="0"/>
                <w:sz w:val="18"/>
                <w:szCs w:val="18"/>
              </w:rPr>
            </w:pPr>
            <w:r>
              <w:rPr>
                <w:sz w:val="18"/>
                <w:szCs w:val="18"/>
              </w:rPr>
              <w:t>60</w:t>
            </w:r>
          </w:p>
        </w:tc>
        <w:tc>
          <w:tcPr>
            <w:tcW w:w="728" w:type="dxa"/>
            <w:shd w:val="clear" w:color="auto" w:fill="auto"/>
            <w:vAlign w:val="center"/>
          </w:tcPr>
          <w:p>
            <w:pPr>
              <w:widowControl/>
              <w:spacing w:line="240" w:lineRule="exact"/>
              <w:jc w:val="center"/>
              <w:rPr>
                <w:kern w:val="0"/>
                <w:sz w:val="18"/>
                <w:szCs w:val="18"/>
              </w:rPr>
            </w:pPr>
            <w:r>
              <w:rPr>
                <w:sz w:val="18"/>
                <w:szCs w:val="18"/>
              </w:rPr>
              <w:t>40</w:t>
            </w:r>
          </w:p>
        </w:tc>
        <w:tc>
          <w:tcPr>
            <w:tcW w:w="1619" w:type="dxa"/>
            <w:shd w:val="clear" w:color="auto" w:fill="auto"/>
            <w:vAlign w:val="center"/>
          </w:tcPr>
          <w:p>
            <w:pPr>
              <w:widowControl/>
              <w:spacing w:line="240" w:lineRule="exact"/>
              <w:jc w:val="center"/>
              <w:rPr>
                <w:kern w:val="0"/>
                <w:sz w:val="18"/>
                <w:szCs w:val="18"/>
              </w:rPr>
            </w:pPr>
            <w:r>
              <w:rPr>
                <w:sz w:val="18"/>
                <w:szCs w:val="18"/>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17</w:t>
            </w:r>
          </w:p>
        </w:tc>
        <w:tc>
          <w:tcPr>
            <w:tcW w:w="1309" w:type="dxa"/>
            <w:shd w:val="clear" w:color="auto" w:fill="auto"/>
            <w:vAlign w:val="center"/>
          </w:tcPr>
          <w:p>
            <w:pPr>
              <w:widowControl/>
              <w:spacing w:line="240" w:lineRule="exact"/>
              <w:jc w:val="center"/>
              <w:rPr>
                <w:kern w:val="0"/>
                <w:sz w:val="18"/>
                <w:szCs w:val="18"/>
              </w:rPr>
            </w:pPr>
            <w:r>
              <w:rPr>
                <w:sz w:val="18"/>
                <w:szCs w:val="18"/>
              </w:rPr>
              <w:t>范店河灌区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1.10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山区、丘陵</w:t>
            </w:r>
          </w:p>
        </w:tc>
        <w:tc>
          <w:tcPr>
            <w:tcW w:w="727" w:type="dxa"/>
            <w:shd w:val="clear" w:color="auto" w:fill="auto"/>
            <w:vAlign w:val="center"/>
          </w:tcPr>
          <w:p>
            <w:pPr>
              <w:widowControl/>
              <w:spacing w:line="240" w:lineRule="exact"/>
              <w:jc w:val="center"/>
              <w:rPr>
                <w:kern w:val="0"/>
                <w:sz w:val="18"/>
                <w:szCs w:val="18"/>
              </w:rPr>
            </w:pPr>
            <w:r>
              <w:rPr>
                <w:sz w:val="18"/>
                <w:szCs w:val="18"/>
              </w:rPr>
              <w:t>60</w:t>
            </w:r>
          </w:p>
        </w:tc>
        <w:tc>
          <w:tcPr>
            <w:tcW w:w="728" w:type="dxa"/>
            <w:shd w:val="clear" w:color="auto" w:fill="auto"/>
            <w:vAlign w:val="center"/>
          </w:tcPr>
          <w:p>
            <w:pPr>
              <w:widowControl/>
              <w:spacing w:line="240" w:lineRule="exact"/>
              <w:jc w:val="center"/>
              <w:rPr>
                <w:kern w:val="0"/>
                <w:sz w:val="18"/>
                <w:szCs w:val="18"/>
              </w:rPr>
            </w:pPr>
            <w:r>
              <w:rPr>
                <w:sz w:val="18"/>
                <w:szCs w:val="18"/>
              </w:rPr>
              <w:t>40</w:t>
            </w:r>
          </w:p>
        </w:tc>
        <w:tc>
          <w:tcPr>
            <w:tcW w:w="1619" w:type="dxa"/>
            <w:shd w:val="clear" w:color="auto" w:fill="auto"/>
            <w:vAlign w:val="center"/>
          </w:tcPr>
          <w:p>
            <w:pPr>
              <w:widowControl/>
              <w:spacing w:line="240" w:lineRule="exact"/>
              <w:jc w:val="center"/>
              <w:rPr>
                <w:kern w:val="0"/>
                <w:sz w:val="18"/>
                <w:szCs w:val="18"/>
              </w:rPr>
            </w:pPr>
            <w:r>
              <w:rPr>
                <w:sz w:val="18"/>
                <w:szCs w:val="18"/>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kern w:val="0"/>
                <w:sz w:val="18"/>
                <w:szCs w:val="18"/>
              </w:rPr>
              <w:t>18</w:t>
            </w:r>
          </w:p>
        </w:tc>
        <w:tc>
          <w:tcPr>
            <w:tcW w:w="1309" w:type="dxa"/>
            <w:shd w:val="clear" w:color="auto" w:fill="auto"/>
            <w:vAlign w:val="center"/>
          </w:tcPr>
          <w:p>
            <w:pPr>
              <w:widowControl/>
              <w:spacing w:line="240" w:lineRule="exact"/>
              <w:jc w:val="center"/>
              <w:rPr>
                <w:kern w:val="0"/>
                <w:sz w:val="18"/>
                <w:szCs w:val="18"/>
              </w:rPr>
            </w:pPr>
            <w:r>
              <w:rPr>
                <w:kern w:val="0"/>
                <w:sz w:val="18"/>
                <w:szCs w:val="18"/>
              </w:rPr>
              <w:t>灌口集中型灌区</w:t>
            </w:r>
          </w:p>
        </w:tc>
        <w:tc>
          <w:tcPr>
            <w:tcW w:w="749" w:type="dxa"/>
            <w:shd w:val="clear" w:color="auto" w:fill="auto"/>
            <w:vAlign w:val="center"/>
          </w:tcPr>
          <w:p>
            <w:pPr>
              <w:widowControl/>
              <w:spacing w:line="240" w:lineRule="exact"/>
              <w:jc w:val="center"/>
              <w:rPr>
                <w:kern w:val="0"/>
                <w:sz w:val="18"/>
                <w:szCs w:val="18"/>
              </w:rPr>
            </w:pPr>
            <w:r>
              <w:rPr>
                <w:kern w:val="0"/>
                <w:sz w:val="18"/>
                <w:szCs w:val="18"/>
              </w:rPr>
              <w:t>中型</w:t>
            </w:r>
          </w:p>
        </w:tc>
        <w:tc>
          <w:tcPr>
            <w:tcW w:w="1018" w:type="dxa"/>
            <w:shd w:val="clear" w:color="auto" w:fill="auto"/>
            <w:vAlign w:val="center"/>
          </w:tcPr>
          <w:p>
            <w:pPr>
              <w:widowControl/>
              <w:spacing w:line="240" w:lineRule="exact"/>
              <w:jc w:val="center"/>
              <w:rPr>
                <w:kern w:val="0"/>
                <w:sz w:val="18"/>
                <w:szCs w:val="18"/>
              </w:rPr>
            </w:pPr>
            <w:r>
              <w:rPr>
                <w:kern w:val="0"/>
                <w:sz w:val="18"/>
                <w:szCs w:val="18"/>
              </w:rPr>
              <w:t>6.58</w:t>
            </w:r>
          </w:p>
        </w:tc>
        <w:tc>
          <w:tcPr>
            <w:tcW w:w="922" w:type="dxa"/>
            <w:shd w:val="clear" w:color="auto" w:fill="auto"/>
            <w:vAlign w:val="center"/>
          </w:tcPr>
          <w:p>
            <w:pPr>
              <w:widowControl/>
              <w:spacing w:line="240" w:lineRule="exact"/>
              <w:jc w:val="center"/>
              <w:rPr>
                <w:kern w:val="0"/>
                <w:sz w:val="18"/>
                <w:szCs w:val="18"/>
              </w:rPr>
            </w:pPr>
            <w:r>
              <w:rPr>
                <w:kern w:val="0"/>
                <w:sz w:val="18"/>
                <w:szCs w:val="18"/>
              </w:rPr>
              <w:t>泵站</w:t>
            </w:r>
          </w:p>
        </w:tc>
        <w:tc>
          <w:tcPr>
            <w:tcW w:w="824" w:type="dxa"/>
            <w:shd w:val="clear" w:color="auto" w:fill="auto"/>
            <w:vAlign w:val="center"/>
          </w:tcPr>
          <w:p>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pPr>
              <w:widowControl/>
              <w:spacing w:line="240" w:lineRule="exact"/>
              <w:jc w:val="center"/>
              <w:rPr>
                <w:kern w:val="0"/>
                <w:sz w:val="18"/>
                <w:szCs w:val="18"/>
              </w:rPr>
            </w:pPr>
            <w:r>
              <w:rPr>
                <w:kern w:val="0"/>
                <w:sz w:val="18"/>
                <w:szCs w:val="18"/>
              </w:rPr>
              <w:t>85</w:t>
            </w:r>
          </w:p>
        </w:tc>
        <w:tc>
          <w:tcPr>
            <w:tcW w:w="728" w:type="dxa"/>
            <w:shd w:val="clear" w:color="auto" w:fill="auto"/>
            <w:noWrap/>
            <w:vAlign w:val="center"/>
          </w:tcPr>
          <w:p>
            <w:pPr>
              <w:widowControl/>
              <w:spacing w:line="240" w:lineRule="exact"/>
              <w:jc w:val="center"/>
              <w:rPr>
                <w:kern w:val="0"/>
                <w:sz w:val="18"/>
                <w:szCs w:val="18"/>
              </w:rPr>
            </w:pPr>
            <w:r>
              <w:rPr>
                <w:kern w:val="0"/>
                <w:sz w:val="18"/>
                <w:szCs w:val="18"/>
              </w:rPr>
              <w:t>15</w:t>
            </w:r>
          </w:p>
        </w:tc>
        <w:tc>
          <w:tcPr>
            <w:tcW w:w="1619" w:type="dxa"/>
            <w:shd w:val="clear" w:color="auto" w:fill="auto"/>
            <w:vAlign w:val="center"/>
          </w:tcPr>
          <w:p>
            <w:pPr>
              <w:widowControl/>
              <w:spacing w:line="240" w:lineRule="exact"/>
              <w:jc w:val="center"/>
              <w:rPr>
                <w:kern w:val="0"/>
                <w:sz w:val="18"/>
                <w:szCs w:val="18"/>
              </w:rPr>
            </w:pPr>
            <w:r>
              <w:rPr>
                <w:kern w:val="0"/>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kern w:val="0"/>
                <w:sz w:val="18"/>
                <w:szCs w:val="18"/>
              </w:rPr>
              <w:t>19</w:t>
            </w:r>
          </w:p>
        </w:tc>
        <w:tc>
          <w:tcPr>
            <w:tcW w:w="1309" w:type="dxa"/>
            <w:shd w:val="clear" w:color="auto" w:fill="auto"/>
            <w:vAlign w:val="center"/>
          </w:tcPr>
          <w:p>
            <w:pPr>
              <w:widowControl/>
              <w:spacing w:line="240" w:lineRule="exact"/>
              <w:jc w:val="center"/>
              <w:rPr>
                <w:kern w:val="0"/>
                <w:sz w:val="18"/>
                <w:szCs w:val="18"/>
              </w:rPr>
            </w:pPr>
            <w:r>
              <w:rPr>
                <w:kern w:val="0"/>
                <w:sz w:val="18"/>
                <w:szCs w:val="18"/>
              </w:rPr>
              <w:t>八一灌区</w:t>
            </w:r>
          </w:p>
        </w:tc>
        <w:tc>
          <w:tcPr>
            <w:tcW w:w="749" w:type="dxa"/>
            <w:shd w:val="clear" w:color="auto" w:fill="auto"/>
            <w:vAlign w:val="center"/>
          </w:tcPr>
          <w:p>
            <w:pPr>
              <w:widowControl/>
              <w:spacing w:line="240" w:lineRule="exact"/>
              <w:jc w:val="center"/>
              <w:rPr>
                <w:kern w:val="0"/>
                <w:sz w:val="18"/>
                <w:szCs w:val="18"/>
              </w:rPr>
            </w:pPr>
            <w:r>
              <w:rPr>
                <w:kern w:val="0"/>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kern w:val="0"/>
                <w:sz w:val="18"/>
                <w:szCs w:val="18"/>
              </w:rPr>
              <w:t>5.11</w:t>
            </w:r>
          </w:p>
        </w:tc>
        <w:tc>
          <w:tcPr>
            <w:tcW w:w="922" w:type="dxa"/>
            <w:shd w:val="clear" w:color="auto" w:fill="auto"/>
            <w:vAlign w:val="center"/>
          </w:tcPr>
          <w:p>
            <w:pPr>
              <w:widowControl/>
              <w:spacing w:line="240" w:lineRule="exact"/>
              <w:jc w:val="center"/>
              <w:rPr>
                <w:kern w:val="0"/>
                <w:sz w:val="18"/>
                <w:szCs w:val="18"/>
              </w:rPr>
            </w:pPr>
            <w:r>
              <w:rPr>
                <w:kern w:val="0"/>
                <w:sz w:val="18"/>
                <w:szCs w:val="18"/>
              </w:rPr>
              <w:t>水库</w:t>
            </w:r>
          </w:p>
        </w:tc>
        <w:tc>
          <w:tcPr>
            <w:tcW w:w="824" w:type="dxa"/>
            <w:shd w:val="clear" w:color="auto" w:fill="auto"/>
            <w:vAlign w:val="center"/>
          </w:tcPr>
          <w:p>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pPr>
              <w:widowControl/>
              <w:spacing w:line="240" w:lineRule="exact"/>
              <w:jc w:val="center"/>
              <w:rPr>
                <w:kern w:val="0"/>
                <w:sz w:val="18"/>
                <w:szCs w:val="18"/>
              </w:rPr>
            </w:pPr>
            <w:r>
              <w:rPr>
                <w:kern w:val="0"/>
                <w:sz w:val="18"/>
                <w:szCs w:val="18"/>
              </w:rPr>
              <w:t>85</w:t>
            </w:r>
          </w:p>
        </w:tc>
        <w:tc>
          <w:tcPr>
            <w:tcW w:w="728" w:type="dxa"/>
            <w:shd w:val="clear" w:color="auto" w:fill="auto"/>
            <w:noWrap/>
            <w:vAlign w:val="center"/>
          </w:tcPr>
          <w:p>
            <w:pPr>
              <w:widowControl/>
              <w:spacing w:line="240" w:lineRule="exact"/>
              <w:jc w:val="center"/>
              <w:rPr>
                <w:kern w:val="0"/>
                <w:sz w:val="18"/>
                <w:szCs w:val="18"/>
              </w:rPr>
            </w:pPr>
            <w:r>
              <w:rPr>
                <w:kern w:val="0"/>
                <w:sz w:val="18"/>
                <w:szCs w:val="18"/>
              </w:rPr>
              <w:t>15</w:t>
            </w:r>
          </w:p>
        </w:tc>
        <w:tc>
          <w:tcPr>
            <w:tcW w:w="1619" w:type="dxa"/>
            <w:shd w:val="clear" w:color="auto" w:fill="auto"/>
            <w:vAlign w:val="center"/>
          </w:tcPr>
          <w:p>
            <w:pPr>
              <w:widowControl/>
              <w:spacing w:line="240" w:lineRule="exact"/>
              <w:jc w:val="center"/>
              <w:rPr>
                <w:kern w:val="0"/>
                <w:sz w:val="18"/>
                <w:szCs w:val="18"/>
              </w:rPr>
            </w:pPr>
            <w:r>
              <w:rPr>
                <w:kern w:val="0"/>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kern w:val="0"/>
                <w:sz w:val="18"/>
                <w:szCs w:val="18"/>
              </w:rPr>
              <w:t>20</w:t>
            </w:r>
          </w:p>
        </w:tc>
        <w:tc>
          <w:tcPr>
            <w:tcW w:w="1309" w:type="dxa"/>
            <w:shd w:val="clear" w:color="auto" w:fill="auto"/>
            <w:vAlign w:val="center"/>
          </w:tcPr>
          <w:p>
            <w:pPr>
              <w:widowControl/>
              <w:spacing w:line="240" w:lineRule="exact"/>
              <w:jc w:val="center"/>
              <w:rPr>
                <w:kern w:val="0"/>
                <w:sz w:val="18"/>
                <w:szCs w:val="18"/>
              </w:rPr>
            </w:pPr>
            <w:r>
              <w:rPr>
                <w:kern w:val="0"/>
                <w:sz w:val="18"/>
                <w:szCs w:val="18"/>
              </w:rPr>
              <w:t>徐冲灌区</w:t>
            </w:r>
          </w:p>
        </w:tc>
        <w:tc>
          <w:tcPr>
            <w:tcW w:w="749" w:type="dxa"/>
            <w:shd w:val="clear" w:color="auto" w:fill="auto"/>
            <w:vAlign w:val="center"/>
          </w:tcPr>
          <w:p>
            <w:pPr>
              <w:widowControl/>
              <w:spacing w:line="240" w:lineRule="exact"/>
              <w:jc w:val="center"/>
              <w:rPr>
                <w:kern w:val="0"/>
                <w:sz w:val="18"/>
                <w:szCs w:val="18"/>
              </w:rPr>
            </w:pPr>
            <w:r>
              <w:rPr>
                <w:kern w:val="0"/>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kern w:val="0"/>
                <w:sz w:val="18"/>
                <w:szCs w:val="18"/>
              </w:rPr>
              <w:t>5.23</w:t>
            </w:r>
          </w:p>
        </w:tc>
        <w:tc>
          <w:tcPr>
            <w:tcW w:w="922" w:type="dxa"/>
            <w:shd w:val="clear" w:color="auto" w:fill="auto"/>
            <w:vAlign w:val="center"/>
          </w:tcPr>
          <w:p>
            <w:pPr>
              <w:widowControl/>
              <w:spacing w:line="240" w:lineRule="exact"/>
              <w:jc w:val="center"/>
              <w:rPr>
                <w:kern w:val="0"/>
                <w:sz w:val="18"/>
                <w:szCs w:val="18"/>
              </w:rPr>
            </w:pPr>
            <w:r>
              <w:rPr>
                <w:kern w:val="0"/>
                <w:sz w:val="18"/>
                <w:szCs w:val="18"/>
              </w:rPr>
              <w:t>堰闸</w:t>
            </w:r>
          </w:p>
        </w:tc>
        <w:tc>
          <w:tcPr>
            <w:tcW w:w="824" w:type="dxa"/>
            <w:shd w:val="clear" w:color="auto" w:fill="auto"/>
            <w:vAlign w:val="center"/>
          </w:tcPr>
          <w:p>
            <w:pPr>
              <w:widowControl/>
              <w:spacing w:line="240" w:lineRule="exact"/>
              <w:jc w:val="center"/>
              <w:rPr>
                <w:kern w:val="0"/>
                <w:sz w:val="18"/>
                <w:szCs w:val="18"/>
              </w:rPr>
            </w:pPr>
            <w:r>
              <w:rPr>
                <w:kern w:val="0"/>
                <w:sz w:val="18"/>
                <w:szCs w:val="18"/>
              </w:rPr>
              <w:t>丘陵</w:t>
            </w:r>
          </w:p>
        </w:tc>
        <w:tc>
          <w:tcPr>
            <w:tcW w:w="727" w:type="dxa"/>
            <w:shd w:val="clear" w:color="auto" w:fill="auto"/>
            <w:noWrap/>
            <w:vAlign w:val="center"/>
          </w:tcPr>
          <w:p>
            <w:pPr>
              <w:widowControl/>
              <w:spacing w:line="240" w:lineRule="exact"/>
              <w:jc w:val="center"/>
              <w:rPr>
                <w:kern w:val="0"/>
                <w:sz w:val="18"/>
                <w:szCs w:val="18"/>
              </w:rPr>
            </w:pPr>
            <w:r>
              <w:rPr>
                <w:kern w:val="0"/>
                <w:sz w:val="18"/>
                <w:szCs w:val="18"/>
              </w:rPr>
              <w:t>79</w:t>
            </w:r>
          </w:p>
        </w:tc>
        <w:tc>
          <w:tcPr>
            <w:tcW w:w="728" w:type="dxa"/>
            <w:shd w:val="clear" w:color="auto" w:fill="auto"/>
            <w:noWrap/>
            <w:vAlign w:val="center"/>
          </w:tcPr>
          <w:p>
            <w:pPr>
              <w:widowControl/>
              <w:spacing w:line="240" w:lineRule="exact"/>
              <w:jc w:val="center"/>
              <w:rPr>
                <w:kern w:val="0"/>
                <w:sz w:val="18"/>
                <w:szCs w:val="18"/>
              </w:rPr>
            </w:pPr>
            <w:r>
              <w:rPr>
                <w:kern w:val="0"/>
                <w:sz w:val="18"/>
                <w:szCs w:val="18"/>
              </w:rPr>
              <w:t>21</w:t>
            </w:r>
          </w:p>
        </w:tc>
        <w:tc>
          <w:tcPr>
            <w:tcW w:w="1619" w:type="dxa"/>
            <w:shd w:val="clear" w:color="auto" w:fill="auto"/>
            <w:vAlign w:val="center"/>
          </w:tcPr>
          <w:p>
            <w:pPr>
              <w:widowControl/>
              <w:spacing w:line="240" w:lineRule="exact"/>
              <w:jc w:val="center"/>
              <w:rPr>
                <w:kern w:val="0"/>
                <w:sz w:val="18"/>
                <w:szCs w:val="18"/>
              </w:rPr>
            </w:pPr>
            <w:r>
              <w:rPr>
                <w:kern w:val="0"/>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21</w:t>
            </w:r>
          </w:p>
        </w:tc>
        <w:tc>
          <w:tcPr>
            <w:tcW w:w="1309" w:type="dxa"/>
            <w:shd w:val="clear" w:color="auto" w:fill="auto"/>
            <w:vAlign w:val="center"/>
          </w:tcPr>
          <w:p>
            <w:pPr>
              <w:widowControl/>
              <w:spacing w:line="240" w:lineRule="exact"/>
              <w:jc w:val="center"/>
              <w:rPr>
                <w:kern w:val="0"/>
                <w:sz w:val="18"/>
                <w:szCs w:val="18"/>
              </w:rPr>
            </w:pPr>
            <w:r>
              <w:rPr>
                <w:sz w:val="18"/>
                <w:szCs w:val="18"/>
              </w:rPr>
              <w:t>天马灌区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sz w:val="18"/>
                <w:szCs w:val="18"/>
              </w:rPr>
              <w:t>2.10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pPr>
              <w:widowControl/>
              <w:spacing w:line="240" w:lineRule="exact"/>
              <w:jc w:val="center"/>
              <w:rPr>
                <w:kern w:val="0"/>
                <w:sz w:val="18"/>
                <w:szCs w:val="18"/>
              </w:rPr>
            </w:pPr>
            <w:r>
              <w:rPr>
                <w:sz w:val="18"/>
                <w:szCs w:val="18"/>
              </w:rPr>
              <w:t>77</w:t>
            </w:r>
          </w:p>
        </w:tc>
        <w:tc>
          <w:tcPr>
            <w:tcW w:w="728" w:type="dxa"/>
            <w:shd w:val="clear" w:color="auto" w:fill="auto"/>
            <w:noWrap/>
            <w:vAlign w:val="center"/>
          </w:tcPr>
          <w:p>
            <w:pPr>
              <w:widowControl/>
              <w:spacing w:line="240" w:lineRule="exact"/>
              <w:jc w:val="center"/>
              <w:rPr>
                <w:kern w:val="0"/>
                <w:sz w:val="18"/>
                <w:szCs w:val="18"/>
              </w:rPr>
            </w:pPr>
            <w:r>
              <w:rPr>
                <w:sz w:val="18"/>
                <w:szCs w:val="18"/>
              </w:rPr>
              <w:t>23</w:t>
            </w:r>
          </w:p>
        </w:tc>
        <w:tc>
          <w:tcPr>
            <w:tcW w:w="1619" w:type="dxa"/>
            <w:shd w:val="clear" w:color="auto" w:fill="auto"/>
            <w:vAlign w:val="center"/>
          </w:tcPr>
          <w:p>
            <w:pPr>
              <w:widowControl/>
              <w:spacing w:line="240" w:lineRule="exact"/>
              <w:jc w:val="center"/>
              <w:rPr>
                <w:kern w:val="0"/>
                <w:sz w:val="18"/>
                <w:szCs w:val="18"/>
              </w:rPr>
            </w:pPr>
            <w:r>
              <w:rPr>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22</w:t>
            </w:r>
          </w:p>
        </w:tc>
        <w:tc>
          <w:tcPr>
            <w:tcW w:w="1309" w:type="dxa"/>
            <w:shd w:val="clear" w:color="auto" w:fill="auto"/>
            <w:vAlign w:val="center"/>
          </w:tcPr>
          <w:p>
            <w:pPr>
              <w:widowControl/>
              <w:spacing w:line="240" w:lineRule="exact"/>
              <w:jc w:val="center"/>
              <w:rPr>
                <w:kern w:val="0"/>
                <w:sz w:val="18"/>
                <w:szCs w:val="18"/>
              </w:rPr>
            </w:pPr>
            <w:r>
              <w:rPr>
                <w:sz w:val="18"/>
                <w:szCs w:val="18"/>
              </w:rPr>
              <w:t>泗河灌区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sz w:val="18"/>
                <w:szCs w:val="18"/>
              </w:rPr>
              <w:t>1.69</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pPr>
              <w:widowControl/>
              <w:spacing w:line="240" w:lineRule="exact"/>
              <w:jc w:val="center"/>
              <w:rPr>
                <w:kern w:val="0"/>
                <w:sz w:val="18"/>
                <w:szCs w:val="18"/>
              </w:rPr>
            </w:pPr>
            <w:r>
              <w:rPr>
                <w:sz w:val="18"/>
                <w:szCs w:val="18"/>
              </w:rPr>
              <w:t>60</w:t>
            </w:r>
          </w:p>
        </w:tc>
        <w:tc>
          <w:tcPr>
            <w:tcW w:w="728" w:type="dxa"/>
            <w:shd w:val="clear" w:color="auto" w:fill="auto"/>
            <w:noWrap/>
            <w:vAlign w:val="center"/>
          </w:tcPr>
          <w:p>
            <w:pPr>
              <w:widowControl/>
              <w:spacing w:line="240" w:lineRule="exact"/>
              <w:jc w:val="center"/>
              <w:rPr>
                <w:kern w:val="0"/>
                <w:sz w:val="18"/>
                <w:szCs w:val="18"/>
              </w:rPr>
            </w:pPr>
            <w:r>
              <w:rPr>
                <w:sz w:val="18"/>
                <w:szCs w:val="18"/>
              </w:rPr>
              <w:t>40</w:t>
            </w:r>
          </w:p>
        </w:tc>
        <w:tc>
          <w:tcPr>
            <w:tcW w:w="1619" w:type="dxa"/>
            <w:shd w:val="clear" w:color="auto" w:fill="auto"/>
            <w:vAlign w:val="center"/>
          </w:tcPr>
          <w:p>
            <w:pPr>
              <w:widowControl/>
              <w:spacing w:line="240" w:lineRule="exact"/>
              <w:jc w:val="center"/>
              <w:rPr>
                <w:kern w:val="0"/>
                <w:sz w:val="18"/>
                <w:szCs w:val="18"/>
              </w:rPr>
            </w:pPr>
            <w:r>
              <w:rPr>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23</w:t>
            </w:r>
          </w:p>
        </w:tc>
        <w:tc>
          <w:tcPr>
            <w:tcW w:w="1309" w:type="dxa"/>
            <w:shd w:val="clear" w:color="auto" w:fill="auto"/>
            <w:vAlign w:val="center"/>
          </w:tcPr>
          <w:p>
            <w:pPr>
              <w:widowControl/>
              <w:spacing w:line="240" w:lineRule="exact"/>
              <w:jc w:val="center"/>
              <w:rPr>
                <w:kern w:val="0"/>
                <w:sz w:val="18"/>
                <w:szCs w:val="18"/>
              </w:rPr>
            </w:pPr>
            <w:r>
              <w:rPr>
                <w:sz w:val="18"/>
                <w:szCs w:val="18"/>
              </w:rPr>
              <w:t>韩泗灌区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sz w:val="18"/>
                <w:szCs w:val="18"/>
              </w:rPr>
              <w:t>2.34</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pPr>
              <w:widowControl/>
              <w:spacing w:line="240" w:lineRule="exact"/>
              <w:jc w:val="center"/>
              <w:rPr>
                <w:kern w:val="0"/>
                <w:sz w:val="18"/>
                <w:szCs w:val="18"/>
              </w:rPr>
            </w:pPr>
            <w:r>
              <w:rPr>
                <w:sz w:val="18"/>
                <w:szCs w:val="18"/>
              </w:rPr>
              <w:t>60</w:t>
            </w:r>
          </w:p>
        </w:tc>
        <w:tc>
          <w:tcPr>
            <w:tcW w:w="728" w:type="dxa"/>
            <w:shd w:val="clear" w:color="auto" w:fill="auto"/>
            <w:noWrap/>
            <w:vAlign w:val="center"/>
          </w:tcPr>
          <w:p>
            <w:pPr>
              <w:widowControl/>
              <w:spacing w:line="240" w:lineRule="exact"/>
              <w:jc w:val="center"/>
              <w:rPr>
                <w:kern w:val="0"/>
                <w:sz w:val="18"/>
                <w:szCs w:val="18"/>
              </w:rPr>
            </w:pPr>
            <w:r>
              <w:rPr>
                <w:sz w:val="18"/>
                <w:szCs w:val="18"/>
              </w:rPr>
              <w:t>40</w:t>
            </w:r>
          </w:p>
        </w:tc>
        <w:tc>
          <w:tcPr>
            <w:tcW w:w="1619" w:type="dxa"/>
            <w:shd w:val="clear" w:color="auto" w:fill="auto"/>
            <w:vAlign w:val="center"/>
          </w:tcPr>
          <w:p>
            <w:pPr>
              <w:widowControl/>
              <w:spacing w:line="240" w:lineRule="exact"/>
              <w:jc w:val="center"/>
              <w:rPr>
                <w:kern w:val="0"/>
                <w:sz w:val="18"/>
                <w:szCs w:val="18"/>
              </w:rPr>
            </w:pPr>
            <w:r>
              <w:rPr>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24</w:t>
            </w:r>
          </w:p>
        </w:tc>
        <w:tc>
          <w:tcPr>
            <w:tcW w:w="1309" w:type="dxa"/>
            <w:shd w:val="clear" w:color="auto" w:fill="auto"/>
            <w:vAlign w:val="center"/>
          </w:tcPr>
          <w:p>
            <w:pPr>
              <w:widowControl/>
              <w:spacing w:line="240" w:lineRule="exact"/>
              <w:jc w:val="center"/>
              <w:rPr>
                <w:kern w:val="0"/>
                <w:sz w:val="18"/>
                <w:szCs w:val="18"/>
              </w:rPr>
            </w:pPr>
            <w:r>
              <w:rPr>
                <w:sz w:val="18"/>
                <w:szCs w:val="18"/>
              </w:rPr>
              <w:t>胜利灌区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1.15</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vAlign w:val="center"/>
          </w:tcPr>
          <w:p>
            <w:pPr>
              <w:widowControl/>
              <w:spacing w:line="240" w:lineRule="exact"/>
              <w:jc w:val="center"/>
              <w:rPr>
                <w:kern w:val="0"/>
                <w:sz w:val="18"/>
                <w:szCs w:val="18"/>
              </w:rPr>
            </w:pPr>
            <w:r>
              <w:rPr>
                <w:sz w:val="18"/>
                <w:szCs w:val="18"/>
              </w:rPr>
              <w:t>74</w:t>
            </w:r>
          </w:p>
        </w:tc>
        <w:tc>
          <w:tcPr>
            <w:tcW w:w="728" w:type="dxa"/>
            <w:shd w:val="clear" w:color="auto" w:fill="auto"/>
            <w:vAlign w:val="center"/>
          </w:tcPr>
          <w:p>
            <w:pPr>
              <w:widowControl/>
              <w:spacing w:line="240" w:lineRule="exact"/>
              <w:jc w:val="center"/>
              <w:rPr>
                <w:kern w:val="0"/>
                <w:sz w:val="18"/>
                <w:szCs w:val="18"/>
              </w:rPr>
            </w:pPr>
            <w:r>
              <w:rPr>
                <w:sz w:val="18"/>
                <w:szCs w:val="18"/>
              </w:rPr>
              <w:t>26</w:t>
            </w:r>
          </w:p>
        </w:tc>
        <w:tc>
          <w:tcPr>
            <w:tcW w:w="1619" w:type="dxa"/>
            <w:shd w:val="clear" w:color="auto" w:fill="auto"/>
            <w:vAlign w:val="center"/>
          </w:tcPr>
          <w:p>
            <w:pPr>
              <w:widowControl/>
              <w:spacing w:line="240" w:lineRule="exact"/>
              <w:jc w:val="center"/>
              <w:rPr>
                <w:kern w:val="0"/>
                <w:sz w:val="18"/>
                <w:szCs w:val="18"/>
              </w:rPr>
            </w:pPr>
            <w:r>
              <w:rPr>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25</w:t>
            </w:r>
          </w:p>
        </w:tc>
        <w:tc>
          <w:tcPr>
            <w:tcW w:w="1309" w:type="dxa"/>
            <w:shd w:val="clear" w:color="auto" w:fill="auto"/>
            <w:vAlign w:val="center"/>
          </w:tcPr>
          <w:p>
            <w:pPr>
              <w:widowControl/>
              <w:spacing w:line="240" w:lineRule="exact"/>
              <w:jc w:val="center"/>
              <w:rPr>
                <w:kern w:val="0"/>
                <w:sz w:val="18"/>
                <w:szCs w:val="18"/>
              </w:rPr>
            </w:pPr>
            <w:r>
              <w:rPr>
                <w:sz w:val="18"/>
                <w:szCs w:val="18"/>
              </w:rPr>
              <w:t>沙河灌区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1.25</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vAlign w:val="center"/>
          </w:tcPr>
          <w:p>
            <w:pPr>
              <w:widowControl/>
              <w:spacing w:line="240" w:lineRule="exact"/>
              <w:jc w:val="center"/>
              <w:rPr>
                <w:kern w:val="0"/>
                <w:sz w:val="18"/>
                <w:szCs w:val="18"/>
              </w:rPr>
            </w:pPr>
            <w:r>
              <w:rPr>
                <w:sz w:val="18"/>
                <w:szCs w:val="18"/>
              </w:rPr>
              <w:t>60</w:t>
            </w:r>
          </w:p>
        </w:tc>
        <w:tc>
          <w:tcPr>
            <w:tcW w:w="728" w:type="dxa"/>
            <w:shd w:val="clear" w:color="auto" w:fill="auto"/>
            <w:vAlign w:val="center"/>
          </w:tcPr>
          <w:p>
            <w:pPr>
              <w:widowControl/>
              <w:spacing w:line="240" w:lineRule="exact"/>
              <w:jc w:val="center"/>
              <w:rPr>
                <w:kern w:val="0"/>
                <w:sz w:val="18"/>
                <w:szCs w:val="18"/>
              </w:rPr>
            </w:pPr>
            <w:r>
              <w:rPr>
                <w:sz w:val="18"/>
                <w:szCs w:val="18"/>
              </w:rPr>
              <w:t>40</w:t>
            </w:r>
          </w:p>
        </w:tc>
        <w:tc>
          <w:tcPr>
            <w:tcW w:w="1619" w:type="dxa"/>
            <w:shd w:val="clear" w:color="auto" w:fill="auto"/>
            <w:vAlign w:val="center"/>
          </w:tcPr>
          <w:p>
            <w:pPr>
              <w:widowControl/>
              <w:spacing w:line="240" w:lineRule="exact"/>
              <w:jc w:val="center"/>
              <w:rPr>
                <w:kern w:val="0"/>
                <w:sz w:val="18"/>
                <w:szCs w:val="18"/>
              </w:rPr>
            </w:pPr>
            <w:r>
              <w:rPr>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26</w:t>
            </w:r>
          </w:p>
        </w:tc>
        <w:tc>
          <w:tcPr>
            <w:tcW w:w="1309" w:type="dxa"/>
            <w:shd w:val="clear" w:color="auto" w:fill="auto"/>
            <w:vAlign w:val="center"/>
          </w:tcPr>
          <w:p>
            <w:pPr>
              <w:widowControl/>
              <w:spacing w:line="240" w:lineRule="exact"/>
              <w:jc w:val="center"/>
              <w:rPr>
                <w:kern w:val="0"/>
                <w:sz w:val="18"/>
                <w:szCs w:val="18"/>
              </w:rPr>
            </w:pPr>
            <w:r>
              <w:rPr>
                <w:sz w:val="18"/>
                <w:szCs w:val="18"/>
              </w:rPr>
              <w:t>西庄灌区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2.05</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vAlign w:val="center"/>
          </w:tcPr>
          <w:p>
            <w:pPr>
              <w:widowControl/>
              <w:spacing w:line="240" w:lineRule="exact"/>
              <w:jc w:val="center"/>
              <w:rPr>
                <w:kern w:val="0"/>
                <w:sz w:val="18"/>
                <w:szCs w:val="18"/>
              </w:rPr>
            </w:pPr>
            <w:r>
              <w:rPr>
                <w:sz w:val="18"/>
                <w:szCs w:val="18"/>
              </w:rPr>
              <w:t>60</w:t>
            </w:r>
          </w:p>
        </w:tc>
        <w:tc>
          <w:tcPr>
            <w:tcW w:w="728" w:type="dxa"/>
            <w:shd w:val="clear" w:color="auto" w:fill="auto"/>
            <w:vAlign w:val="center"/>
          </w:tcPr>
          <w:p>
            <w:pPr>
              <w:widowControl/>
              <w:spacing w:line="240" w:lineRule="exact"/>
              <w:jc w:val="center"/>
              <w:rPr>
                <w:kern w:val="0"/>
                <w:sz w:val="18"/>
                <w:szCs w:val="18"/>
              </w:rPr>
            </w:pPr>
            <w:r>
              <w:rPr>
                <w:sz w:val="18"/>
                <w:szCs w:val="18"/>
              </w:rPr>
              <w:t>40</w:t>
            </w:r>
          </w:p>
        </w:tc>
        <w:tc>
          <w:tcPr>
            <w:tcW w:w="1619" w:type="dxa"/>
            <w:shd w:val="clear" w:color="auto" w:fill="auto"/>
            <w:vAlign w:val="center"/>
          </w:tcPr>
          <w:p>
            <w:pPr>
              <w:widowControl/>
              <w:spacing w:line="240" w:lineRule="exact"/>
              <w:jc w:val="center"/>
              <w:rPr>
                <w:kern w:val="0"/>
                <w:sz w:val="18"/>
                <w:szCs w:val="18"/>
              </w:rPr>
            </w:pPr>
            <w:r>
              <w:rPr>
                <w:sz w:val="18"/>
                <w:szCs w:val="18"/>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27</w:t>
            </w:r>
          </w:p>
        </w:tc>
        <w:tc>
          <w:tcPr>
            <w:tcW w:w="1309" w:type="dxa"/>
            <w:shd w:val="clear" w:color="auto" w:fill="auto"/>
            <w:vAlign w:val="center"/>
          </w:tcPr>
          <w:p>
            <w:pPr>
              <w:widowControl/>
              <w:spacing w:line="240" w:lineRule="exact"/>
              <w:jc w:val="center"/>
              <w:rPr>
                <w:kern w:val="0"/>
                <w:sz w:val="18"/>
                <w:szCs w:val="18"/>
              </w:rPr>
            </w:pPr>
            <w:r>
              <w:rPr>
                <w:sz w:val="18"/>
                <w:szCs w:val="18"/>
              </w:rPr>
              <w:t>移洋湾灌区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vAlign w:val="center"/>
          </w:tcPr>
          <w:p>
            <w:pPr>
              <w:widowControl/>
              <w:spacing w:line="240" w:lineRule="exact"/>
              <w:jc w:val="center"/>
              <w:rPr>
                <w:kern w:val="0"/>
                <w:sz w:val="18"/>
                <w:szCs w:val="18"/>
              </w:rPr>
            </w:pPr>
            <w:r>
              <w:rPr>
                <w:sz w:val="18"/>
                <w:szCs w:val="18"/>
              </w:rPr>
              <w:t>1.11</w:t>
            </w:r>
          </w:p>
        </w:tc>
        <w:tc>
          <w:tcPr>
            <w:tcW w:w="922" w:type="dxa"/>
            <w:shd w:val="clear" w:color="auto" w:fill="auto"/>
            <w:vAlign w:val="center"/>
          </w:tcPr>
          <w:p>
            <w:pPr>
              <w:widowControl/>
              <w:spacing w:line="240" w:lineRule="exact"/>
              <w:jc w:val="center"/>
              <w:rPr>
                <w:kern w:val="0"/>
                <w:sz w:val="18"/>
                <w:szCs w:val="18"/>
              </w:rPr>
            </w:pPr>
            <w:r>
              <w:rPr>
                <w:sz w:val="18"/>
                <w:szCs w:val="18"/>
              </w:rPr>
              <w:t>堰闸</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vAlign w:val="center"/>
          </w:tcPr>
          <w:p>
            <w:pPr>
              <w:widowControl/>
              <w:spacing w:line="240" w:lineRule="exact"/>
              <w:jc w:val="center"/>
              <w:rPr>
                <w:kern w:val="0"/>
                <w:sz w:val="18"/>
                <w:szCs w:val="18"/>
              </w:rPr>
            </w:pPr>
            <w:r>
              <w:rPr>
                <w:sz w:val="18"/>
                <w:szCs w:val="18"/>
              </w:rPr>
              <w:t>71.6</w:t>
            </w:r>
          </w:p>
        </w:tc>
        <w:tc>
          <w:tcPr>
            <w:tcW w:w="728" w:type="dxa"/>
            <w:shd w:val="clear" w:color="auto" w:fill="auto"/>
            <w:vAlign w:val="center"/>
          </w:tcPr>
          <w:p>
            <w:pPr>
              <w:widowControl/>
              <w:spacing w:line="240" w:lineRule="exact"/>
              <w:jc w:val="center"/>
              <w:rPr>
                <w:kern w:val="0"/>
                <w:sz w:val="18"/>
                <w:szCs w:val="18"/>
              </w:rPr>
            </w:pPr>
            <w:r>
              <w:rPr>
                <w:sz w:val="18"/>
                <w:szCs w:val="18"/>
              </w:rPr>
              <w:t>28.4</w:t>
            </w:r>
          </w:p>
        </w:tc>
        <w:tc>
          <w:tcPr>
            <w:tcW w:w="1619" w:type="dxa"/>
            <w:shd w:val="clear" w:color="auto" w:fill="auto"/>
            <w:vAlign w:val="center"/>
          </w:tcPr>
          <w:p>
            <w:pPr>
              <w:widowControl/>
              <w:spacing w:line="240" w:lineRule="exact"/>
              <w:jc w:val="center"/>
              <w:rPr>
                <w:kern w:val="0"/>
                <w:sz w:val="18"/>
                <w:szCs w:val="18"/>
              </w:rPr>
            </w:pPr>
            <w:r>
              <w:rPr>
                <w:sz w:val="18"/>
                <w:szCs w:val="18"/>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sz w:val="18"/>
                <w:szCs w:val="18"/>
              </w:rPr>
            </w:pPr>
            <w:r>
              <w:rPr>
                <w:kern w:val="0"/>
                <w:sz w:val="18"/>
                <w:szCs w:val="18"/>
              </w:rPr>
              <w:t>28</w:t>
            </w:r>
          </w:p>
        </w:tc>
        <w:tc>
          <w:tcPr>
            <w:tcW w:w="1309" w:type="dxa"/>
            <w:shd w:val="clear" w:color="auto" w:fill="auto"/>
            <w:vAlign w:val="center"/>
          </w:tcPr>
          <w:p>
            <w:pPr>
              <w:widowControl/>
              <w:spacing w:line="240" w:lineRule="exact"/>
              <w:jc w:val="center"/>
              <w:rPr>
                <w:sz w:val="18"/>
                <w:szCs w:val="18"/>
              </w:rPr>
            </w:pPr>
            <w:r>
              <w:rPr>
                <w:kern w:val="0"/>
                <w:sz w:val="18"/>
                <w:szCs w:val="18"/>
              </w:rPr>
              <w:t>淠源渠灌区</w:t>
            </w:r>
          </w:p>
        </w:tc>
        <w:tc>
          <w:tcPr>
            <w:tcW w:w="749" w:type="dxa"/>
            <w:shd w:val="clear" w:color="auto" w:fill="auto"/>
            <w:vAlign w:val="center"/>
          </w:tcPr>
          <w:p>
            <w:pPr>
              <w:widowControl/>
              <w:spacing w:line="240" w:lineRule="exact"/>
              <w:jc w:val="center"/>
              <w:rPr>
                <w:sz w:val="18"/>
                <w:szCs w:val="18"/>
              </w:rPr>
            </w:pPr>
            <w:r>
              <w:rPr>
                <w:kern w:val="0"/>
                <w:sz w:val="18"/>
                <w:szCs w:val="18"/>
              </w:rPr>
              <w:t>中型</w:t>
            </w:r>
          </w:p>
        </w:tc>
        <w:tc>
          <w:tcPr>
            <w:tcW w:w="1018" w:type="dxa"/>
            <w:shd w:val="clear" w:color="auto" w:fill="auto"/>
            <w:vAlign w:val="center"/>
          </w:tcPr>
          <w:p>
            <w:pPr>
              <w:widowControl/>
              <w:spacing w:line="240" w:lineRule="exact"/>
              <w:jc w:val="center"/>
              <w:rPr>
                <w:sz w:val="18"/>
                <w:szCs w:val="18"/>
              </w:rPr>
            </w:pPr>
            <w:r>
              <w:rPr>
                <w:kern w:val="0"/>
                <w:sz w:val="18"/>
                <w:szCs w:val="18"/>
              </w:rPr>
              <w:t xml:space="preserve">6.90 </w:t>
            </w:r>
          </w:p>
        </w:tc>
        <w:tc>
          <w:tcPr>
            <w:tcW w:w="922" w:type="dxa"/>
            <w:shd w:val="clear" w:color="auto" w:fill="auto"/>
            <w:vAlign w:val="center"/>
          </w:tcPr>
          <w:p>
            <w:pPr>
              <w:widowControl/>
              <w:spacing w:line="240" w:lineRule="exact"/>
              <w:jc w:val="center"/>
              <w:rPr>
                <w:sz w:val="18"/>
                <w:szCs w:val="18"/>
              </w:rPr>
            </w:pPr>
            <w:r>
              <w:rPr>
                <w:kern w:val="0"/>
                <w:sz w:val="18"/>
                <w:szCs w:val="18"/>
              </w:rPr>
              <w:t>水库</w:t>
            </w:r>
          </w:p>
        </w:tc>
        <w:tc>
          <w:tcPr>
            <w:tcW w:w="824" w:type="dxa"/>
            <w:shd w:val="clear" w:color="auto" w:fill="auto"/>
            <w:vAlign w:val="center"/>
          </w:tcPr>
          <w:p>
            <w:pPr>
              <w:widowControl/>
              <w:spacing w:line="240" w:lineRule="exact"/>
              <w:jc w:val="center"/>
              <w:rPr>
                <w:sz w:val="18"/>
                <w:szCs w:val="18"/>
              </w:rPr>
            </w:pPr>
            <w:r>
              <w:rPr>
                <w:kern w:val="0"/>
                <w:sz w:val="18"/>
                <w:szCs w:val="18"/>
              </w:rPr>
              <w:t>丘陵</w:t>
            </w:r>
          </w:p>
        </w:tc>
        <w:tc>
          <w:tcPr>
            <w:tcW w:w="727" w:type="dxa"/>
            <w:shd w:val="clear" w:color="auto" w:fill="auto"/>
            <w:vAlign w:val="center"/>
          </w:tcPr>
          <w:p>
            <w:pPr>
              <w:widowControl/>
              <w:spacing w:line="240" w:lineRule="exact"/>
              <w:jc w:val="center"/>
              <w:rPr>
                <w:sz w:val="18"/>
                <w:szCs w:val="18"/>
              </w:rPr>
            </w:pPr>
            <w:r>
              <w:rPr>
                <w:kern w:val="0"/>
                <w:sz w:val="18"/>
                <w:szCs w:val="18"/>
              </w:rPr>
              <w:t>95</w:t>
            </w:r>
          </w:p>
        </w:tc>
        <w:tc>
          <w:tcPr>
            <w:tcW w:w="728" w:type="dxa"/>
            <w:shd w:val="clear" w:color="auto" w:fill="auto"/>
            <w:vAlign w:val="center"/>
          </w:tcPr>
          <w:p>
            <w:pPr>
              <w:widowControl/>
              <w:spacing w:line="240" w:lineRule="exact"/>
              <w:jc w:val="center"/>
              <w:rPr>
                <w:sz w:val="18"/>
                <w:szCs w:val="18"/>
              </w:rPr>
            </w:pPr>
            <w:r>
              <w:rPr>
                <w:kern w:val="0"/>
                <w:sz w:val="18"/>
                <w:szCs w:val="18"/>
              </w:rPr>
              <w:t>5</w:t>
            </w:r>
          </w:p>
        </w:tc>
        <w:tc>
          <w:tcPr>
            <w:tcW w:w="1619" w:type="dxa"/>
            <w:shd w:val="clear" w:color="auto" w:fill="auto"/>
            <w:vAlign w:val="center"/>
          </w:tcPr>
          <w:p>
            <w:pPr>
              <w:widowControl/>
              <w:spacing w:line="240" w:lineRule="exact"/>
              <w:jc w:val="center"/>
              <w:rPr>
                <w:sz w:val="18"/>
                <w:szCs w:val="18"/>
              </w:rPr>
            </w:pPr>
            <w:r>
              <w:rPr>
                <w:kern w:val="0"/>
                <w:sz w:val="18"/>
                <w:szCs w:val="18"/>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sz w:val="18"/>
                <w:szCs w:val="18"/>
              </w:rPr>
            </w:pPr>
            <w:r>
              <w:rPr>
                <w:kern w:val="0"/>
                <w:sz w:val="18"/>
                <w:szCs w:val="18"/>
              </w:rPr>
              <w:t>29</w:t>
            </w:r>
          </w:p>
        </w:tc>
        <w:tc>
          <w:tcPr>
            <w:tcW w:w="1309" w:type="dxa"/>
            <w:shd w:val="clear" w:color="auto" w:fill="auto"/>
            <w:vAlign w:val="center"/>
          </w:tcPr>
          <w:p>
            <w:pPr>
              <w:widowControl/>
              <w:spacing w:line="240" w:lineRule="exact"/>
              <w:jc w:val="center"/>
              <w:rPr>
                <w:sz w:val="18"/>
                <w:szCs w:val="18"/>
              </w:rPr>
            </w:pPr>
            <w:r>
              <w:rPr>
                <w:kern w:val="0"/>
                <w:sz w:val="18"/>
                <w:szCs w:val="18"/>
              </w:rPr>
              <w:t>高河中型灌区</w:t>
            </w:r>
          </w:p>
        </w:tc>
        <w:tc>
          <w:tcPr>
            <w:tcW w:w="749" w:type="dxa"/>
            <w:shd w:val="clear" w:color="auto" w:fill="auto"/>
            <w:vAlign w:val="center"/>
          </w:tcPr>
          <w:p>
            <w:pPr>
              <w:widowControl/>
              <w:spacing w:line="240" w:lineRule="exact"/>
              <w:jc w:val="center"/>
              <w:rPr>
                <w:sz w:val="18"/>
                <w:szCs w:val="18"/>
              </w:rPr>
            </w:pPr>
            <w:r>
              <w:rPr>
                <w:kern w:val="0"/>
                <w:sz w:val="18"/>
                <w:szCs w:val="18"/>
              </w:rPr>
              <w:t>中型</w:t>
            </w:r>
          </w:p>
        </w:tc>
        <w:tc>
          <w:tcPr>
            <w:tcW w:w="1018" w:type="dxa"/>
            <w:shd w:val="clear" w:color="auto" w:fill="auto"/>
            <w:vAlign w:val="center"/>
          </w:tcPr>
          <w:p>
            <w:pPr>
              <w:widowControl/>
              <w:spacing w:line="240" w:lineRule="exact"/>
              <w:jc w:val="center"/>
              <w:rPr>
                <w:sz w:val="18"/>
                <w:szCs w:val="18"/>
              </w:rPr>
            </w:pPr>
            <w:r>
              <w:rPr>
                <w:kern w:val="0"/>
                <w:sz w:val="18"/>
                <w:szCs w:val="18"/>
              </w:rPr>
              <w:t xml:space="preserve">6.10 </w:t>
            </w:r>
          </w:p>
        </w:tc>
        <w:tc>
          <w:tcPr>
            <w:tcW w:w="922" w:type="dxa"/>
            <w:shd w:val="clear" w:color="auto" w:fill="auto"/>
            <w:vAlign w:val="center"/>
          </w:tcPr>
          <w:p>
            <w:pPr>
              <w:widowControl/>
              <w:spacing w:line="240" w:lineRule="exact"/>
              <w:jc w:val="center"/>
              <w:rPr>
                <w:sz w:val="18"/>
                <w:szCs w:val="18"/>
              </w:rPr>
            </w:pPr>
            <w:r>
              <w:rPr>
                <w:kern w:val="0"/>
                <w:sz w:val="18"/>
                <w:szCs w:val="18"/>
              </w:rPr>
              <w:t>水库</w:t>
            </w:r>
          </w:p>
        </w:tc>
        <w:tc>
          <w:tcPr>
            <w:tcW w:w="824" w:type="dxa"/>
            <w:shd w:val="clear" w:color="auto" w:fill="auto"/>
            <w:vAlign w:val="center"/>
          </w:tcPr>
          <w:p>
            <w:pPr>
              <w:widowControl/>
              <w:spacing w:line="240" w:lineRule="exact"/>
              <w:jc w:val="center"/>
              <w:rPr>
                <w:sz w:val="18"/>
                <w:szCs w:val="18"/>
              </w:rPr>
            </w:pPr>
            <w:r>
              <w:rPr>
                <w:kern w:val="0"/>
                <w:sz w:val="18"/>
                <w:szCs w:val="18"/>
              </w:rPr>
              <w:t>丘陵</w:t>
            </w:r>
          </w:p>
        </w:tc>
        <w:tc>
          <w:tcPr>
            <w:tcW w:w="727" w:type="dxa"/>
            <w:shd w:val="clear" w:color="auto" w:fill="auto"/>
            <w:vAlign w:val="center"/>
          </w:tcPr>
          <w:p>
            <w:pPr>
              <w:widowControl/>
              <w:spacing w:line="240" w:lineRule="exact"/>
              <w:jc w:val="center"/>
              <w:rPr>
                <w:sz w:val="18"/>
                <w:szCs w:val="18"/>
              </w:rPr>
            </w:pPr>
            <w:r>
              <w:rPr>
                <w:kern w:val="0"/>
                <w:sz w:val="18"/>
                <w:szCs w:val="18"/>
              </w:rPr>
              <w:t>90</w:t>
            </w:r>
          </w:p>
        </w:tc>
        <w:tc>
          <w:tcPr>
            <w:tcW w:w="728" w:type="dxa"/>
            <w:shd w:val="clear" w:color="auto" w:fill="auto"/>
            <w:vAlign w:val="center"/>
          </w:tcPr>
          <w:p>
            <w:pPr>
              <w:widowControl/>
              <w:spacing w:line="240" w:lineRule="exact"/>
              <w:jc w:val="center"/>
              <w:rPr>
                <w:sz w:val="18"/>
                <w:szCs w:val="18"/>
              </w:rPr>
            </w:pPr>
            <w:r>
              <w:rPr>
                <w:kern w:val="0"/>
                <w:sz w:val="18"/>
                <w:szCs w:val="18"/>
              </w:rPr>
              <w:t>10</w:t>
            </w:r>
          </w:p>
        </w:tc>
        <w:tc>
          <w:tcPr>
            <w:tcW w:w="1619" w:type="dxa"/>
            <w:shd w:val="clear" w:color="auto" w:fill="auto"/>
            <w:vAlign w:val="center"/>
          </w:tcPr>
          <w:p>
            <w:pPr>
              <w:widowControl/>
              <w:spacing w:line="240" w:lineRule="exact"/>
              <w:jc w:val="center"/>
              <w:rPr>
                <w:sz w:val="18"/>
                <w:szCs w:val="18"/>
              </w:rPr>
            </w:pPr>
            <w:r>
              <w:rPr>
                <w:kern w:val="0"/>
                <w:sz w:val="18"/>
                <w:szCs w:val="18"/>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30</w:t>
            </w:r>
          </w:p>
        </w:tc>
        <w:tc>
          <w:tcPr>
            <w:tcW w:w="1309" w:type="dxa"/>
            <w:shd w:val="clear" w:color="auto" w:fill="auto"/>
            <w:vAlign w:val="center"/>
          </w:tcPr>
          <w:p>
            <w:pPr>
              <w:widowControl/>
              <w:spacing w:line="240" w:lineRule="exact"/>
              <w:jc w:val="center"/>
              <w:rPr>
                <w:kern w:val="0"/>
                <w:sz w:val="18"/>
                <w:szCs w:val="18"/>
              </w:rPr>
            </w:pPr>
            <w:r>
              <w:rPr>
                <w:sz w:val="18"/>
                <w:szCs w:val="18"/>
              </w:rPr>
              <w:t>下符桥灌区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sz w:val="18"/>
                <w:szCs w:val="18"/>
              </w:rPr>
              <w:t>2.77</w:t>
            </w:r>
          </w:p>
        </w:tc>
        <w:tc>
          <w:tcPr>
            <w:tcW w:w="922" w:type="dxa"/>
            <w:shd w:val="clear" w:color="auto" w:fill="auto"/>
            <w:vAlign w:val="center"/>
          </w:tcPr>
          <w:p>
            <w:pPr>
              <w:widowControl/>
              <w:spacing w:line="240" w:lineRule="exact"/>
              <w:jc w:val="center"/>
              <w:rPr>
                <w:kern w:val="0"/>
                <w:sz w:val="18"/>
                <w:szCs w:val="18"/>
              </w:rPr>
            </w:pPr>
            <w:r>
              <w:rPr>
                <w:sz w:val="18"/>
                <w:szCs w:val="18"/>
              </w:rPr>
              <w:t>泵站</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pPr>
              <w:widowControl/>
              <w:spacing w:line="240" w:lineRule="exact"/>
              <w:jc w:val="center"/>
              <w:rPr>
                <w:kern w:val="0"/>
                <w:sz w:val="18"/>
                <w:szCs w:val="18"/>
              </w:rPr>
            </w:pPr>
            <w:r>
              <w:rPr>
                <w:sz w:val="18"/>
                <w:szCs w:val="18"/>
              </w:rPr>
              <w:t>82.3</w:t>
            </w:r>
          </w:p>
        </w:tc>
        <w:tc>
          <w:tcPr>
            <w:tcW w:w="728" w:type="dxa"/>
            <w:shd w:val="clear" w:color="auto" w:fill="auto"/>
            <w:noWrap/>
            <w:vAlign w:val="center"/>
          </w:tcPr>
          <w:p>
            <w:pPr>
              <w:widowControl/>
              <w:spacing w:line="240" w:lineRule="exact"/>
              <w:jc w:val="center"/>
              <w:rPr>
                <w:kern w:val="0"/>
                <w:sz w:val="18"/>
                <w:szCs w:val="18"/>
              </w:rPr>
            </w:pPr>
            <w:r>
              <w:rPr>
                <w:sz w:val="18"/>
                <w:szCs w:val="18"/>
              </w:rPr>
              <w:t>17.7</w:t>
            </w:r>
          </w:p>
        </w:tc>
        <w:tc>
          <w:tcPr>
            <w:tcW w:w="1619" w:type="dxa"/>
            <w:shd w:val="clear" w:color="auto" w:fill="auto"/>
            <w:vAlign w:val="center"/>
          </w:tcPr>
          <w:p>
            <w:pPr>
              <w:widowControl/>
              <w:spacing w:line="240" w:lineRule="exact"/>
              <w:jc w:val="center"/>
              <w:rPr>
                <w:kern w:val="0"/>
                <w:sz w:val="18"/>
                <w:szCs w:val="18"/>
              </w:rPr>
            </w:pPr>
            <w:r>
              <w:rPr>
                <w:sz w:val="18"/>
                <w:szCs w:val="18"/>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31</w:t>
            </w:r>
          </w:p>
        </w:tc>
        <w:tc>
          <w:tcPr>
            <w:tcW w:w="1309" w:type="dxa"/>
            <w:shd w:val="clear" w:color="auto" w:fill="auto"/>
            <w:vAlign w:val="center"/>
          </w:tcPr>
          <w:p>
            <w:pPr>
              <w:widowControl/>
              <w:spacing w:line="240" w:lineRule="exact"/>
              <w:jc w:val="center"/>
              <w:rPr>
                <w:kern w:val="0"/>
                <w:sz w:val="18"/>
                <w:szCs w:val="18"/>
              </w:rPr>
            </w:pPr>
            <w:r>
              <w:rPr>
                <w:sz w:val="18"/>
                <w:szCs w:val="18"/>
              </w:rPr>
              <w:t>黑石渡灌区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sz w:val="18"/>
                <w:szCs w:val="18"/>
              </w:rPr>
              <w:t>1.54</w:t>
            </w:r>
          </w:p>
        </w:tc>
        <w:tc>
          <w:tcPr>
            <w:tcW w:w="922" w:type="dxa"/>
            <w:shd w:val="clear" w:color="auto" w:fill="auto"/>
            <w:vAlign w:val="center"/>
          </w:tcPr>
          <w:p>
            <w:pPr>
              <w:widowControl/>
              <w:spacing w:line="240" w:lineRule="exact"/>
              <w:jc w:val="center"/>
              <w:rPr>
                <w:kern w:val="0"/>
                <w:sz w:val="18"/>
                <w:szCs w:val="18"/>
              </w:rPr>
            </w:pPr>
            <w:r>
              <w:rPr>
                <w:sz w:val="18"/>
                <w:szCs w:val="18"/>
              </w:rPr>
              <w:t>堰闸</w:t>
            </w:r>
          </w:p>
        </w:tc>
        <w:tc>
          <w:tcPr>
            <w:tcW w:w="824" w:type="dxa"/>
            <w:shd w:val="clear" w:color="auto" w:fill="auto"/>
            <w:vAlign w:val="center"/>
          </w:tcPr>
          <w:p>
            <w:pPr>
              <w:widowControl/>
              <w:spacing w:line="240" w:lineRule="exact"/>
              <w:jc w:val="center"/>
              <w:rPr>
                <w:kern w:val="0"/>
                <w:sz w:val="18"/>
                <w:szCs w:val="18"/>
              </w:rPr>
            </w:pPr>
            <w:r>
              <w:rPr>
                <w:sz w:val="18"/>
                <w:szCs w:val="18"/>
              </w:rPr>
              <w:t>丘陵</w:t>
            </w:r>
          </w:p>
        </w:tc>
        <w:tc>
          <w:tcPr>
            <w:tcW w:w="727" w:type="dxa"/>
            <w:shd w:val="clear" w:color="auto" w:fill="auto"/>
            <w:noWrap/>
            <w:vAlign w:val="center"/>
          </w:tcPr>
          <w:p>
            <w:pPr>
              <w:widowControl/>
              <w:spacing w:line="240" w:lineRule="exact"/>
              <w:jc w:val="center"/>
              <w:rPr>
                <w:kern w:val="0"/>
                <w:sz w:val="18"/>
                <w:szCs w:val="18"/>
              </w:rPr>
            </w:pPr>
            <w:r>
              <w:rPr>
                <w:sz w:val="18"/>
                <w:szCs w:val="18"/>
              </w:rPr>
              <w:t>80</w:t>
            </w:r>
          </w:p>
        </w:tc>
        <w:tc>
          <w:tcPr>
            <w:tcW w:w="728" w:type="dxa"/>
            <w:shd w:val="clear" w:color="auto" w:fill="auto"/>
            <w:noWrap/>
            <w:vAlign w:val="center"/>
          </w:tcPr>
          <w:p>
            <w:pPr>
              <w:widowControl/>
              <w:spacing w:line="240" w:lineRule="exact"/>
              <w:jc w:val="center"/>
              <w:rPr>
                <w:kern w:val="0"/>
                <w:sz w:val="18"/>
                <w:szCs w:val="18"/>
              </w:rPr>
            </w:pPr>
            <w:r>
              <w:rPr>
                <w:sz w:val="18"/>
                <w:szCs w:val="18"/>
              </w:rPr>
              <w:t>20</w:t>
            </w:r>
          </w:p>
        </w:tc>
        <w:tc>
          <w:tcPr>
            <w:tcW w:w="1619" w:type="dxa"/>
            <w:shd w:val="clear" w:color="auto" w:fill="auto"/>
            <w:vAlign w:val="center"/>
          </w:tcPr>
          <w:p>
            <w:pPr>
              <w:widowControl/>
              <w:spacing w:line="240" w:lineRule="exact"/>
              <w:jc w:val="center"/>
              <w:rPr>
                <w:kern w:val="0"/>
                <w:sz w:val="18"/>
                <w:szCs w:val="18"/>
              </w:rPr>
            </w:pPr>
            <w:r>
              <w:rPr>
                <w:sz w:val="18"/>
                <w:szCs w:val="18"/>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32</w:t>
            </w:r>
          </w:p>
        </w:tc>
        <w:tc>
          <w:tcPr>
            <w:tcW w:w="1309" w:type="dxa"/>
            <w:shd w:val="clear" w:color="auto" w:fill="auto"/>
            <w:vAlign w:val="center"/>
          </w:tcPr>
          <w:p>
            <w:pPr>
              <w:widowControl/>
              <w:spacing w:line="240" w:lineRule="exact"/>
              <w:jc w:val="center"/>
              <w:rPr>
                <w:kern w:val="0"/>
                <w:sz w:val="18"/>
                <w:szCs w:val="18"/>
              </w:rPr>
            </w:pPr>
            <w:r>
              <w:rPr>
                <w:sz w:val="18"/>
                <w:szCs w:val="18"/>
              </w:rPr>
              <w:t>千工堰水库灌区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sz w:val="18"/>
                <w:szCs w:val="18"/>
              </w:rPr>
              <w:t>1.50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pPr>
              <w:widowControl/>
              <w:spacing w:line="240" w:lineRule="exact"/>
              <w:jc w:val="center"/>
              <w:rPr>
                <w:kern w:val="0"/>
                <w:sz w:val="18"/>
                <w:szCs w:val="18"/>
              </w:rPr>
            </w:pPr>
            <w:r>
              <w:rPr>
                <w:sz w:val="18"/>
                <w:szCs w:val="18"/>
              </w:rPr>
              <w:t>90</w:t>
            </w:r>
          </w:p>
        </w:tc>
        <w:tc>
          <w:tcPr>
            <w:tcW w:w="728" w:type="dxa"/>
            <w:shd w:val="clear" w:color="auto" w:fill="auto"/>
            <w:noWrap/>
            <w:vAlign w:val="center"/>
          </w:tcPr>
          <w:p>
            <w:pPr>
              <w:widowControl/>
              <w:spacing w:line="240" w:lineRule="exact"/>
              <w:jc w:val="center"/>
              <w:rPr>
                <w:kern w:val="0"/>
                <w:sz w:val="18"/>
                <w:szCs w:val="18"/>
              </w:rPr>
            </w:pPr>
            <w:r>
              <w:rPr>
                <w:sz w:val="18"/>
                <w:szCs w:val="18"/>
              </w:rPr>
              <w:t>10</w:t>
            </w:r>
          </w:p>
        </w:tc>
        <w:tc>
          <w:tcPr>
            <w:tcW w:w="1619" w:type="dxa"/>
            <w:shd w:val="clear" w:color="auto" w:fill="auto"/>
            <w:vAlign w:val="center"/>
          </w:tcPr>
          <w:p>
            <w:pPr>
              <w:widowControl/>
              <w:spacing w:line="240" w:lineRule="exact"/>
              <w:jc w:val="center"/>
              <w:rPr>
                <w:kern w:val="0"/>
                <w:sz w:val="18"/>
                <w:szCs w:val="18"/>
              </w:rPr>
            </w:pPr>
            <w:r>
              <w:rPr>
                <w:sz w:val="18"/>
                <w:szCs w:val="18"/>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33</w:t>
            </w:r>
          </w:p>
        </w:tc>
        <w:tc>
          <w:tcPr>
            <w:tcW w:w="1309" w:type="dxa"/>
            <w:shd w:val="clear" w:color="auto" w:fill="auto"/>
            <w:vAlign w:val="center"/>
          </w:tcPr>
          <w:p>
            <w:pPr>
              <w:widowControl/>
              <w:spacing w:line="240" w:lineRule="exact"/>
              <w:jc w:val="center"/>
              <w:rPr>
                <w:kern w:val="0"/>
                <w:sz w:val="18"/>
                <w:szCs w:val="18"/>
              </w:rPr>
            </w:pPr>
            <w:r>
              <w:rPr>
                <w:sz w:val="18"/>
                <w:szCs w:val="18"/>
              </w:rPr>
              <w:t>水口水库灌区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sz w:val="18"/>
                <w:szCs w:val="18"/>
              </w:rPr>
              <w:t>1.60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pPr>
              <w:widowControl/>
              <w:spacing w:line="240" w:lineRule="exact"/>
              <w:jc w:val="center"/>
              <w:rPr>
                <w:kern w:val="0"/>
                <w:sz w:val="18"/>
                <w:szCs w:val="18"/>
              </w:rPr>
            </w:pPr>
            <w:r>
              <w:rPr>
                <w:sz w:val="18"/>
                <w:szCs w:val="18"/>
              </w:rPr>
              <w:t>90</w:t>
            </w:r>
          </w:p>
        </w:tc>
        <w:tc>
          <w:tcPr>
            <w:tcW w:w="728" w:type="dxa"/>
            <w:shd w:val="clear" w:color="auto" w:fill="auto"/>
            <w:noWrap/>
            <w:vAlign w:val="center"/>
          </w:tcPr>
          <w:p>
            <w:pPr>
              <w:widowControl/>
              <w:spacing w:line="240" w:lineRule="exact"/>
              <w:jc w:val="center"/>
              <w:rPr>
                <w:kern w:val="0"/>
                <w:sz w:val="18"/>
                <w:szCs w:val="18"/>
              </w:rPr>
            </w:pPr>
            <w:r>
              <w:rPr>
                <w:sz w:val="18"/>
                <w:szCs w:val="18"/>
              </w:rPr>
              <w:t>10</w:t>
            </w:r>
          </w:p>
        </w:tc>
        <w:tc>
          <w:tcPr>
            <w:tcW w:w="1619" w:type="dxa"/>
            <w:shd w:val="clear" w:color="auto" w:fill="auto"/>
            <w:vAlign w:val="center"/>
          </w:tcPr>
          <w:p>
            <w:pPr>
              <w:widowControl/>
              <w:spacing w:line="240" w:lineRule="exact"/>
              <w:jc w:val="center"/>
              <w:rPr>
                <w:kern w:val="0"/>
                <w:sz w:val="18"/>
                <w:szCs w:val="18"/>
              </w:rPr>
            </w:pPr>
            <w:r>
              <w:rPr>
                <w:sz w:val="18"/>
                <w:szCs w:val="18"/>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dxa"/>
            <w:shd w:val="clear" w:color="auto" w:fill="auto"/>
            <w:vAlign w:val="center"/>
          </w:tcPr>
          <w:p>
            <w:pPr>
              <w:widowControl/>
              <w:spacing w:line="240" w:lineRule="exact"/>
              <w:jc w:val="center"/>
              <w:rPr>
                <w:kern w:val="0"/>
                <w:sz w:val="18"/>
                <w:szCs w:val="18"/>
              </w:rPr>
            </w:pPr>
            <w:r>
              <w:rPr>
                <w:sz w:val="18"/>
                <w:szCs w:val="18"/>
              </w:rPr>
              <w:t>34</w:t>
            </w:r>
          </w:p>
        </w:tc>
        <w:tc>
          <w:tcPr>
            <w:tcW w:w="1309" w:type="dxa"/>
            <w:shd w:val="clear" w:color="auto" w:fill="auto"/>
            <w:vAlign w:val="center"/>
          </w:tcPr>
          <w:p>
            <w:pPr>
              <w:widowControl/>
              <w:spacing w:line="240" w:lineRule="exact"/>
              <w:jc w:val="center"/>
              <w:rPr>
                <w:kern w:val="0"/>
                <w:sz w:val="18"/>
                <w:szCs w:val="18"/>
              </w:rPr>
            </w:pPr>
            <w:r>
              <w:rPr>
                <w:sz w:val="18"/>
                <w:szCs w:val="18"/>
              </w:rPr>
              <w:t>桃源河水库灌区</w:t>
            </w:r>
          </w:p>
        </w:tc>
        <w:tc>
          <w:tcPr>
            <w:tcW w:w="749" w:type="dxa"/>
            <w:shd w:val="clear" w:color="auto" w:fill="auto"/>
            <w:vAlign w:val="center"/>
          </w:tcPr>
          <w:p>
            <w:pPr>
              <w:widowControl/>
              <w:spacing w:line="240" w:lineRule="exact"/>
              <w:jc w:val="center"/>
              <w:rPr>
                <w:kern w:val="0"/>
                <w:sz w:val="18"/>
                <w:szCs w:val="18"/>
              </w:rPr>
            </w:pPr>
            <w:r>
              <w:rPr>
                <w:sz w:val="18"/>
                <w:szCs w:val="18"/>
              </w:rPr>
              <w:t>中型</w:t>
            </w:r>
          </w:p>
        </w:tc>
        <w:tc>
          <w:tcPr>
            <w:tcW w:w="1018" w:type="dxa"/>
            <w:shd w:val="clear" w:color="auto" w:fill="auto"/>
            <w:noWrap/>
            <w:vAlign w:val="center"/>
          </w:tcPr>
          <w:p>
            <w:pPr>
              <w:widowControl/>
              <w:spacing w:line="240" w:lineRule="exact"/>
              <w:jc w:val="center"/>
              <w:rPr>
                <w:kern w:val="0"/>
                <w:sz w:val="18"/>
                <w:szCs w:val="18"/>
              </w:rPr>
            </w:pPr>
            <w:r>
              <w:rPr>
                <w:sz w:val="18"/>
                <w:szCs w:val="18"/>
              </w:rPr>
              <w:t>1.50</w:t>
            </w:r>
          </w:p>
        </w:tc>
        <w:tc>
          <w:tcPr>
            <w:tcW w:w="922" w:type="dxa"/>
            <w:shd w:val="clear" w:color="auto" w:fill="auto"/>
            <w:vAlign w:val="center"/>
          </w:tcPr>
          <w:p>
            <w:pPr>
              <w:widowControl/>
              <w:spacing w:line="240" w:lineRule="exact"/>
              <w:jc w:val="center"/>
              <w:rPr>
                <w:kern w:val="0"/>
                <w:sz w:val="18"/>
                <w:szCs w:val="18"/>
              </w:rPr>
            </w:pPr>
            <w:r>
              <w:rPr>
                <w:sz w:val="18"/>
                <w:szCs w:val="18"/>
              </w:rPr>
              <w:t>水库</w:t>
            </w:r>
          </w:p>
        </w:tc>
        <w:tc>
          <w:tcPr>
            <w:tcW w:w="824" w:type="dxa"/>
            <w:shd w:val="clear" w:color="auto" w:fill="auto"/>
            <w:vAlign w:val="center"/>
          </w:tcPr>
          <w:p>
            <w:pPr>
              <w:widowControl/>
              <w:spacing w:line="240" w:lineRule="exact"/>
              <w:jc w:val="center"/>
              <w:rPr>
                <w:kern w:val="0"/>
                <w:sz w:val="18"/>
                <w:szCs w:val="18"/>
              </w:rPr>
            </w:pPr>
            <w:r>
              <w:rPr>
                <w:sz w:val="18"/>
                <w:szCs w:val="18"/>
              </w:rPr>
              <w:t>山区</w:t>
            </w:r>
          </w:p>
        </w:tc>
        <w:tc>
          <w:tcPr>
            <w:tcW w:w="727" w:type="dxa"/>
            <w:shd w:val="clear" w:color="auto" w:fill="auto"/>
            <w:noWrap/>
            <w:vAlign w:val="center"/>
          </w:tcPr>
          <w:p>
            <w:pPr>
              <w:widowControl/>
              <w:spacing w:line="240" w:lineRule="exact"/>
              <w:jc w:val="center"/>
              <w:rPr>
                <w:kern w:val="0"/>
                <w:sz w:val="18"/>
                <w:szCs w:val="18"/>
              </w:rPr>
            </w:pPr>
            <w:r>
              <w:rPr>
                <w:sz w:val="18"/>
                <w:szCs w:val="18"/>
              </w:rPr>
              <w:t>80</w:t>
            </w:r>
          </w:p>
        </w:tc>
        <w:tc>
          <w:tcPr>
            <w:tcW w:w="728" w:type="dxa"/>
            <w:shd w:val="clear" w:color="auto" w:fill="auto"/>
            <w:noWrap/>
            <w:vAlign w:val="center"/>
          </w:tcPr>
          <w:p>
            <w:pPr>
              <w:widowControl/>
              <w:spacing w:line="240" w:lineRule="exact"/>
              <w:jc w:val="center"/>
              <w:rPr>
                <w:kern w:val="0"/>
                <w:sz w:val="18"/>
                <w:szCs w:val="18"/>
              </w:rPr>
            </w:pPr>
            <w:r>
              <w:rPr>
                <w:sz w:val="18"/>
                <w:szCs w:val="18"/>
              </w:rPr>
              <w:t>20</w:t>
            </w:r>
          </w:p>
        </w:tc>
        <w:tc>
          <w:tcPr>
            <w:tcW w:w="1619" w:type="dxa"/>
            <w:shd w:val="clear" w:color="auto" w:fill="auto"/>
            <w:vAlign w:val="center"/>
          </w:tcPr>
          <w:p>
            <w:pPr>
              <w:widowControl/>
              <w:spacing w:line="240" w:lineRule="exact"/>
              <w:jc w:val="center"/>
              <w:rPr>
                <w:kern w:val="0"/>
                <w:sz w:val="18"/>
                <w:szCs w:val="18"/>
              </w:rPr>
            </w:pPr>
            <w:r>
              <w:rPr>
                <w:sz w:val="18"/>
                <w:szCs w:val="18"/>
              </w:rPr>
              <w:t>霍山县</w:t>
            </w:r>
          </w:p>
        </w:tc>
      </w:tr>
    </w:tbl>
    <w:p>
      <w:pPr>
        <w:spacing w:line="360" w:lineRule="auto"/>
        <w:ind w:firstLine="480" w:firstLineChars="200"/>
        <w:rPr>
          <w:sz w:val="24"/>
        </w:rPr>
      </w:pPr>
    </w:p>
    <w:p>
      <w:pPr>
        <w:widowControl/>
        <w:jc w:val="left"/>
        <w:rPr>
          <w:sz w:val="24"/>
          <w:szCs w:val="24"/>
        </w:rPr>
      </w:pPr>
    </w:p>
    <w:p>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AndChars" w:linePitch="312" w:charSpace="0"/>
        </w:sectPr>
      </w:pPr>
      <w:bookmarkStart w:id="76" w:name="_Toc5560"/>
      <w:bookmarkStart w:id="77" w:name="_Toc229"/>
      <w:bookmarkStart w:id="78" w:name="_Toc382472180"/>
      <w:bookmarkStart w:id="79" w:name="_Toc8248"/>
      <w:bookmarkStart w:id="80" w:name="_Toc12121"/>
      <w:bookmarkStart w:id="81" w:name="_Toc30742"/>
      <w:bookmarkStart w:id="82" w:name="_Toc25355"/>
      <w:bookmarkStart w:id="83" w:name="_Toc20758"/>
    </w:p>
    <w:p>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pPr>
      <w:bookmarkStart w:id="84" w:name="_Toc95382446"/>
      <w:r>
        <w:rPr>
          <w:rFonts w:hint="eastAsia" w:ascii="黑体" w:hAnsi="黑体" w:eastAsia="黑体" w:cs="黑体"/>
          <w:bCs/>
          <w:kern w:val="44"/>
          <w:sz w:val="36"/>
          <w:szCs w:val="36"/>
        </w:rPr>
        <w:t>第二章 指导思想和目标任务</w:t>
      </w:r>
      <w:bookmarkEnd w:id="76"/>
      <w:bookmarkEnd w:id="77"/>
      <w:bookmarkEnd w:id="78"/>
      <w:bookmarkEnd w:id="79"/>
      <w:bookmarkEnd w:id="80"/>
      <w:bookmarkEnd w:id="81"/>
      <w:bookmarkEnd w:id="82"/>
      <w:bookmarkEnd w:id="83"/>
      <w:bookmarkEnd w:id="84"/>
    </w:p>
    <w:p>
      <w:pPr>
        <w:keepNext/>
        <w:keepLines/>
        <w:adjustRightInd w:val="0"/>
        <w:snapToGrid w:val="0"/>
        <w:spacing w:before="312" w:beforeLines="100" w:after="312" w:afterLines="100" w:line="360" w:lineRule="auto"/>
        <w:jc w:val="center"/>
        <w:outlineLvl w:val="1"/>
        <w:rPr>
          <w:b/>
          <w:bCs/>
          <w:sz w:val="32"/>
          <w:szCs w:val="36"/>
        </w:rPr>
      </w:pPr>
      <w:bookmarkStart w:id="85" w:name="_Toc23598"/>
      <w:bookmarkStart w:id="86" w:name="_Toc324432017"/>
      <w:bookmarkStart w:id="87" w:name="_Toc95382447"/>
      <w:bookmarkStart w:id="88" w:name="_Toc27087"/>
      <w:bookmarkStart w:id="89" w:name="_Toc14451"/>
      <w:bookmarkStart w:id="90" w:name="_Toc22894"/>
      <w:bookmarkStart w:id="91" w:name="_Toc20088"/>
      <w:bookmarkStart w:id="92" w:name="_Toc14968"/>
      <w:bookmarkStart w:id="93" w:name="_Toc382472181"/>
      <w:bookmarkStart w:id="94" w:name="_Toc28378"/>
      <w:r>
        <w:rPr>
          <w:b/>
          <w:bCs/>
          <w:sz w:val="32"/>
          <w:szCs w:val="36"/>
        </w:rPr>
        <w:t>第一节 指导思想和基本原则</w:t>
      </w:r>
      <w:bookmarkEnd w:id="85"/>
      <w:bookmarkEnd w:id="86"/>
      <w:bookmarkEnd w:id="87"/>
      <w:bookmarkEnd w:id="88"/>
      <w:bookmarkEnd w:id="89"/>
      <w:bookmarkEnd w:id="90"/>
      <w:bookmarkEnd w:id="91"/>
      <w:bookmarkEnd w:id="92"/>
      <w:bookmarkEnd w:id="93"/>
      <w:bookmarkEnd w:id="94"/>
    </w:p>
    <w:p>
      <w:pPr>
        <w:pStyle w:val="4"/>
        <w:spacing w:before="156" w:beforeLines="50" w:after="156" w:afterLines="50" w:line="360" w:lineRule="auto"/>
        <w:rPr>
          <w:sz w:val="28"/>
        </w:rPr>
      </w:pPr>
      <w:bookmarkStart w:id="95" w:name="_Toc95382448"/>
      <w:bookmarkStart w:id="96" w:name="_Toc324432018"/>
      <w:bookmarkStart w:id="97" w:name="_Toc382472182"/>
      <w:r>
        <w:rPr>
          <w:rFonts w:hint="eastAsia"/>
          <w:sz w:val="28"/>
        </w:rPr>
        <w:t>一、指导思想</w:t>
      </w:r>
      <w:bookmarkEnd w:id="95"/>
      <w:bookmarkEnd w:id="96"/>
      <w:bookmarkEnd w:id="97"/>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以党的</w:t>
      </w:r>
      <w:bookmarkStart w:id="764" w:name="_GoBack"/>
      <w:bookmarkEnd w:id="764"/>
      <w:r>
        <w:rPr>
          <w:kern w:val="1"/>
          <w:sz w:val="24"/>
          <w:szCs w:val="24"/>
        </w:rPr>
        <w:t>十</w:t>
      </w:r>
      <w:r>
        <w:rPr>
          <w:rFonts w:hint="eastAsia"/>
          <w:kern w:val="1"/>
          <w:sz w:val="24"/>
          <w:szCs w:val="24"/>
        </w:rPr>
        <w:t>九</w:t>
      </w:r>
      <w:r>
        <w:rPr>
          <w:kern w:val="1"/>
          <w:sz w:val="24"/>
          <w:szCs w:val="24"/>
        </w:rPr>
        <w:t>大精神为指导，深入贯彻习近平总书记提出的“节水优先、空间均衡、系统治理、两手发力”的重要治水思路</w:t>
      </w:r>
      <w:r>
        <w:rPr>
          <w:rFonts w:hint="eastAsia"/>
          <w:sz w:val="24"/>
          <w:szCs w:val="24"/>
          <w:shd w:val="clear" w:color="auto" w:fill="FFFFFF"/>
        </w:rPr>
        <w:t>和生态文明思想</w:t>
      </w:r>
      <w:r>
        <w:rPr>
          <w:kern w:val="1"/>
          <w:sz w:val="24"/>
          <w:szCs w:val="24"/>
        </w:rPr>
        <w:t>，围绕</w:t>
      </w:r>
      <w:r>
        <w:rPr>
          <w:rFonts w:hint="eastAsia"/>
          <w:kern w:val="1"/>
          <w:sz w:val="24"/>
          <w:szCs w:val="24"/>
        </w:rPr>
        <w:t>六安</w:t>
      </w:r>
      <w:r>
        <w:rPr>
          <w:kern w:val="1"/>
          <w:sz w:val="24"/>
          <w:szCs w:val="24"/>
        </w:rPr>
        <w:t>市国民经济和社会发展总体布局，以水资源可持续利用，保障经济社会可持续发展，作为编制规划的主线。统筹水资源的开发、利用、治理、配置、节约和保护，按照建设资源节约型、环境友好型社会总体要求，以确保城乡居民生活用水安全、全面系统治理、改善和保护水生态环境为目标，建设节水型社会，提高各行业用水水平，落实最严格的水资源管理制度，保障饮水安全、供水安全和生态安全，促进人口、资源、环境和经济协调发展。</w:t>
      </w:r>
    </w:p>
    <w:p>
      <w:pPr>
        <w:pStyle w:val="4"/>
        <w:spacing w:before="156" w:beforeLines="50" w:after="156" w:afterLines="50" w:line="360" w:lineRule="auto"/>
        <w:rPr>
          <w:sz w:val="28"/>
        </w:rPr>
      </w:pPr>
      <w:bookmarkStart w:id="98" w:name="_Toc95382449"/>
      <w:r>
        <w:rPr>
          <w:rFonts w:hint="eastAsia"/>
          <w:sz w:val="28"/>
        </w:rPr>
        <w:t>二、</w:t>
      </w:r>
      <w:r>
        <w:rPr>
          <w:sz w:val="28"/>
        </w:rPr>
        <w:t>基本原则</w:t>
      </w:r>
      <w:bookmarkEnd w:id="98"/>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1、人民至上、人水和谐</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优先保障城乡居民的基本用水权益，确保饮水安全，保障生产用水，</w:t>
      </w:r>
      <w:r>
        <w:rPr>
          <w:rFonts w:hint="eastAsia"/>
          <w:kern w:val="1"/>
          <w:sz w:val="24"/>
          <w:szCs w:val="24"/>
        </w:rPr>
        <w:t>注重水环境、水生态保护，</w:t>
      </w:r>
      <w:r>
        <w:rPr>
          <w:kern w:val="1"/>
          <w:sz w:val="24"/>
          <w:szCs w:val="24"/>
        </w:rPr>
        <w:t>改善人居环境</w:t>
      </w:r>
      <w:r>
        <w:rPr>
          <w:rFonts w:hint="eastAsia"/>
          <w:kern w:val="1"/>
          <w:sz w:val="24"/>
          <w:szCs w:val="24"/>
        </w:rPr>
        <w:t>，满足人民对美好环境的需求</w:t>
      </w:r>
      <w:r>
        <w:rPr>
          <w:kern w:val="1"/>
          <w:sz w:val="24"/>
          <w:szCs w:val="24"/>
        </w:rPr>
        <w:t>。</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2、全面规划、统筹发展</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坚持全面规划、统筹兼顾，要与流域、区域涉水规划、城市总体规划相协调和衔接，统筹考虑防洪除涝、水资源调配、水资源保护的综合治水目标，城市水利与农村水利协调推进，工程性措施与非工程性措施有机结合。统筹协调水资源开发利用与节约保护，统筹调配地表水与地下水、当地水与外调水、常规水源与非常规水源等多种水源，综合平衡区域、行业之间对水资源和生态环境保护的要求，合理安排生活、生产和生态用水。</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3、高效利用、有效保护</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积极</w:t>
      </w:r>
      <w:r>
        <w:rPr>
          <w:rFonts w:hint="eastAsia"/>
          <w:kern w:val="1"/>
          <w:sz w:val="24"/>
          <w:szCs w:val="24"/>
        </w:rPr>
        <w:t>持续</w:t>
      </w:r>
      <w:r>
        <w:rPr>
          <w:kern w:val="1"/>
          <w:sz w:val="24"/>
          <w:szCs w:val="24"/>
        </w:rPr>
        <w:t>推进节水型社会建设，推进增长方式转变，抑制需水过快增长，转变用水方式、提高用水效率。提高污水处理回用水平，以节水促减污，以限排促节水，使区域水资源得到合理开发、高效利用和有效保护。</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4、优水优用、节水优先</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结合经济社会发展和生产力布局，在优先保障居民生活用水，保障基本生态用水的前提下，合理布局工业、农业用水水源，通过水源置换，使优质水源用于居民生活用水，逐步实现分质供水。挖掘节水潜力，明晰节水方向，明确不同规划阶段的节水控制指标，建立与之相适应的节水政策制度，形成切实可行的节水方案，构建节水型社会。</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5、创新</w:t>
      </w:r>
      <w:r>
        <w:rPr>
          <w:rFonts w:hint="eastAsia"/>
          <w:kern w:val="1"/>
          <w:sz w:val="24"/>
          <w:szCs w:val="24"/>
        </w:rPr>
        <w:t>监管</w:t>
      </w:r>
      <w:r>
        <w:rPr>
          <w:kern w:val="1"/>
          <w:sz w:val="24"/>
          <w:szCs w:val="24"/>
        </w:rPr>
        <w:t>、健全法制</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运用国内外先进的治水理念和经验，</w:t>
      </w:r>
      <w:r>
        <w:rPr>
          <w:rFonts w:hint="eastAsia"/>
          <w:kern w:val="1"/>
          <w:sz w:val="24"/>
          <w:szCs w:val="24"/>
        </w:rPr>
        <w:t>创新</w:t>
      </w:r>
      <w:r>
        <w:rPr>
          <w:kern w:val="1"/>
          <w:sz w:val="24"/>
          <w:szCs w:val="24"/>
        </w:rPr>
        <w:t>水资源管理</w:t>
      </w:r>
      <w:r>
        <w:rPr>
          <w:rFonts w:hint="eastAsia"/>
          <w:kern w:val="1"/>
          <w:sz w:val="24"/>
          <w:szCs w:val="24"/>
        </w:rPr>
        <w:t>与监督机制体</w:t>
      </w:r>
      <w:r>
        <w:rPr>
          <w:kern w:val="1"/>
          <w:sz w:val="24"/>
          <w:szCs w:val="24"/>
        </w:rPr>
        <w:t>制，</w:t>
      </w:r>
      <w:r>
        <w:rPr>
          <w:rFonts w:hint="eastAsia"/>
          <w:kern w:val="1"/>
          <w:sz w:val="24"/>
          <w:szCs w:val="24"/>
        </w:rPr>
        <w:t>全面深入</w:t>
      </w:r>
      <w:r>
        <w:rPr>
          <w:kern w:val="1"/>
          <w:sz w:val="24"/>
          <w:szCs w:val="24"/>
        </w:rPr>
        <w:t>实行最严格的水资源管理制度，加强城乡水资源统一管理。建立健全法制、改革体制和完善机制，进一步强化需水管理、规范用水行为，实现水资源的有序开发、有限开发、有偿开发和可持续利用。</w:t>
      </w:r>
    </w:p>
    <w:p>
      <w:pPr>
        <w:keepNext/>
        <w:keepLines/>
        <w:adjustRightInd w:val="0"/>
        <w:snapToGrid w:val="0"/>
        <w:spacing w:before="156" w:beforeLines="50" w:after="312" w:afterLines="100" w:line="360" w:lineRule="auto"/>
        <w:jc w:val="center"/>
        <w:outlineLvl w:val="1"/>
        <w:rPr>
          <w:b/>
          <w:bCs/>
          <w:sz w:val="32"/>
          <w:szCs w:val="32"/>
        </w:rPr>
      </w:pPr>
      <w:bookmarkStart w:id="99" w:name="_Toc288639778"/>
      <w:bookmarkStart w:id="100" w:name="_Toc31369"/>
      <w:bookmarkStart w:id="101" w:name="_Toc4363"/>
      <w:bookmarkStart w:id="102" w:name="_Toc763"/>
      <w:bookmarkStart w:id="103" w:name="_Toc95382450"/>
      <w:bookmarkStart w:id="104" w:name="_Toc27647"/>
      <w:bookmarkStart w:id="105" w:name="_Toc324432020"/>
      <w:bookmarkStart w:id="106" w:name="_Toc18439"/>
      <w:bookmarkStart w:id="107" w:name="_Toc382472184"/>
      <w:bookmarkStart w:id="108" w:name="_Toc3468"/>
      <w:bookmarkStart w:id="109" w:name="_Toc20660"/>
      <w:r>
        <w:rPr>
          <w:b/>
          <w:bCs/>
          <w:sz w:val="32"/>
          <w:szCs w:val="32"/>
        </w:rPr>
        <w:t>第</w:t>
      </w:r>
      <w:r>
        <w:rPr>
          <w:rFonts w:hint="eastAsia"/>
          <w:b/>
          <w:bCs/>
          <w:sz w:val="32"/>
          <w:szCs w:val="32"/>
        </w:rPr>
        <w:t>二</w:t>
      </w:r>
      <w:r>
        <w:rPr>
          <w:b/>
          <w:bCs/>
          <w:sz w:val="32"/>
          <w:szCs w:val="32"/>
        </w:rPr>
        <w:t>节 规划目标</w:t>
      </w:r>
      <w:bookmarkEnd w:id="99"/>
      <w:bookmarkEnd w:id="100"/>
      <w:bookmarkEnd w:id="101"/>
      <w:bookmarkEnd w:id="102"/>
      <w:bookmarkEnd w:id="103"/>
      <w:bookmarkEnd w:id="104"/>
      <w:bookmarkEnd w:id="105"/>
      <w:bookmarkEnd w:id="106"/>
      <w:bookmarkEnd w:id="107"/>
      <w:bookmarkEnd w:id="108"/>
      <w:bookmarkEnd w:id="109"/>
    </w:p>
    <w:p>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总体目标：</w:t>
      </w:r>
      <w:r>
        <w:rPr>
          <w:kern w:val="1"/>
          <w:sz w:val="24"/>
          <w:szCs w:val="24"/>
        </w:rPr>
        <w:t>根据六安市水资源条件和经济社会发展对水资源、水环境安全保障的需求，以解决重点流域、重要区域和重大领域水资源不足和改善重要河湖水生态环境等问题为核心，通过水资源的全面节约、有效保护、优化配置、合理开发、高效利用和科学管理等综合措施，提高水资源安全保障程度。构建水资源总量控制、定额管理、纳污总量控制为核心的水资源管理体系配置和保护的工程体系，建立合理的水价调控体系，努力满足合理用水需求，促进重点</w:t>
      </w:r>
      <w:r>
        <w:rPr>
          <w:rFonts w:hint="eastAsia"/>
          <w:kern w:val="1"/>
          <w:sz w:val="24"/>
          <w:szCs w:val="24"/>
        </w:rPr>
        <w:t>水域</w:t>
      </w:r>
      <w:r>
        <w:rPr>
          <w:kern w:val="1"/>
          <w:sz w:val="24"/>
          <w:szCs w:val="24"/>
        </w:rPr>
        <w:t>水质达标，水生态系统良性循环，全市人口、资源、环境和经济协调发展。</w:t>
      </w:r>
    </w:p>
    <w:p>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总量控制目标：</w:t>
      </w:r>
      <w:r>
        <w:rPr>
          <w:kern w:val="1"/>
          <w:sz w:val="24"/>
          <w:szCs w:val="24"/>
        </w:rPr>
        <w:t>严格实行用水总量控制，遏制不合理用水过快增长。202</w:t>
      </w:r>
      <w:r>
        <w:rPr>
          <w:rFonts w:hint="eastAsia"/>
          <w:kern w:val="1"/>
          <w:sz w:val="24"/>
          <w:szCs w:val="24"/>
        </w:rPr>
        <w:t>5</w:t>
      </w:r>
      <w:r>
        <w:rPr>
          <w:kern w:val="1"/>
          <w:sz w:val="24"/>
          <w:szCs w:val="24"/>
        </w:rPr>
        <w:t>年多年平均用水总量控制在25.23亿m</w:t>
      </w:r>
      <w:r>
        <w:rPr>
          <w:kern w:val="1"/>
          <w:sz w:val="24"/>
          <w:szCs w:val="24"/>
          <w:vertAlign w:val="superscript"/>
        </w:rPr>
        <w:t>3</w:t>
      </w:r>
      <w:r>
        <w:rPr>
          <w:kern w:val="1"/>
          <w:sz w:val="24"/>
          <w:szCs w:val="24"/>
        </w:rPr>
        <w:t>，2030年多年平均用水总量控制在25.5亿m³</w:t>
      </w:r>
      <w:r>
        <w:rPr>
          <w:rFonts w:hint="eastAsia"/>
          <w:kern w:val="1"/>
          <w:sz w:val="24"/>
          <w:szCs w:val="24"/>
        </w:rPr>
        <w:t>左右</w:t>
      </w:r>
      <w:r>
        <w:rPr>
          <w:kern w:val="1"/>
          <w:sz w:val="24"/>
          <w:szCs w:val="24"/>
        </w:rPr>
        <w:t>。</w:t>
      </w:r>
    </w:p>
    <w:p>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节约用水目标：</w:t>
      </w:r>
      <w:r>
        <w:rPr>
          <w:rFonts w:hint="eastAsia"/>
          <w:kern w:val="1"/>
          <w:sz w:val="24"/>
          <w:szCs w:val="24"/>
        </w:rPr>
        <w:t>继续</w:t>
      </w:r>
      <w:r>
        <w:rPr>
          <w:kern w:val="1"/>
          <w:sz w:val="24"/>
          <w:szCs w:val="24"/>
        </w:rPr>
        <w:t>全面加强节水型社会建设，着力提高水资源利用效率和效益。至202</w:t>
      </w:r>
      <w:r>
        <w:rPr>
          <w:rFonts w:hint="eastAsia"/>
          <w:kern w:val="1"/>
          <w:sz w:val="24"/>
          <w:szCs w:val="24"/>
        </w:rPr>
        <w:t>5</w:t>
      </w:r>
      <w:r>
        <w:rPr>
          <w:kern w:val="1"/>
          <w:sz w:val="24"/>
          <w:szCs w:val="24"/>
        </w:rPr>
        <w:t>年，万元GDP用水量</w:t>
      </w:r>
      <w:r>
        <w:rPr>
          <w:rFonts w:hint="eastAsia"/>
          <w:kern w:val="1"/>
          <w:sz w:val="24"/>
          <w:szCs w:val="24"/>
        </w:rPr>
        <w:t>比2</w:t>
      </w:r>
      <w:r>
        <w:rPr>
          <w:kern w:val="1"/>
          <w:sz w:val="24"/>
          <w:szCs w:val="24"/>
        </w:rPr>
        <w:t>020</w:t>
      </w:r>
      <w:r>
        <w:rPr>
          <w:rFonts w:hint="eastAsia"/>
          <w:kern w:val="1"/>
          <w:sz w:val="24"/>
          <w:szCs w:val="24"/>
        </w:rPr>
        <w:t>年下降</w:t>
      </w:r>
      <w:r>
        <w:rPr>
          <w:kern w:val="1"/>
          <w:sz w:val="24"/>
          <w:szCs w:val="24"/>
        </w:rPr>
        <w:t>20</w:t>
      </w:r>
      <w:r>
        <w:rPr>
          <w:rFonts w:hint="eastAsia"/>
          <w:kern w:val="1"/>
          <w:sz w:val="24"/>
          <w:szCs w:val="24"/>
        </w:rPr>
        <w:t>%</w:t>
      </w:r>
      <w:r>
        <w:rPr>
          <w:kern w:val="1"/>
          <w:sz w:val="24"/>
          <w:szCs w:val="24"/>
        </w:rPr>
        <w:t>，万元工业增加值用水量</w:t>
      </w:r>
      <w:r>
        <w:rPr>
          <w:rFonts w:hint="eastAsia"/>
          <w:kern w:val="1"/>
          <w:sz w:val="24"/>
          <w:szCs w:val="24"/>
        </w:rPr>
        <w:t>比2</w:t>
      </w:r>
      <w:r>
        <w:rPr>
          <w:kern w:val="1"/>
          <w:sz w:val="24"/>
          <w:szCs w:val="24"/>
        </w:rPr>
        <w:t>020</w:t>
      </w:r>
      <w:r>
        <w:rPr>
          <w:rFonts w:hint="eastAsia"/>
          <w:kern w:val="1"/>
          <w:sz w:val="24"/>
          <w:szCs w:val="24"/>
        </w:rPr>
        <w:t>年下降</w:t>
      </w:r>
      <w:r>
        <w:rPr>
          <w:kern w:val="1"/>
          <w:sz w:val="24"/>
          <w:szCs w:val="24"/>
        </w:rPr>
        <w:t>18%，灌溉水有效利用系数提高至0.55。至2030年，万元GDP用水量</w:t>
      </w:r>
      <w:r>
        <w:rPr>
          <w:rFonts w:hint="eastAsia"/>
          <w:kern w:val="1"/>
          <w:sz w:val="24"/>
          <w:szCs w:val="24"/>
        </w:rPr>
        <w:t>和</w:t>
      </w:r>
      <w:r>
        <w:rPr>
          <w:kern w:val="1"/>
          <w:sz w:val="24"/>
          <w:szCs w:val="24"/>
        </w:rPr>
        <w:t>万元工业增加值用水量</w:t>
      </w:r>
      <w:r>
        <w:rPr>
          <w:rFonts w:hint="eastAsia"/>
          <w:kern w:val="1"/>
          <w:sz w:val="24"/>
          <w:szCs w:val="24"/>
        </w:rPr>
        <w:t>进一步降低</w:t>
      </w:r>
      <w:r>
        <w:rPr>
          <w:kern w:val="1"/>
          <w:sz w:val="24"/>
          <w:szCs w:val="24"/>
        </w:rPr>
        <w:t>，灌溉水有效利用系数</w:t>
      </w:r>
      <w:r>
        <w:rPr>
          <w:rFonts w:hint="eastAsia"/>
          <w:kern w:val="1"/>
          <w:sz w:val="24"/>
          <w:szCs w:val="24"/>
        </w:rPr>
        <w:t>进一步提高</w:t>
      </w:r>
      <w:r>
        <w:rPr>
          <w:kern w:val="1"/>
          <w:sz w:val="24"/>
          <w:szCs w:val="24"/>
        </w:rPr>
        <w:t>。</w:t>
      </w:r>
    </w:p>
    <w:p>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水资源保护目标：</w:t>
      </w:r>
      <w:r>
        <w:rPr>
          <w:rFonts w:hint="eastAsia"/>
          <w:kern w:val="1"/>
          <w:sz w:val="24"/>
          <w:szCs w:val="24"/>
        </w:rPr>
        <w:t>全面加强</w:t>
      </w:r>
      <w:r>
        <w:rPr>
          <w:kern w:val="1"/>
          <w:sz w:val="24"/>
          <w:szCs w:val="24"/>
        </w:rPr>
        <w:t>河湖水环境</w:t>
      </w:r>
      <w:r>
        <w:rPr>
          <w:rFonts w:hint="eastAsia"/>
          <w:kern w:val="1"/>
          <w:sz w:val="24"/>
          <w:szCs w:val="24"/>
        </w:rPr>
        <w:t>的</w:t>
      </w:r>
      <w:r>
        <w:rPr>
          <w:kern w:val="1"/>
          <w:sz w:val="24"/>
          <w:szCs w:val="24"/>
        </w:rPr>
        <w:t>有效保护，</w:t>
      </w:r>
      <w:r>
        <w:rPr>
          <w:rFonts w:hint="eastAsia"/>
          <w:kern w:val="1"/>
          <w:sz w:val="24"/>
          <w:szCs w:val="24"/>
        </w:rPr>
        <w:t>水体</w:t>
      </w:r>
      <w:r>
        <w:rPr>
          <w:kern w:val="1"/>
          <w:sz w:val="24"/>
          <w:szCs w:val="24"/>
        </w:rPr>
        <w:t>水质目标逐步实现。至202</w:t>
      </w:r>
      <w:r>
        <w:rPr>
          <w:rFonts w:hint="eastAsia"/>
          <w:kern w:val="1"/>
          <w:sz w:val="24"/>
          <w:szCs w:val="24"/>
        </w:rPr>
        <w:t>5</w:t>
      </w:r>
      <w:r>
        <w:rPr>
          <w:kern w:val="1"/>
          <w:sz w:val="24"/>
          <w:szCs w:val="24"/>
        </w:rPr>
        <w:t>年，进入河流、湖泊等水域的污染负荷得到有效遏制，市内主要河流水质</w:t>
      </w:r>
      <w:r>
        <w:rPr>
          <w:rFonts w:hint="eastAsia"/>
          <w:kern w:val="1"/>
          <w:sz w:val="24"/>
          <w:szCs w:val="24"/>
        </w:rPr>
        <w:t>明显</w:t>
      </w:r>
      <w:r>
        <w:rPr>
          <w:kern w:val="1"/>
          <w:sz w:val="24"/>
          <w:szCs w:val="24"/>
        </w:rPr>
        <w:t>改善；至2030年，污染物入河量控制在承纳水域的环境容量范围内，大型水库等重要饮用水源地的水质稳定在Ⅱ类</w:t>
      </w:r>
      <w:r>
        <w:rPr>
          <w:rFonts w:hint="eastAsia"/>
          <w:kern w:val="1"/>
          <w:sz w:val="24"/>
          <w:szCs w:val="24"/>
        </w:rPr>
        <w:t>以上</w:t>
      </w:r>
      <w:r>
        <w:rPr>
          <w:kern w:val="1"/>
          <w:sz w:val="24"/>
          <w:szCs w:val="24"/>
        </w:rPr>
        <w:t>。</w:t>
      </w:r>
    </w:p>
    <w:p>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水生态修复目标：</w:t>
      </w:r>
      <w:r>
        <w:rPr>
          <w:rFonts w:hint="eastAsia"/>
          <w:kern w:val="1"/>
          <w:sz w:val="24"/>
          <w:szCs w:val="24"/>
        </w:rPr>
        <w:t>加强主要河流生态流量管控，</w:t>
      </w:r>
      <w:r>
        <w:rPr>
          <w:kern w:val="1"/>
          <w:sz w:val="24"/>
          <w:szCs w:val="24"/>
        </w:rPr>
        <w:t>建立河流、湖泊生态用水保障机制，逐步修复和保护河湖湿地及地下水的生态功能。至202</w:t>
      </w:r>
      <w:r>
        <w:rPr>
          <w:rFonts w:hint="eastAsia"/>
          <w:kern w:val="1"/>
          <w:sz w:val="24"/>
          <w:szCs w:val="24"/>
        </w:rPr>
        <w:t>5</w:t>
      </w:r>
      <w:r>
        <w:rPr>
          <w:kern w:val="1"/>
          <w:sz w:val="24"/>
          <w:szCs w:val="24"/>
        </w:rPr>
        <w:t>年，挤占河道生态用水的现象基本遏制，饮用水源地上游、重点湖泊入湖河道和重点城市河道的水生态环境得到初步修复。至2030年，河湖生态用水基本得到保障，主要水域的生态功能基本恢复，逐步实现水生态系统良性循环。</w:t>
      </w:r>
    </w:p>
    <w:p>
      <w:pPr>
        <w:suppressAutoHyphens/>
        <w:autoSpaceDE w:val="0"/>
        <w:autoSpaceDN w:val="0"/>
        <w:adjustRightInd w:val="0"/>
        <w:snapToGrid w:val="0"/>
        <w:spacing w:line="360" w:lineRule="auto"/>
        <w:ind w:firstLine="480" w:firstLineChars="200"/>
        <w:rPr>
          <w:kern w:val="1"/>
          <w:sz w:val="24"/>
          <w:szCs w:val="24"/>
        </w:rPr>
      </w:pPr>
      <w:r>
        <w:rPr>
          <w:b/>
          <w:bCs/>
          <w:kern w:val="1"/>
          <w:sz w:val="24"/>
          <w:szCs w:val="24"/>
        </w:rPr>
        <w:t>水资源管理</w:t>
      </w:r>
      <w:r>
        <w:rPr>
          <w:rFonts w:hint="eastAsia"/>
          <w:b/>
          <w:bCs/>
          <w:kern w:val="1"/>
          <w:sz w:val="24"/>
          <w:szCs w:val="24"/>
        </w:rPr>
        <w:t>与监督</w:t>
      </w:r>
      <w:r>
        <w:rPr>
          <w:b/>
          <w:bCs/>
          <w:kern w:val="1"/>
          <w:sz w:val="24"/>
          <w:szCs w:val="24"/>
        </w:rPr>
        <w:t>目标：</w:t>
      </w:r>
      <w:r>
        <w:rPr>
          <w:rFonts w:hint="eastAsia"/>
          <w:kern w:val="1"/>
          <w:sz w:val="24"/>
          <w:szCs w:val="24"/>
        </w:rPr>
        <w:t>全面深入</w:t>
      </w:r>
      <w:r>
        <w:rPr>
          <w:kern w:val="1"/>
          <w:sz w:val="24"/>
          <w:szCs w:val="24"/>
        </w:rPr>
        <w:t>实行最严格水资源管理制度，</w:t>
      </w:r>
      <w:r>
        <w:rPr>
          <w:rFonts w:hint="eastAsia"/>
          <w:kern w:val="1"/>
          <w:sz w:val="24"/>
          <w:szCs w:val="24"/>
        </w:rPr>
        <w:t>强化水资源管理、节约用水的监督管理，</w:t>
      </w:r>
      <w:r>
        <w:rPr>
          <w:kern w:val="1"/>
          <w:sz w:val="24"/>
          <w:szCs w:val="24"/>
        </w:rPr>
        <w:t>提高对水资源的监督管理能力，完善与水资源红线管理相适应的监控体系。</w:t>
      </w:r>
      <w:r>
        <w:rPr>
          <w:rFonts w:hint="eastAsia"/>
          <w:kern w:val="1"/>
          <w:sz w:val="24"/>
          <w:szCs w:val="24"/>
        </w:rPr>
        <w:t>完成</w:t>
      </w:r>
      <w:r>
        <w:rPr>
          <w:kern w:val="1"/>
          <w:sz w:val="24"/>
          <w:szCs w:val="24"/>
        </w:rPr>
        <w:t>主要河流、重点区域的水量分配方案，完善取水许可制度，强化水资源统一调度。完善用水定额管理制度，</w:t>
      </w:r>
      <w:r>
        <w:rPr>
          <w:rFonts w:hint="eastAsia"/>
          <w:kern w:val="1"/>
          <w:sz w:val="24"/>
          <w:szCs w:val="24"/>
        </w:rPr>
        <w:t>持续</w:t>
      </w:r>
      <w:r>
        <w:rPr>
          <w:kern w:val="1"/>
          <w:sz w:val="24"/>
          <w:szCs w:val="24"/>
        </w:rPr>
        <w:t>推进节水型社会建设。</w:t>
      </w:r>
    </w:p>
    <w:p>
      <w:pPr>
        <w:keepNext/>
        <w:keepLines/>
        <w:adjustRightInd w:val="0"/>
        <w:snapToGrid w:val="0"/>
        <w:spacing w:before="312" w:beforeLines="100" w:after="312" w:afterLines="100" w:line="360" w:lineRule="auto"/>
        <w:jc w:val="center"/>
        <w:outlineLvl w:val="1"/>
        <w:rPr>
          <w:b/>
          <w:bCs/>
          <w:sz w:val="32"/>
          <w:szCs w:val="32"/>
        </w:rPr>
      </w:pPr>
      <w:bookmarkStart w:id="110" w:name="_Toc11299"/>
      <w:bookmarkStart w:id="111" w:name="_Toc24094"/>
      <w:bookmarkStart w:id="112" w:name="_Toc324432023"/>
      <w:bookmarkStart w:id="113" w:name="_Toc288639781"/>
      <w:bookmarkStart w:id="114" w:name="_Toc25385"/>
      <w:bookmarkStart w:id="115" w:name="_Toc25831"/>
      <w:bookmarkStart w:id="116" w:name="_Toc6074"/>
      <w:bookmarkStart w:id="117" w:name="_Toc95382451"/>
      <w:bookmarkStart w:id="118" w:name="_Toc7500"/>
      <w:bookmarkStart w:id="119" w:name="_Toc9822"/>
      <w:bookmarkStart w:id="120" w:name="_Toc382472187"/>
      <w:r>
        <w:rPr>
          <w:b/>
          <w:bCs/>
          <w:sz w:val="32"/>
          <w:szCs w:val="32"/>
        </w:rPr>
        <w:t>第</w:t>
      </w:r>
      <w:r>
        <w:rPr>
          <w:rFonts w:hint="eastAsia"/>
          <w:b/>
          <w:bCs/>
          <w:sz w:val="32"/>
          <w:szCs w:val="32"/>
        </w:rPr>
        <w:t>三</w:t>
      </w:r>
      <w:r>
        <w:rPr>
          <w:b/>
          <w:bCs/>
          <w:sz w:val="32"/>
          <w:szCs w:val="32"/>
        </w:rPr>
        <w:t>节 主要任务</w:t>
      </w:r>
      <w:bookmarkEnd w:id="110"/>
      <w:bookmarkEnd w:id="111"/>
      <w:bookmarkEnd w:id="112"/>
      <w:bookmarkEnd w:id="113"/>
      <w:bookmarkEnd w:id="114"/>
      <w:bookmarkEnd w:id="115"/>
      <w:bookmarkEnd w:id="116"/>
      <w:bookmarkEnd w:id="117"/>
      <w:bookmarkEnd w:id="118"/>
      <w:bookmarkEnd w:id="119"/>
      <w:bookmarkEnd w:id="120"/>
    </w:p>
    <w:p>
      <w:pPr>
        <w:pStyle w:val="4"/>
        <w:spacing w:before="156" w:beforeLines="50" w:after="156" w:afterLines="50" w:line="360" w:lineRule="auto"/>
        <w:rPr>
          <w:sz w:val="28"/>
        </w:rPr>
      </w:pPr>
      <w:bookmarkStart w:id="121" w:name="_Toc183342124"/>
      <w:bookmarkStart w:id="122" w:name="_Toc288639782"/>
      <w:bookmarkStart w:id="123" w:name="_Toc324432024"/>
      <w:bookmarkStart w:id="124" w:name="_Toc95382452"/>
      <w:bookmarkStart w:id="125" w:name="_Toc382472188"/>
      <w:r>
        <w:rPr>
          <w:sz w:val="28"/>
        </w:rPr>
        <w:t>一、建立节水优先的科学用水模式</w:t>
      </w:r>
      <w:bookmarkEnd w:id="121"/>
      <w:bookmarkEnd w:id="122"/>
      <w:bookmarkEnd w:id="123"/>
      <w:bookmarkEnd w:id="124"/>
      <w:bookmarkEnd w:id="125"/>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转变经济增长方式和用水模式。按照强化节水的用水模式，转变经济增长方式和用水方式，促进产业结构的调整和城镇、工业布局的优化，降低经济社会发展对水资源的消耗，控制不合理的用水需求。通过实行最严格水资源管理，抑制用水总量过快增长，减少污染排放，保护水环境，修复水生态。</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提高供水效率和用水效益。严格用水定额管理，积极推广使用高效节水设施和高效节水技术，逐步建立设施齐备、配套完善、调控自如、用水高效的水资源高效利用的工程保障和技术保障体系，全面提高水资源的利用效率和效益，逐步达到国内同类地区较先进节水水平。</w:t>
      </w:r>
    </w:p>
    <w:p>
      <w:pPr>
        <w:pStyle w:val="4"/>
        <w:spacing w:before="156" w:beforeLines="50" w:after="156" w:afterLines="50" w:line="360" w:lineRule="auto"/>
        <w:rPr>
          <w:sz w:val="28"/>
        </w:rPr>
      </w:pPr>
      <w:bookmarkStart w:id="126" w:name="_Toc382472189"/>
      <w:bookmarkStart w:id="127" w:name="_Toc183342125"/>
      <w:bookmarkStart w:id="128" w:name="_Toc95382453"/>
      <w:bookmarkStart w:id="129" w:name="_Toc288639783"/>
      <w:bookmarkStart w:id="130" w:name="_Toc324432025"/>
      <w:r>
        <w:rPr>
          <w:sz w:val="28"/>
        </w:rPr>
        <w:t>二、</w:t>
      </w:r>
      <w:r>
        <w:rPr>
          <w:rFonts w:hint="eastAsia"/>
          <w:sz w:val="28"/>
        </w:rPr>
        <w:t>完善</w:t>
      </w:r>
      <w:r>
        <w:rPr>
          <w:sz w:val="28"/>
        </w:rPr>
        <w:t>水资源合理配置方案</w:t>
      </w:r>
      <w:bookmarkEnd w:id="126"/>
      <w:bookmarkEnd w:id="127"/>
      <w:bookmarkEnd w:id="128"/>
      <w:bookmarkEnd w:id="129"/>
      <w:bookmarkEnd w:id="130"/>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建立和完善全市水资源配置格局。根据六安市水资源条件和承载能力，</w:t>
      </w:r>
      <w:r>
        <w:rPr>
          <w:rFonts w:hint="eastAsia"/>
          <w:kern w:val="1"/>
          <w:sz w:val="24"/>
          <w:szCs w:val="24"/>
        </w:rPr>
        <w:t>结合六安市“十四五”水利规划，</w:t>
      </w:r>
      <w:r>
        <w:rPr>
          <w:kern w:val="1"/>
          <w:sz w:val="24"/>
          <w:szCs w:val="24"/>
        </w:rPr>
        <w:t>加强重要水源和跨流域、跨区域水资源配置工程建设，增加水资源时空调控能力，</w:t>
      </w:r>
      <w:r>
        <w:rPr>
          <w:rFonts w:hint="eastAsia"/>
          <w:kern w:val="1"/>
          <w:sz w:val="24"/>
          <w:szCs w:val="24"/>
        </w:rPr>
        <w:t>逐步解决</w:t>
      </w:r>
      <w:r>
        <w:rPr>
          <w:kern w:val="1"/>
          <w:sz w:val="24"/>
          <w:szCs w:val="24"/>
        </w:rPr>
        <w:t>水资源供需矛盾。合理调配水资源，形成新鲜水与再生水联合调配，蓄引提、大中小相结合的水资源供水网络。建立和完善流域和区域水资源配置格局，形成水源调度自如、安全保障程度高、抗御干旱能力强、生态环境友好的水资源工程体系。</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保障重点领域和区域供水安全。在节约用水的前提下，改造和扩建现有水源工程，科学规划和建设新的水源，挖掘供水潜力，提高供水能力，优先保障城乡饮水安全。在已有灌区大力加强节水配套改造、提高农业用水效率和效益的基础上，在水土资源较匹配的地区适度发展灌溉面积，为粮食安全提供水资源保障。在流域和区域水资源合理配置的基础上，保障重点区域、重点领域和重要城镇供水安全，</w:t>
      </w:r>
      <w:r>
        <w:rPr>
          <w:rFonts w:hint="eastAsia"/>
          <w:kern w:val="1"/>
          <w:sz w:val="24"/>
          <w:szCs w:val="24"/>
        </w:rPr>
        <w:t>解决</w:t>
      </w:r>
      <w:r>
        <w:rPr>
          <w:kern w:val="1"/>
          <w:sz w:val="24"/>
          <w:szCs w:val="24"/>
        </w:rPr>
        <w:t>水资源供需矛盾</w:t>
      </w:r>
      <w:r>
        <w:rPr>
          <w:rFonts w:hint="eastAsia"/>
          <w:kern w:val="1"/>
          <w:sz w:val="24"/>
          <w:szCs w:val="24"/>
        </w:rPr>
        <w:t>，改变</w:t>
      </w:r>
      <w:r>
        <w:rPr>
          <w:kern w:val="1"/>
          <w:sz w:val="24"/>
          <w:szCs w:val="24"/>
        </w:rPr>
        <w:t>突出地区的缺水状况。</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提高水资源应急调配能力。加强对饮用水源的涵养，规划和建设城市应急备用水源，推进城市和重要区域双水源或多水源建设，加强水源地之间与供水系统之间的联网和联合调配。制定和完善特枯水年、连续枯水年等供水分配方案和应急供水调度预案，建立健全从水源地到供水末端全过程的供水安全监测体系，提高特枯水年、连续枯水年以及突发事件的应对能力，保障经济社会正常秩序。</w:t>
      </w:r>
    </w:p>
    <w:p>
      <w:pPr>
        <w:pStyle w:val="4"/>
        <w:spacing w:before="156" w:beforeLines="50" w:after="156" w:afterLines="50" w:line="360" w:lineRule="auto"/>
        <w:rPr>
          <w:sz w:val="28"/>
        </w:rPr>
      </w:pPr>
      <w:bookmarkStart w:id="131" w:name="_Toc183342126"/>
      <w:bookmarkStart w:id="132" w:name="_Toc175673688"/>
      <w:bookmarkStart w:id="133" w:name="_Toc288639784"/>
      <w:bookmarkStart w:id="134" w:name="_Toc382472190"/>
      <w:bookmarkStart w:id="135" w:name="_Toc324432026"/>
      <w:bookmarkStart w:id="136" w:name="_Toc95382454"/>
      <w:r>
        <w:rPr>
          <w:sz w:val="28"/>
        </w:rPr>
        <w:t>三、加强水资源保护</w:t>
      </w:r>
      <w:bookmarkEnd w:id="131"/>
      <w:bookmarkEnd w:id="132"/>
      <w:r>
        <w:rPr>
          <w:rFonts w:hint="eastAsia"/>
          <w:sz w:val="28"/>
        </w:rPr>
        <w:t>、</w:t>
      </w:r>
      <w:r>
        <w:rPr>
          <w:sz w:val="28"/>
        </w:rPr>
        <w:t>水生态修复</w:t>
      </w:r>
      <w:bookmarkEnd w:id="133"/>
      <w:bookmarkEnd w:id="134"/>
      <w:bookmarkEnd w:id="135"/>
      <w:r>
        <w:rPr>
          <w:sz w:val="28"/>
        </w:rPr>
        <w:t>与管控</w:t>
      </w:r>
      <w:bookmarkEnd w:id="136"/>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加强污染源治理与控制。通过多部门协作，继续加大水污染治理力度，加强工业企业废污水治理，加快城镇污水管网和处理设施建设，提高污水处理程度和处理水平，减少废污水的排放量。加强对重要水源地和调水工程沿线水污染防治与水资源保护。加强农村环境综合整治，提供乡镇垃圾和畜禽养殖污染物的收集与处理率，科学施用化肥、农药，逐步减少非点源污染物入河量。</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强化重点</w:t>
      </w:r>
      <w:r>
        <w:rPr>
          <w:rFonts w:hint="eastAsia"/>
          <w:kern w:val="1"/>
          <w:sz w:val="24"/>
          <w:szCs w:val="24"/>
        </w:rPr>
        <w:t>区域水体水质</w:t>
      </w:r>
      <w:r>
        <w:rPr>
          <w:kern w:val="1"/>
          <w:sz w:val="24"/>
          <w:szCs w:val="24"/>
        </w:rPr>
        <w:t>监控。完善城乡饮用水源地水质监测和安全评价体系，逐步增加常规监测项目和开展有毒有机污染物定期监测，完善突发性饮用水安全事件的预警预报体系和应急预案。加强跨界断面、重点控制断面和重点排污口的水质监测设施和监测网络建设，全面提高水污染突发事件应急能力。</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开展河湖水生态保护与修复。根据流域内河流、湖泊的水文条件和生态保护需求，采用水系沟通、水量调配、生态补水等措施，基本保障河湖生态用水。通过调整产业结构和实施跨流域、跨区域调水等措施，逐步退还所挤占的生态环境用水，积极修复河湖生态环境。积极优化流域控制性工程调度运行模式，改善河湖枯水年和枯水季节的生态用水状况。</w:t>
      </w:r>
    </w:p>
    <w:p>
      <w:pPr>
        <w:pStyle w:val="4"/>
        <w:spacing w:before="156" w:beforeLines="50" w:after="156" w:afterLines="50" w:line="360" w:lineRule="auto"/>
        <w:rPr>
          <w:sz w:val="28"/>
        </w:rPr>
      </w:pPr>
      <w:bookmarkStart w:id="137" w:name="_Toc183342128"/>
      <w:bookmarkStart w:id="138" w:name="_Toc175673691"/>
      <w:bookmarkStart w:id="139" w:name="_Toc288639785"/>
      <w:bookmarkStart w:id="140" w:name="_Toc324432027"/>
      <w:bookmarkStart w:id="141" w:name="_Toc382472191"/>
      <w:bookmarkStart w:id="142" w:name="_Toc95382455"/>
      <w:r>
        <w:rPr>
          <w:sz w:val="28"/>
        </w:rPr>
        <w:t>四、推进水资源综合监督管理</w:t>
      </w:r>
      <w:bookmarkEnd w:id="137"/>
      <w:bookmarkEnd w:id="138"/>
      <w:bookmarkEnd w:id="139"/>
      <w:bookmarkEnd w:id="140"/>
      <w:bookmarkEnd w:id="141"/>
      <w:bookmarkEnd w:id="142"/>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资源管理体制。完善流域与区域相结合的水资源管理体制，建立健全市域水资源可持续利用协调机制，合理划分流域管理与区域管理的职责范围和事权，建立适应社会主义市场经济要求的集中统一、依法行政、具有权威的水资源管理体制，加强对水资源统一规划、统一调配和综合管理。</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建立水资源保护制度。制定重大水污染事件应急预案；合理划定城市饮用水水源地的保护范围，加强对饮用水水源地的保护和安全监督管理。</w:t>
      </w:r>
    </w:p>
    <w:p>
      <w:pPr>
        <w:suppressAutoHyphens/>
        <w:autoSpaceDE w:val="0"/>
        <w:autoSpaceDN w:val="0"/>
        <w:adjustRightInd w:val="0"/>
        <w:snapToGrid w:val="0"/>
        <w:spacing w:line="360" w:lineRule="auto"/>
        <w:ind w:firstLine="480" w:firstLineChars="200"/>
        <w:rPr>
          <w:kern w:val="1"/>
          <w:sz w:val="24"/>
          <w:szCs w:val="24"/>
        </w:rPr>
      </w:pPr>
      <w:r>
        <w:rPr>
          <w:kern w:val="1"/>
          <w:sz w:val="24"/>
          <w:szCs w:val="24"/>
        </w:rPr>
        <w:t>建立水生态保护制度。</w:t>
      </w:r>
      <w:r>
        <w:rPr>
          <w:rFonts w:hint="eastAsia"/>
          <w:kern w:val="1"/>
          <w:sz w:val="24"/>
          <w:szCs w:val="24"/>
        </w:rPr>
        <w:t>严格执行全市主要河流湖泊的生态流量（水位）保障实施方案。</w:t>
      </w:r>
      <w:r>
        <w:rPr>
          <w:kern w:val="1"/>
          <w:sz w:val="24"/>
          <w:szCs w:val="24"/>
        </w:rPr>
        <w:t>在水资源配置中，统筹协调人与自然用水，兼顾生活、生态、生产三者用水，建立生态用水保障机制和生态补偿机制，发挥水资源的多种功能，维护河湖健康。</w:t>
      </w:r>
    </w:p>
    <w:p>
      <w:pPr>
        <w:suppressAutoHyphens/>
        <w:autoSpaceDE w:val="0"/>
        <w:autoSpaceDN w:val="0"/>
        <w:adjustRightInd w:val="0"/>
        <w:snapToGrid w:val="0"/>
        <w:spacing w:line="360" w:lineRule="auto"/>
        <w:ind w:firstLine="560" w:firstLineChars="200"/>
        <w:rPr>
          <w:kern w:val="1"/>
          <w:sz w:val="28"/>
          <w:szCs w:val="28"/>
        </w:rPr>
      </w:pPr>
    </w:p>
    <w:p>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AndChars" w:linePitch="312" w:charSpace="0"/>
        </w:sectPr>
      </w:pPr>
      <w:bookmarkStart w:id="143" w:name="_Toc22299"/>
      <w:bookmarkStart w:id="144" w:name="_Toc21875"/>
      <w:bookmarkStart w:id="145" w:name="_Toc30135"/>
      <w:bookmarkStart w:id="146" w:name="_Toc11079"/>
      <w:bookmarkStart w:id="147" w:name="_Toc3651"/>
      <w:bookmarkStart w:id="148" w:name="_Toc2232"/>
      <w:bookmarkStart w:id="149" w:name="_Toc382472192"/>
      <w:bookmarkStart w:id="150" w:name="_Toc20614"/>
      <w:bookmarkStart w:id="151" w:name="_Toc324432028"/>
    </w:p>
    <w:p>
      <w:pPr>
        <w:keepNext/>
        <w:keepLines/>
        <w:adjustRightInd w:val="0"/>
        <w:snapToGrid w:val="0"/>
        <w:spacing w:before="312" w:beforeLines="100" w:after="156" w:afterLines="50" w:line="360" w:lineRule="auto"/>
        <w:jc w:val="center"/>
        <w:outlineLvl w:val="0"/>
        <w:rPr>
          <w:rFonts w:ascii="黑体" w:hAnsi="黑体" w:eastAsia="黑体" w:cs="黑体"/>
          <w:bCs/>
          <w:kern w:val="44"/>
          <w:sz w:val="36"/>
          <w:szCs w:val="36"/>
        </w:rPr>
      </w:pPr>
      <w:bookmarkStart w:id="152" w:name="_Toc95382456"/>
      <w:r>
        <w:rPr>
          <w:rFonts w:hint="eastAsia" w:ascii="黑体" w:hAnsi="黑体" w:eastAsia="黑体" w:cs="黑体"/>
          <w:bCs/>
          <w:kern w:val="44"/>
          <w:sz w:val="36"/>
          <w:szCs w:val="36"/>
        </w:rPr>
        <w:t>第三章 水资源及其开发利用现状评价</w:t>
      </w:r>
      <w:bookmarkEnd w:id="143"/>
      <w:bookmarkEnd w:id="144"/>
      <w:bookmarkEnd w:id="145"/>
      <w:bookmarkEnd w:id="146"/>
      <w:bookmarkEnd w:id="147"/>
      <w:bookmarkEnd w:id="148"/>
      <w:bookmarkEnd w:id="149"/>
      <w:bookmarkEnd w:id="150"/>
      <w:bookmarkEnd w:id="151"/>
      <w:bookmarkEnd w:id="152"/>
    </w:p>
    <w:p>
      <w:pPr>
        <w:keepNext/>
        <w:keepLines/>
        <w:adjustRightInd w:val="0"/>
        <w:snapToGrid w:val="0"/>
        <w:spacing w:before="312" w:beforeLines="100" w:after="312" w:afterLines="100" w:line="360" w:lineRule="auto"/>
        <w:jc w:val="center"/>
        <w:outlineLvl w:val="1"/>
        <w:rPr>
          <w:b/>
          <w:bCs/>
          <w:sz w:val="32"/>
          <w:szCs w:val="36"/>
        </w:rPr>
      </w:pPr>
      <w:bookmarkStart w:id="153" w:name="_Toc18030"/>
      <w:bookmarkStart w:id="154" w:name="_Toc484"/>
      <w:bookmarkStart w:id="155" w:name="_Toc28040"/>
      <w:bookmarkStart w:id="156" w:name="_Toc382472193"/>
      <w:bookmarkStart w:id="157" w:name="_Toc95382457"/>
      <w:bookmarkStart w:id="158" w:name="_Toc20549"/>
      <w:bookmarkStart w:id="159" w:name="_Toc8121"/>
      <w:bookmarkStart w:id="160" w:name="_Toc15701"/>
      <w:bookmarkStart w:id="161" w:name="_Toc27045"/>
      <w:bookmarkStart w:id="162" w:name="_Toc324432029"/>
      <w:r>
        <w:rPr>
          <w:b/>
          <w:bCs/>
          <w:sz w:val="32"/>
          <w:szCs w:val="36"/>
        </w:rPr>
        <w:t>第一节 水资源调查评价</w:t>
      </w:r>
      <w:bookmarkEnd w:id="153"/>
      <w:bookmarkEnd w:id="154"/>
      <w:bookmarkEnd w:id="155"/>
      <w:bookmarkEnd w:id="156"/>
      <w:bookmarkEnd w:id="157"/>
      <w:bookmarkEnd w:id="158"/>
      <w:bookmarkEnd w:id="159"/>
      <w:bookmarkEnd w:id="160"/>
      <w:bookmarkEnd w:id="161"/>
      <w:bookmarkEnd w:id="162"/>
    </w:p>
    <w:p>
      <w:pPr>
        <w:pStyle w:val="4"/>
        <w:spacing w:before="156" w:beforeLines="50" w:after="156" w:afterLines="50" w:line="360" w:lineRule="auto"/>
        <w:rPr>
          <w:sz w:val="28"/>
        </w:rPr>
      </w:pPr>
      <w:bookmarkStart w:id="163" w:name="_Hlk58490270"/>
      <w:bookmarkEnd w:id="163"/>
      <w:bookmarkStart w:id="164" w:name="_Toc382472194"/>
      <w:bookmarkStart w:id="165" w:name="_Toc324432030"/>
      <w:bookmarkStart w:id="166" w:name="_Toc95382458"/>
      <w:bookmarkStart w:id="167" w:name="_Toc432782522"/>
      <w:r>
        <w:rPr>
          <w:sz w:val="28"/>
        </w:rPr>
        <w:t>一、降水</w:t>
      </w:r>
      <w:bookmarkEnd w:id="164"/>
      <w:bookmarkEnd w:id="165"/>
      <w:bookmarkEnd w:id="166"/>
      <w:bookmarkEnd w:id="167"/>
    </w:p>
    <w:p>
      <w:pPr>
        <w:spacing w:line="360" w:lineRule="auto"/>
        <w:ind w:firstLine="480" w:firstLineChars="200"/>
        <w:rPr>
          <w:b/>
          <w:sz w:val="24"/>
        </w:rPr>
      </w:pPr>
      <w:r>
        <w:rPr>
          <w:b/>
          <w:sz w:val="24"/>
        </w:rPr>
        <w:t>（一）站点选择与资料的收集</w:t>
      </w:r>
    </w:p>
    <w:p>
      <w:pPr>
        <w:spacing w:line="360" w:lineRule="auto"/>
        <w:ind w:firstLine="480" w:firstLineChars="200"/>
        <w:rPr>
          <w:sz w:val="24"/>
        </w:rPr>
      </w:pPr>
      <w:r>
        <w:rPr>
          <w:sz w:val="24"/>
        </w:rPr>
        <w:t>本次修编评价采用安徽省第三次水资源调查评价成果，降水分析选择资料质量好，系列完整、面上分布均匀且能反映地形变化的雨量站作为评价分析的依据站，系列选用1956～2016年（61年）同步系列。</w:t>
      </w:r>
    </w:p>
    <w:p>
      <w:pPr>
        <w:spacing w:line="360" w:lineRule="auto"/>
        <w:ind w:firstLine="480" w:firstLineChars="200"/>
        <w:rPr>
          <w:sz w:val="24"/>
        </w:rPr>
      </w:pPr>
      <w:r>
        <w:rPr>
          <w:sz w:val="24"/>
        </w:rPr>
        <w:t>选用的雨量站布局应尽可能均匀，且资料质量、系列长度和站网密度满足降水量评价要求。在降水量空间变化梯度较大的区域，应尽可能加大选用雨量站的密度。上次水资源调查评价采用的雨量站一般应作为选用站。当符合条件的雨量站数量不足时，可选用观测资料系列长度较短的雨量站，对其资料系列进行插补延长处理，经合理性分析后确定采用值。</w:t>
      </w:r>
    </w:p>
    <w:p>
      <w:pPr>
        <w:spacing w:line="360" w:lineRule="auto"/>
        <w:ind w:firstLine="480" w:firstLineChars="200"/>
        <w:rPr>
          <w:sz w:val="24"/>
        </w:rPr>
      </w:pPr>
      <w:r>
        <w:rPr>
          <w:sz w:val="24"/>
        </w:rPr>
        <w:t>六安市共选用雨量站点57个，其中淮河流域43个，长江流域14个。</w:t>
      </w:r>
    </w:p>
    <w:p>
      <w:pPr>
        <w:spacing w:line="360" w:lineRule="auto"/>
        <w:ind w:firstLine="480" w:firstLineChars="200"/>
        <w:rPr>
          <w:b/>
          <w:sz w:val="24"/>
        </w:rPr>
      </w:pPr>
      <w:r>
        <w:rPr>
          <w:b/>
          <w:sz w:val="24"/>
        </w:rPr>
        <w:t>（二）降水年内与年际变化</w:t>
      </w:r>
    </w:p>
    <w:p>
      <w:pPr>
        <w:spacing w:line="360" w:lineRule="auto"/>
        <w:ind w:firstLine="480" w:firstLineChars="200"/>
        <w:rPr>
          <w:b/>
          <w:sz w:val="24"/>
        </w:rPr>
      </w:pPr>
      <w:r>
        <w:rPr>
          <w:b/>
          <w:sz w:val="24"/>
        </w:rPr>
        <w:t>1、降水年内分配</w:t>
      </w:r>
    </w:p>
    <w:p>
      <w:pPr>
        <w:spacing w:line="360" w:lineRule="auto"/>
        <w:ind w:firstLine="480" w:firstLineChars="200"/>
        <w:rPr>
          <w:sz w:val="24"/>
        </w:rPr>
      </w:pPr>
      <w:r>
        <w:rPr>
          <w:sz w:val="24"/>
        </w:rPr>
        <w:t>六安市1956～2016年多年平均降水量为1241.6mm，降水主要集中在5～8月，占年降水量的54.6%。年内各月降水量相差悬殊，以7月份降水量最多，占年降水量16.6%，年内最小降水月份出现在12月，占年降水量的2.6%。全市多年平均降水量年内分配情况见表3.1.1。</w:t>
      </w:r>
    </w:p>
    <w:p>
      <w:pPr>
        <w:spacing w:line="360" w:lineRule="auto"/>
        <w:ind w:firstLine="480" w:firstLineChars="200"/>
        <w:rPr>
          <w:sz w:val="24"/>
        </w:rPr>
      </w:pPr>
      <w:r>
        <w:rPr>
          <w:sz w:val="24"/>
        </w:rPr>
        <w:t>六安市降水的季节分配极不均匀，季节变化非常明显。多年平均各季节降水占全年降水量的比例：春季（3～5月）26.3%，夏季（6～8月）44.2%，秋季（9～11月）18.9%，冬季（12～2月）10.6%。六安市流域分区不同季节降水量分配见表3.1.2。</w:t>
      </w:r>
    </w:p>
    <w:p>
      <w:pPr>
        <w:spacing w:before="156" w:beforeLines="50" w:line="360" w:lineRule="auto"/>
        <w:ind w:firstLine="480" w:firstLineChars="200"/>
        <w:rPr>
          <w:b/>
          <w:sz w:val="24"/>
        </w:rPr>
      </w:pPr>
      <w:r>
        <w:rPr>
          <w:b/>
          <w:sz w:val="24"/>
        </w:rPr>
        <w:t>2、降水年际变化</w:t>
      </w:r>
    </w:p>
    <w:p>
      <w:pPr>
        <w:spacing w:line="360" w:lineRule="auto"/>
        <w:ind w:firstLine="480" w:firstLineChars="200"/>
        <w:rPr>
          <w:sz w:val="24"/>
        </w:rPr>
      </w:pPr>
      <w:r>
        <w:rPr>
          <w:sz w:val="24"/>
        </w:rPr>
        <w:t>同步期六安市年降水量的年际变化趋势明显，主要表现为最大与最小年降水量比值较大，年降水量变差系数比较大并且年际丰枯变化频繁。六安市各站最大与最小年降水量比值在2.2～5.0之间，平均2.8。最大与最小年降水深的极差六安市为854～1440mm，平均1199.9 mm，其中极差最大为淮河流域的白莲崖站1440.1mm，最小为淮河流域的河口集站854.6 mm。六安市部分代表站同步期最大最小年降水量及Cv表见表3.1.3，水资源分区最大最小年降水量及Cv表见表3.1.4。</w:t>
      </w:r>
    </w:p>
    <w:p>
      <w:pPr>
        <w:tabs>
          <w:tab w:val="left" w:pos="1485"/>
        </w:tabs>
        <w:spacing w:line="360" w:lineRule="auto"/>
        <w:jc w:val="center"/>
        <w:rPr>
          <w:sz w:val="24"/>
        </w:rPr>
      </w:pPr>
      <w:r>
        <w:rPr>
          <w:b/>
          <w:kern w:val="0"/>
          <w:sz w:val="24"/>
        </w:rPr>
        <w:t>表3.1.1  六安市多年平均降水量年内分配表</w:t>
      </w:r>
    </w:p>
    <w:tbl>
      <w:tblPr>
        <w:tblStyle w:val="36"/>
        <w:tblW w:w="8607" w:type="dxa"/>
        <w:tblInd w:w="0" w:type="dxa"/>
        <w:tblLayout w:type="fixed"/>
        <w:tblCellMar>
          <w:top w:w="0" w:type="dxa"/>
          <w:left w:w="108" w:type="dxa"/>
          <w:bottom w:w="0" w:type="dxa"/>
          <w:right w:w="108" w:type="dxa"/>
        </w:tblCellMar>
      </w:tblPr>
      <w:tblGrid>
        <w:gridCol w:w="496"/>
        <w:gridCol w:w="1055"/>
        <w:gridCol w:w="915"/>
        <w:gridCol w:w="495"/>
        <w:gridCol w:w="495"/>
        <w:gridCol w:w="915"/>
        <w:gridCol w:w="426"/>
        <w:gridCol w:w="495"/>
        <w:gridCol w:w="915"/>
        <w:gridCol w:w="495"/>
        <w:gridCol w:w="495"/>
        <w:gridCol w:w="915"/>
        <w:gridCol w:w="495"/>
      </w:tblGrid>
      <w:tr>
        <w:tblPrEx>
          <w:tblCellMar>
            <w:top w:w="0" w:type="dxa"/>
            <w:left w:w="108" w:type="dxa"/>
            <w:bottom w:w="0" w:type="dxa"/>
            <w:right w:w="108" w:type="dxa"/>
          </w:tblCellMar>
        </w:tblPrEx>
        <w:trPr>
          <w:trHeight w:val="340" w:hRule="atLeast"/>
        </w:trPr>
        <w:tc>
          <w:tcPr>
            <w:tcW w:w="49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10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多年均值(mm)</w:t>
            </w:r>
          </w:p>
        </w:tc>
        <w:tc>
          <w:tcPr>
            <w:tcW w:w="190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最大月</w:t>
            </w:r>
          </w:p>
        </w:tc>
        <w:tc>
          <w:tcPr>
            <w:tcW w:w="18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最小月</w:t>
            </w:r>
          </w:p>
        </w:tc>
        <w:tc>
          <w:tcPr>
            <w:tcW w:w="190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连续最大四个月雨量</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汛期5～9月</w:t>
            </w:r>
          </w:p>
        </w:tc>
      </w:tr>
      <w:tr>
        <w:tblPrEx>
          <w:tblCellMar>
            <w:top w:w="0" w:type="dxa"/>
            <w:left w:w="108" w:type="dxa"/>
            <w:bottom w:w="0" w:type="dxa"/>
            <w:right w:w="108" w:type="dxa"/>
          </w:tblCellMar>
        </w:tblPrEx>
        <w:trPr>
          <w:trHeight w:val="340" w:hRule="atLeast"/>
        </w:trPr>
        <w:tc>
          <w:tcPr>
            <w:tcW w:w="49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降水量(mm)</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月份</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降水量(mm)</w:t>
            </w:r>
          </w:p>
        </w:tc>
        <w:tc>
          <w:tcPr>
            <w:tcW w:w="4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w:t>
            </w:r>
          </w:p>
        </w:tc>
      </w:tr>
      <w:tr>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1232.4</w:t>
            </w:r>
          </w:p>
        </w:tc>
        <w:tc>
          <w:tcPr>
            <w:tcW w:w="91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210.1</w:t>
            </w:r>
          </w:p>
        </w:tc>
        <w:tc>
          <w:tcPr>
            <w:tcW w:w="4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17.0</w:t>
            </w:r>
          </w:p>
        </w:tc>
        <w:tc>
          <w:tcPr>
            <w:tcW w:w="4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7</w:t>
            </w:r>
          </w:p>
        </w:tc>
        <w:tc>
          <w:tcPr>
            <w:tcW w:w="91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30.5</w:t>
            </w: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2.5</w:t>
            </w:r>
          </w:p>
        </w:tc>
        <w:tc>
          <w:tcPr>
            <w:tcW w:w="4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w:t>
            </w:r>
          </w:p>
        </w:tc>
        <w:tc>
          <w:tcPr>
            <w:tcW w:w="91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680.6</w:t>
            </w:r>
          </w:p>
        </w:tc>
        <w:tc>
          <w:tcPr>
            <w:tcW w:w="4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55.2</w:t>
            </w:r>
          </w:p>
        </w:tc>
        <w:tc>
          <w:tcPr>
            <w:tcW w:w="4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5～8</w:t>
            </w:r>
          </w:p>
        </w:tc>
        <w:tc>
          <w:tcPr>
            <w:tcW w:w="91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781.0</w:t>
            </w:r>
          </w:p>
        </w:tc>
        <w:tc>
          <w:tcPr>
            <w:tcW w:w="4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63.4</w:t>
            </w:r>
          </w:p>
        </w:tc>
      </w:tr>
      <w:tr>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10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1278.3</w:t>
            </w:r>
          </w:p>
        </w:tc>
        <w:tc>
          <w:tcPr>
            <w:tcW w:w="91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189.1</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14.8</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w:t>
            </w:r>
          </w:p>
        </w:tc>
        <w:tc>
          <w:tcPr>
            <w:tcW w:w="91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37.9</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3.0</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12</w:t>
            </w:r>
          </w:p>
        </w:tc>
        <w:tc>
          <w:tcPr>
            <w:tcW w:w="91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666.6</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52.1</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5～8</w:t>
            </w:r>
          </w:p>
        </w:tc>
        <w:tc>
          <w:tcPr>
            <w:tcW w:w="91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775.9</w:t>
            </w:r>
          </w:p>
        </w:tc>
        <w:tc>
          <w:tcPr>
            <w:tcW w:w="4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60.7</w:t>
            </w:r>
          </w:p>
        </w:tc>
      </w:tr>
      <w:tr>
        <w:tblPrEx>
          <w:tblCellMar>
            <w:top w:w="0" w:type="dxa"/>
            <w:left w:w="108" w:type="dxa"/>
            <w:bottom w:w="0" w:type="dxa"/>
            <w:right w:w="108" w:type="dxa"/>
          </w:tblCellMar>
        </w:tblPrEx>
        <w:trPr>
          <w:trHeight w:val="340"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05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1241.6</w:t>
            </w:r>
          </w:p>
        </w:tc>
        <w:tc>
          <w:tcPr>
            <w:tcW w:w="91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205.9</w:t>
            </w:r>
          </w:p>
        </w:tc>
        <w:tc>
          <w:tcPr>
            <w:tcW w:w="4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16.6</w:t>
            </w:r>
          </w:p>
        </w:tc>
        <w:tc>
          <w:tcPr>
            <w:tcW w:w="4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7</w:t>
            </w:r>
          </w:p>
        </w:tc>
        <w:tc>
          <w:tcPr>
            <w:tcW w:w="91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32.0</w:t>
            </w:r>
          </w:p>
        </w:tc>
        <w:tc>
          <w:tcPr>
            <w:tcW w:w="426"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2.6</w:t>
            </w:r>
          </w:p>
        </w:tc>
        <w:tc>
          <w:tcPr>
            <w:tcW w:w="4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w:t>
            </w:r>
          </w:p>
        </w:tc>
        <w:tc>
          <w:tcPr>
            <w:tcW w:w="91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677.9</w:t>
            </w:r>
          </w:p>
        </w:tc>
        <w:tc>
          <w:tcPr>
            <w:tcW w:w="4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54.6</w:t>
            </w:r>
          </w:p>
        </w:tc>
        <w:tc>
          <w:tcPr>
            <w:tcW w:w="4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5～8</w:t>
            </w:r>
          </w:p>
        </w:tc>
        <w:tc>
          <w:tcPr>
            <w:tcW w:w="91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780.1</w:t>
            </w:r>
          </w:p>
        </w:tc>
        <w:tc>
          <w:tcPr>
            <w:tcW w:w="4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62.8</w:t>
            </w:r>
          </w:p>
        </w:tc>
      </w:tr>
    </w:tbl>
    <w:p>
      <w:pPr>
        <w:tabs>
          <w:tab w:val="left" w:pos="1485"/>
        </w:tabs>
        <w:spacing w:before="156" w:beforeLines="50" w:line="360" w:lineRule="auto"/>
        <w:jc w:val="center"/>
        <w:rPr>
          <w:sz w:val="24"/>
        </w:rPr>
      </w:pPr>
      <w:r>
        <w:rPr>
          <w:b/>
          <w:kern w:val="0"/>
          <w:sz w:val="24"/>
        </w:rPr>
        <w:t>表3.1.2  六安市流域分区不同季节降水量分配比例统计表</w:t>
      </w:r>
    </w:p>
    <w:tbl>
      <w:tblPr>
        <w:tblStyle w:val="36"/>
        <w:tblW w:w="8607" w:type="dxa"/>
        <w:tblInd w:w="0" w:type="dxa"/>
        <w:tblLayout w:type="fixed"/>
        <w:tblCellMar>
          <w:top w:w="0" w:type="dxa"/>
          <w:left w:w="108" w:type="dxa"/>
          <w:bottom w:w="0" w:type="dxa"/>
          <w:right w:w="108" w:type="dxa"/>
        </w:tblCellMar>
      </w:tblPr>
      <w:tblGrid>
        <w:gridCol w:w="546"/>
        <w:gridCol w:w="711"/>
        <w:gridCol w:w="1042"/>
        <w:gridCol w:w="794"/>
        <w:gridCol w:w="1043"/>
        <w:gridCol w:w="795"/>
        <w:gridCol w:w="1043"/>
        <w:gridCol w:w="795"/>
        <w:gridCol w:w="1043"/>
        <w:gridCol w:w="795"/>
      </w:tblGrid>
      <w:tr>
        <w:tblPrEx>
          <w:tblCellMar>
            <w:top w:w="0" w:type="dxa"/>
            <w:left w:w="108" w:type="dxa"/>
            <w:bottom w:w="0" w:type="dxa"/>
            <w:right w:w="108" w:type="dxa"/>
          </w:tblCellMar>
        </w:tblPrEx>
        <w:trPr>
          <w:trHeight w:val="340"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7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年雨量(mm)</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春季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夏季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秋季</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冬季</w:t>
            </w:r>
          </w:p>
        </w:tc>
      </w:tr>
      <w:tr>
        <w:tblPrEx>
          <w:tblCellMar>
            <w:top w:w="0" w:type="dxa"/>
            <w:left w:w="108" w:type="dxa"/>
            <w:bottom w:w="0" w:type="dxa"/>
            <w:right w:w="108" w:type="dxa"/>
          </w:tblCellMar>
        </w:tblPrEx>
        <w:trPr>
          <w:trHeight w:val="34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71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降水量(mm)</w:t>
            </w:r>
          </w:p>
        </w:tc>
        <w:tc>
          <w:tcPr>
            <w:tcW w:w="7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比例(%)</w:t>
            </w:r>
          </w:p>
        </w:tc>
        <w:tc>
          <w:tcPr>
            <w:tcW w:w="10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降水量(mm)</w:t>
            </w:r>
          </w:p>
        </w:tc>
        <w:tc>
          <w:tcPr>
            <w:tcW w:w="7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比例(%)</w:t>
            </w:r>
          </w:p>
        </w:tc>
      </w:tr>
      <w:tr>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1232.4</w:t>
            </w:r>
          </w:p>
        </w:tc>
        <w:tc>
          <w:tcPr>
            <w:tcW w:w="104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322.2</w:t>
            </w:r>
          </w:p>
        </w:tc>
        <w:tc>
          <w:tcPr>
            <w:tcW w:w="79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26.1</w:t>
            </w:r>
          </w:p>
        </w:tc>
        <w:tc>
          <w:tcPr>
            <w:tcW w:w="104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552.0</w:t>
            </w:r>
          </w:p>
        </w:tc>
        <w:tc>
          <w:tcPr>
            <w:tcW w:w="7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44.8</w:t>
            </w:r>
          </w:p>
        </w:tc>
        <w:tc>
          <w:tcPr>
            <w:tcW w:w="104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231.9</w:t>
            </w:r>
          </w:p>
        </w:tc>
        <w:tc>
          <w:tcPr>
            <w:tcW w:w="7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18.8</w:t>
            </w:r>
          </w:p>
        </w:tc>
        <w:tc>
          <w:tcPr>
            <w:tcW w:w="104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126.3</w:t>
            </w:r>
          </w:p>
        </w:tc>
        <w:tc>
          <w:tcPr>
            <w:tcW w:w="79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10.2</w:t>
            </w:r>
          </w:p>
        </w:tc>
      </w:tr>
      <w:tr>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711"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1278.3</w:t>
            </w:r>
          </w:p>
        </w:tc>
        <w:tc>
          <w:tcPr>
            <w:tcW w:w="104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345.9</w:t>
            </w:r>
          </w:p>
        </w:tc>
        <w:tc>
          <w:tcPr>
            <w:tcW w:w="79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27.1</w:t>
            </w:r>
          </w:p>
        </w:tc>
        <w:tc>
          <w:tcPr>
            <w:tcW w:w="10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533.1</w:t>
            </w:r>
          </w:p>
        </w:tc>
        <w:tc>
          <w:tcPr>
            <w:tcW w:w="7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41.7</w:t>
            </w:r>
          </w:p>
        </w:tc>
        <w:tc>
          <w:tcPr>
            <w:tcW w:w="10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247.9</w:t>
            </w:r>
          </w:p>
        </w:tc>
        <w:tc>
          <w:tcPr>
            <w:tcW w:w="7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19.4</w:t>
            </w:r>
          </w:p>
        </w:tc>
        <w:tc>
          <w:tcPr>
            <w:tcW w:w="10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151.3</w:t>
            </w:r>
          </w:p>
        </w:tc>
        <w:tc>
          <w:tcPr>
            <w:tcW w:w="7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11.8</w:t>
            </w:r>
          </w:p>
        </w:tc>
      </w:tr>
      <w:tr>
        <w:tblPrEx>
          <w:tblCellMar>
            <w:top w:w="0" w:type="dxa"/>
            <w:left w:w="108" w:type="dxa"/>
            <w:bottom w:w="0" w:type="dxa"/>
            <w:right w:w="108" w:type="dxa"/>
          </w:tblCellMar>
        </w:tblPrEx>
        <w:trPr>
          <w:trHeight w:val="34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711"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1241.6</w:t>
            </w:r>
          </w:p>
        </w:tc>
        <w:tc>
          <w:tcPr>
            <w:tcW w:w="104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326.9</w:t>
            </w:r>
          </w:p>
        </w:tc>
        <w:tc>
          <w:tcPr>
            <w:tcW w:w="79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26.3</w:t>
            </w:r>
          </w:p>
        </w:tc>
        <w:tc>
          <w:tcPr>
            <w:tcW w:w="10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548.3</w:t>
            </w:r>
          </w:p>
        </w:tc>
        <w:tc>
          <w:tcPr>
            <w:tcW w:w="7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44.2</w:t>
            </w:r>
          </w:p>
        </w:tc>
        <w:tc>
          <w:tcPr>
            <w:tcW w:w="10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235.1</w:t>
            </w:r>
          </w:p>
        </w:tc>
        <w:tc>
          <w:tcPr>
            <w:tcW w:w="7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18.9</w:t>
            </w:r>
          </w:p>
        </w:tc>
        <w:tc>
          <w:tcPr>
            <w:tcW w:w="10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131.4</w:t>
            </w:r>
          </w:p>
        </w:tc>
        <w:tc>
          <w:tcPr>
            <w:tcW w:w="79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10.6</w:t>
            </w:r>
          </w:p>
        </w:tc>
      </w:tr>
    </w:tbl>
    <w:p>
      <w:pPr>
        <w:tabs>
          <w:tab w:val="left" w:pos="1485"/>
        </w:tabs>
        <w:spacing w:before="156" w:beforeLines="50" w:line="360" w:lineRule="auto"/>
        <w:jc w:val="center"/>
        <w:rPr>
          <w:sz w:val="24"/>
        </w:rPr>
      </w:pPr>
      <w:r>
        <w:rPr>
          <w:b/>
          <w:bCs/>
          <w:kern w:val="0"/>
          <w:sz w:val="24"/>
        </w:rPr>
        <w:t>表3.1.3  六安市部分代表站同步期最大与最小年降水量及Cv表</w:t>
      </w:r>
    </w:p>
    <w:tbl>
      <w:tblPr>
        <w:tblStyle w:val="36"/>
        <w:tblW w:w="8607" w:type="dxa"/>
        <w:jc w:val="center"/>
        <w:tblLayout w:type="fixed"/>
        <w:tblCellMar>
          <w:top w:w="0" w:type="dxa"/>
          <w:left w:w="108" w:type="dxa"/>
          <w:bottom w:w="0" w:type="dxa"/>
          <w:right w:w="108" w:type="dxa"/>
        </w:tblCellMar>
      </w:tblPr>
      <w:tblGrid>
        <w:gridCol w:w="556"/>
        <w:gridCol w:w="931"/>
        <w:gridCol w:w="756"/>
        <w:gridCol w:w="584"/>
        <w:gridCol w:w="1310"/>
        <w:gridCol w:w="787"/>
        <w:gridCol w:w="1310"/>
        <w:gridCol w:w="787"/>
        <w:gridCol w:w="976"/>
        <w:gridCol w:w="610"/>
      </w:tblGrid>
      <w:tr>
        <w:tblPrEx>
          <w:tblCellMar>
            <w:top w:w="0" w:type="dxa"/>
            <w:left w:w="108" w:type="dxa"/>
            <w:bottom w:w="0" w:type="dxa"/>
            <w:right w:w="108" w:type="dxa"/>
          </w:tblCellMar>
        </w:tblPrEx>
        <w:trPr>
          <w:trHeight w:val="340" w:hRule="atLeast"/>
          <w:tblHeader/>
          <w:jc w:val="center"/>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9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站名</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平均值</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Cv</w:t>
            </w: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最大</w:t>
            </w:r>
          </w:p>
        </w:tc>
        <w:tc>
          <w:tcPr>
            <w:tcW w:w="209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最小</w:t>
            </w:r>
          </w:p>
        </w:tc>
        <w:tc>
          <w:tcPr>
            <w:tcW w:w="15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最大与最小</w:t>
            </w:r>
          </w:p>
        </w:tc>
      </w:tr>
      <w:tr>
        <w:tblPrEx>
          <w:tblCellMar>
            <w:top w:w="0" w:type="dxa"/>
            <w:left w:w="108" w:type="dxa"/>
            <w:bottom w:w="0" w:type="dxa"/>
            <w:right w:w="108" w:type="dxa"/>
          </w:tblCellMar>
        </w:tblPrEx>
        <w:trPr>
          <w:trHeight w:val="340" w:hRule="atLeast"/>
          <w:tblHeader/>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年降水量(mm)</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出现</w:t>
            </w:r>
          </w:p>
          <w:p>
            <w:pPr>
              <w:widowControl/>
              <w:spacing w:line="240" w:lineRule="exact"/>
              <w:jc w:val="center"/>
              <w:rPr>
                <w:kern w:val="0"/>
                <w:sz w:val="18"/>
                <w:szCs w:val="18"/>
              </w:rPr>
            </w:pPr>
            <w:r>
              <w:rPr>
                <w:kern w:val="0"/>
                <w:sz w:val="18"/>
                <w:szCs w:val="18"/>
              </w:rPr>
              <w:t>年份</w:t>
            </w:r>
          </w:p>
        </w:tc>
        <w:tc>
          <w:tcPr>
            <w:tcW w:w="13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年降水量(mm)</w:t>
            </w:r>
          </w:p>
        </w:tc>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出现</w:t>
            </w:r>
          </w:p>
          <w:p>
            <w:pPr>
              <w:widowControl/>
              <w:spacing w:line="240" w:lineRule="exact"/>
              <w:jc w:val="center"/>
              <w:rPr>
                <w:kern w:val="0"/>
                <w:sz w:val="18"/>
                <w:szCs w:val="18"/>
              </w:rPr>
            </w:pPr>
            <w:r>
              <w:rPr>
                <w:kern w:val="0"/>
                <w:sz w:val="18"/>
                <w:szCs w:val="18"/>
              </w:rPr>
              <w:t>年份</w:t>
            </w:r>
          </w:p>
        </w:tc>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差  值(mm)</w:t>
            </w:r>
          </w:p>
        </w:tc>
        <w:tc>
          <w:tcPr>
            <w:tcW w:w="6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比  值</w:t>
            </w:r>
          </w:p>
        </w:tc>
      </w:tr>
      <w:tr>
        <w:tblPrEx>
          <w:tblCellMar>
            <w:top w:w="0" w:type="dxa"/>
            <w:left w:w="108" w:type="dxa"/>
            <w:bottom w:w="0" w:type="dxa"/>
            <w:right w:w="108" w:type="dxa"/>
          </w:tblCellMar>
        </w:tblPrEx>
        <w:trPr>
          <w:trHeight w:val="340" w:hRule="atLeast"/>
          <w:tblHeader/>
          <w:jc w:val="center"/>
        </w:trPr>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7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40" w:hRule="atLeast"/>
          <w:jc w:val="center"/>
        </w:trPr>
        <w:tc>
          <w:tcPr>
            <w:tcW w:w="55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润河集</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915.0</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0.26</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1418.2</w:t>
            </w:r>
          </w:p>
        </w:tc>
        <w:tc>
          <w:tcPr>
            <w:tcW w:w="7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1956</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283.1</w:t>
            </w:r>
          </w:p>
        </w:tc>
        <w:tc>
          <w:tcPr>
            <w:tcW w:w="7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1966</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1135.1 </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5.0</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河口集</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995.6</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1435.6</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581</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1976</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854.6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2.5</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姚李</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1146.8</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1841.3</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649.5</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1191.8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2.8</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固镇</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996.9</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0.25</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1828.4</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497.9</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1330.5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3.7</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黄泥庄</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1392.0</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2073.3</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732.5</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1340.8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2.8</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金寨</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1264.1</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1875.3</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603.6</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1271.7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3.1</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梅山</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1408.8</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1893.9</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1987</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738.4</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1966</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1155.5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2.6</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红石咀</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1330.8</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1964.3</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2003</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689.2</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1966</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1275.1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2.9</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黄尾河</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1497.1</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2209.5</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955.8</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1976</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1253.7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2.3</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磨子潭</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1469.3</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0.17</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2151.3</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882</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1269.3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2.4</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白莲崖</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1386.7</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0.19</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2205.7</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765.6</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1440.1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2.9</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佛子岭</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1509.6</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0.18</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2094.4</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882.8</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1211.6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2.4</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汤店</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1373.6</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1981</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667.1</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1313.9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3.0</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响洪甸</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1428.2</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2074.6</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726.1</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1348.5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2.9</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横排头</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1230.4</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0.21</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1849.1</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713.8</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1135.3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2.6</w:t>
            </w:r>
          </w:p>
        </w:tc>
      </w:tr>
      <w:tr>
        <w:tblPrEx>
          <w:tblCellMar>
            <w:top w:w="0" w:type="dxa"/>
            <w:left w:w="108" w:type="dxa"/>
            <w:bottom w:w="0" w:type="dxa"/>
            <w:right w:w="108" w:type="dxa"/>
          </w:tblCellMar>
        </w:tblPrEx>
        <w:trPr>
          <w:trHeight w:val="340" w:hRule="atLeast"/>
          <w:jc w:val="center"/>
        </w:trPr>
        <w:tc>
          <w:tcPr>
            <w:tcW w:w="5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望城岗</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1107.3</w:t>
            </w:r>
          </w:p>
        </w:tc>
        <w:tc>
          <w:tcPr>
            <w:tcW w:w="58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0.22</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1833.1</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2016</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609.2</w:t>
            </w:r>
          </w:p>
        </w:tc>
        <w:tc>
          <w:tcPr>
            <w:tcW w:w="7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1223.9 </w:t>
            </w:r>
          </w:p>
        </w:tc>
        <w:tc>
          <w:tcPr>
            <w:tcW w:w="61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3.0</w:t>
            </w:r>
          </w:p>
        </w:tc>
      </w:tr>
    </w:tbl>
    <w:p>
      <w:pPr>
        <w:tabs>
          <w:tab w:val="left" w:pos="1485"/>
        </w:tabs>
        <w:spacing w:before="156" w:beforeLines="50" w:line="360" w:lineRule="auto"/>
        <w:jc w:val="center"/>
        <w:rPr>
          <w:sz w:val="24"/>
        </w:rPr>
      </w:pPr>
      <w:r>
        <w:rPr>
          <w:b/>
          <w:bCs/>
          <w:kern w:val="0"/>
          <w:sz w:val="24"/>
        </w:rPr>
        <w:t>续表3.1.3  六安市部分代表站同步期最大与最小年降水量及Cv表</w:t>
      </w:r>
    </w:p>
    <w:tbl>
      <w:tblPr>
        <w:tblStyle w:val="3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07"/>
        <w:gridCol w:w="756"/>
        <w:gridCol w:w="587"/>
        <w:gridCol w:w="1313"/>
        <w:gridCol w:w="790"/>
        <w:gridCol w:w="1313"/>
        <w:gridCol w:w="790"/>
        <w:gridCol w:w="979"/>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shd w:val="clear" w:color="auto" w:fill="auto"/>
            <w:vAlign w:val="center"/>
          </w:tcPr>
          <w:p>
            <w:pPr>
              <w:widowControl/>
              <w:spacing w:line="240" w:lineRule="exact"/>
              <w:jc w:val="center"/>
              <w:rPr>
                <w:kern w:val="0"/>
                <w:sz w:val="18"/>
                <w:szCs w:val="18"/>
              </w:rPr>
            </w:pPr>
            <w:r>
              <w:rPr>
                <w:kern w:val="0"/>
                <w:sz w:val="18"/>
                <w:szCs w:val="18"/>
              </w:rPr>
              <w:t>流域</w:t>
            </w:r>
          </w:p>
        </w:tc>
        <w:tc>
          <w:tcPr>
            <w:tcW w:w="907" w:type="dxa"/>
            <w:vMerge w:val="restart"/>
            <w:shd w:val="clear" w:color="auto" w:fill="auto"/>
            <w:vAlign w:val="center"/>
          </w:tcPr>
          <w:p>
            <w:pPr>
              <w:widowControl/>
              <w:spacing w:line="240" w:lineRule="exact"/>
              <w:jc w:val="center"/>
              <w:rPr>
                <w:kern w:val="0"/>
                <w:sz w:val="18"/>
                <w:szCs w:val="18"/>
              </w:rPr>
            </w:pPr>
            <w:r>
              <w:rPr>
                <w:kern w:val="0"/>
                <w:sz w:val="18"/>
                <w:szCs w:val="18"/>
              </w:rPr>
              <w:t>站名</w:t>
            </w:r>
          </w:p>
        </w:tc>
        <w:tc>
          <w:tcPr>
            <w:tcW w:w="756" w:type="dxa"/>
            <w:vMerge w:val="restart"/>
            <w:shd w:val="clear" w:color="auto" w:fill="auto"/>
            <w:vAlign w:val="center"/>
          </w:tcPr>
          <w:p>
            <w:pPr>
              <w:widowControl/>
              <w:spacing w:line="240" w:lineRule="exact"/>
              <w:jc w:val="center"/>
              <w:rPr>
                <w:kern w:val="0"/>
                <w:sz w:val="18"/>
                <w:szCs w:val="18"/>
              </w:rPr>
            </w:pPr>
            <w:r>
              <w:rPr>
                <w:kern w:val="0"/>
                <w:sz w:val="18"/>
                <w:szCs w:val="18"/>
              </w:rPr>
              <w:t>平均值</w:t>
            </w:r>
          </w:p>
        </w:tc>
        <w:tc>
          <w:tcPr>
            <w:tcW w:w="587" w:type="dxa"/>
            <w:vMerge w:val="restart"/>
            <w:shd w:val="clear" w:color="auto" w:fill="auto"/>
            <w:vAlign w:val="center"/>
          </w:tcPr>
          <w:p>
            <w:pPr>
              <w:widowControl/>
              <w:spacing w:line="240" w:lineRule="exact"/>
              <w:jc w:val="center"/>
              <w:rPr>
                <w:kern w:val="0"/>
                <w:sz w:val="18"/>
                <w:szCs w:val="18"/>
              </w:rPr>
            </w:pPr>
            <w:r>
              <w:rPr>
                <w:kern w:val="0"/>
                <w:sz w:val="18"/>
                <w:szCs w:val="18"/>
              </w:rPr>
              <w:t>Cv</w:t>
            </w:r>
          </w:p>
        </w:tc>
        <w:tc>
          <w:tcPr>
            <w:tcW w:w="2103" w:type="dxa"/>
            <w:gridSpan w:val="2"/>
            <w:shd w:val="clear" w:color="auto" w:fill="auto"/>
            <w:vAlign w:val="center"/>
          </w:tcPr>
          <w:p>
            <w:pPr>
              <w:widowControl/>
              <w:spacing w:line="240" w:lineRule="exact"/>
              <w:jc w:val="center"/>
              <w:rPr>
                <w:kern w:val="0"/>
                <w:sz w:val="18"/>
                <w:szCs w:val="18"/>
              </w:rPr>
            </w:pPr>
            <w:r>
              <w:rPr>
                <w:kern w:val="0"/>
                <w:sz w:val="18"/>
                <w:szCs w:val="18"/>
              </w:rPr>
              <w:t>最大</w:t>
            </w:r>
          </w:p>
        </w:tc>
        <w:tc>
          <w:tcPr>
            <w:tcW w:w="2103" w:type="dxa"/>
            <w:gridSpan w:val="2"/>
            <w:shd w:val="clear" w:color="auto" w:fill="auto"/>
            <w:vAlign w:val="center"/>
          </w:tcPr>
          <w:p>
            <w:pPr>
              <w:widowControl/>
              <w:spacing w:line="240" w:lineRule="exact"/>
              <w:jc w:val="center"/>
              <w:rPr>
                <w:kern w:val="0"/>
                <w:sz w:val="18"/>
                <w:szCs w:val="18"/>
              </w:rPr>
            </w:pPr>
            <w:r>
              <w:rPr>
                <w:kern w:val="0"/>
                <w:sz w:val="18"/>
                <w:szCs w:val="18"/>
              </w:rPr>
              <w:t>最小</w:t>
            </w:r>
          </w:p>
        </w:tc>
        <w:tc>
          <w:tcPr>
            <w:tcW w:w="1592" w:type="dxa"/>
            <w:gridSpan w:val="2"/>
            <w:shd w:val="clear" w:color="auto" w:fill="auto"/>
            <w:vAlign w:val="center"/>
          </w:tcPr>
          <w:p>
            <w:pPr>
              <w:widowControl/>
              <w:spacing w:line="240" w:lineRule="exact"/>
              <w:jc w:val="center"/>
              <w:rPr>
                <w:kern w:val="0"/>
                <w:sz w:val="18"/>
                <w:szCs w:val="18"/>
              </w:rPr>
            </w:pPr>
            <w:r>
              <w:rPr>
                <w:kern w:val="0"/>
                <w:sz w:val="18"/>
                <w:szCs w:val="18"/>
              </w:rPr>
              <w:t>最大与最小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pPr>
              <w:widowControl/>
              <w:spacing w:line="240" w:lineRule="exact"/>
              <w:jc w:val="center"/>
              <w:rPr>
                <w:kern w:val="0"/>
                <w:sz w:val="18"/>
                <w:szCs w:val="18"/>
              </w:rPr>
            </w:pPr>
          </w:p>
        </w:tc>
        <w:tc>
          <w:tcPr>
            <w:tcW w:w="907" w:type="dxa"/>
            <w:vMerge w:val="continue"/>
            <w:shd w:val="clear" w:color="auto" w:fill="auto"/>
            <w:vAlign w:val="center"/>
          </w:tcPr>
          <w:p>
            <w:pPr>
              <w:widowControl/>
              <w:spacing w:line="240" w:lineRule="exact"/>
              <w:jc w:val="center"/>
              <w:rPr>
                <w:kern w:val="0"/>
                <w:sz w:val="18"/>
                <w:szCs w:val="18"/>
              </w:rPr>
            </w:pPr>
          </w:p>
        </w:tc>
        <w:tc>
          <w:tcPr>
            <w:tcW w:w="756" w:type="dxa"/>
            <w:vMerge w:val="continue"/>
            <w:shd w:val="clear" w:color="auto" w:fill="auto"/>
            <w:vAlign w:val="center"/>
          </w:tcPr>
          <w:p>
            <w:pPr>
              <w:widowControl/>
              <w:spacing w:line="240" w:lineRule="exact"/>
              <w:jc w:val="center"/>
              <w:rPr>
                <w:kern w:val="0"/>
                <w:sz w:val="18"/>
                <w:szCs w:val="18"/>
              </w:rPr>
            </w:pPr>
          </w:p>
        </w:tc>
        <w:tc>
          <w:tcPr>
            <w:tcW w:w="587" w:type="dxa"/>
            <w:vMerge w:val="continue"/>
            <w:shd w:val="clear" w:color="auto" w:fill="auto"/>
            <w:vAlign w:val="center"/>
          </w:tcPr>
          <w:p>
            <w:pPr>
              <w:widowControl/>
              <w:spacing w:line="240" w:lineRule="exact"/>
              <w:jc w:val="center"/>
              <w:rPr>
                <w:kern w:val="0"/>
                <w:sz w:val="18"/>
                <w:szCs w:val="18"/>
              </w:rPr>
            </w:pPr>
          </w:p>
        </w:tc>
        <w:tc>
          <w:tcPr>
            <w:tcW w:w="1313" w:type="dxa"/>
            <w:shd w:val="clear" w:color="auto" w:fill="auto"/>
            <w:vAlign w:val="center"/>
          </w:tcPr>
          <w:p>
            <w:pPr>
              <w:widowControl/>
              <w:spacing w:line="240" w:lineRule="exact"/>
              <w:jc w:val="center"/>
              <w:rPr>
                <w:kern w:val="0"/>
                <w:sz w:val="18"/>
                <w:szCs w:val="18"/>
              </w:rPr>
            </w:pPr>
            <w:r>
              <w:rPr>
                <w:kern w:val="0"/>
                <w:sz w:val="18"/>
                <w:szCs w:val="18"/>
              </w:rPr>
              <w:t>年降水量(mm)</w:t>
            </w:r>
          </w:p>
        </w:tc>
        <w:tc>
          <w:tcPr>
            <w:tcW w:w="790" w:type="dxa"/>
            <w:shd w:val="clear" w:color="auto" w:fill="auto"/>
            <w:vAlign w:val="center"/>
          </w:tcPr>
          <w:p>
            <w:pPr>
              <w:widowControl/>
              <w:spacing w:line="240" w:lineRule="exact"/>
              <w:jc w:val="center"/>
              <w:rPr>
                <w:kern w:val="0"/>
                <w:sz w:val="18"/>
                <w:szCs w:val="18"/>
              </w:rPr>
            </w:pPr>
            <w:r>
              <w:rPr>
                <w:kern w:val="0"/>
                <w:sz w:val="18"/>
                <w:szCs w:val="18"/>
              </w:rPr>
              <w:t>出现</w:t>
            </w:r>
          </w:p>
          <w:p>
            <w:pPr>
              <w:widowControl/>
              <w:spacing w:line="240" w:lineRule="exact"/>
              <w:jc w:val="center"/>
              <w:rPr>
                <w:kern w:val="0"/>
                <w:sz w:val="18"/>
                <w:szCs w:val="18"/>
              </w:rPr>
            </w:pPr>
            <w:r>
              <w:rPr>
                <w:kern w:val="0"/>
                <w:sz w:val="18"/>
                <w:szCs w:val="18"/>
              </w:rPr>
              <w:t>年份</w:t>
            </w:r>
          </w:p>
        </w:tc>
        <w:tc>
          <w:tcPr>
            <w:tcW w:w="1313" w:type="dxa"/>
            <w:shd w:val="clear" w:color="auto" w:fill="auto"/>
            <w:vAlign w:val="center"/>
          </w:tcPr>
          <w:p>
            <w:pPr>
              <w:widowControl/>
              <w:spacing w:line="240" w:lineRule="exact"/>
              <w:jc w:val="center"/>
              <w:rPr>
                <w:kern w:val="0"/>
                <w:sz w:val="18"/>
                <w:szCs w:val="18"/>
              </w:rPr>
            </w:pPr>
            <w:r>
              <w:rPr>
                <w:kern w:val="0"/>
                <w:sz w:val="18"/>
                <w:szCs w:val="18"/>
              </w:rPr>
              <w:t>年降水量(mm)</w:t>
            </w:r>
          </w:p>
        </w:tc>
        <w:tc>
          <w:tcPr>
            <w:tcW w:w="790" w:type="dxa"/>
            <w:shd w:val="clear" w:color="auto" w:fill="auto"/>
            <w:vAlign w:val="center"/>
          </w:tcPr>
          <w:p>
            <w:pPr>
              <w:widowControl/>
              <w:spacing w:line="240" w:lineRule="exact"/>
              <w:jc w:val="center"/>
              <w:rPr>
                <w:kern w:val="0"/>
                <w:sz w:val="18"/>
                <w:szCs w:val="18"/>
              </w:rPr>
            </w:pPr>
            <w:r>
              <w:rPr>
                <w:kern w:val="0"/>
                <w:sz w:val="18"/>
                <w:szCs w:val="18"/>
              </w:rPr>
              <w:t>出现</w:t>
            </w:r>
          </w:p>
          <w:p>
            <w:pPr>
              <w:widowControl/>
              <w:spacing w:line="240" w:lineRule="exact"/>
              <w:jc w:val="center"/>
              <w:rPr>
                <w:kern w:val="0"/>
                <w:sz w:val="18"/>
                <w:szCs w:val="18"/>
              </w:rPr>
            </w:pPr>
            <w:r>
              <w:rPr>
                <w:kern w:val="0"/>
                <w:sz w:val="18"/>
                <w:szCs w:val="18"/>
              </w:rPr>
              <w:t>年份</w:t>
            </w:r>
          </w:p>
        </w:tc>
        <w:tc>
          <w:tcPr>
            <w:tcW w:w="979" w:type="dxa"/>
            <w:shd w:val="clear" w:color="auto" w:fill="auto"/>
            <w:vAlign w:val="center"/>
          </w:tcPr>
          <w:p>
            <w:pPr>
              <w:widowControl/>
              <w:spacing w:line="240" w:lineRule="exact"/>
              <w:jc w:val="center"/>
              <w:rPr>
                <w:kern w:val="0"/>
                <w:sz w:val="18"/>
                <w:szCs w:val="18"/>
              </w:rPr>
            </w:pPr>
            <w:r>
              <w:rPr>
                <w:kern w:val="0"/>
                <w:sz w:val="18"/>
                <w:szCs w:val="18"/>
              </w:rPr>
              <w:t>差  值(mm)</w:t>
            </w:r>
          </w:p>
        </w:tc>
        <w:tc>
          <w:tcPr>
            <w:tcW w:w="613" w:type="dxa"/>
            <w:shd w:val="clear" w:color="auto" w:fill="auto"/>
            <w:vAlign w:val="center"/>
          </w:tcPr>
          <w:p>
            <w:pPr>
              <w:widowControl/>
              <w:spacing w:line="240" w:lineRule="exact"/>
              <w:jc w:val="center"/>
              <w:rPr>
                <w:kern w:val="0"/>
                <w:sz w:val="18"/>
                <w:szCs w:val="18"/>
              </w:rPr>
            </w:pPr>
            <w:r>
              <w:rPr>
                <w:kern w:val="0"/>
                <w:sz w:val="18"/>
                <w:szCs w:val="18"/>
              </w:rPr>
              <w:t>比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shd w:val="clear" w:color="auto" w:fill="auto"/>
            <w:vAlign w:val="center"/>
          </w:tcPr>
          <w:p>
            <w:pPr>
              <w:spacing w:line="240" w:lineRule="exact"/>
              <w:jc w:val="center"/>
              <w:rPr>
                <w:kern w:val="0"/>
                <w:sz w:val="18"/>
                <w:szCs w:val="18"/>
              </w:rPr>
            </w:pPr>
            <w:r>
              <w:rPr>
                <w:kern w:val="0"/>
                <w:sz w:val="18"/>
                <w:szCs w:val="18"/>
              </w:rPr>
              <w:t>长江</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晓天</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1415.2</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0.18</w:t>
            </w:r>
          </w:p>
        </w:tc>
        <w:tc>
          <w:tcPr>
            <w:tcW w:w="13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2023.7</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908.1</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1115.6 </w:t>
            </w:r>
          </w:p>
        </w:tc>
        <w:tc>
          <w:tcPr>
            <w:tcW w:w="6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毛坦厂</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1351.6</w:t>
            </w:r>
          </w:p>
        </w:tc>
        <w:tc>
          <w:tcPr>
            <w:tcW w:w="5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0.19</w:t>
            </w:r>
          </w:p>
        </w:tc>
        <w:tc>
          <w:tcPr>
            <w:tcW w:w="13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1884.0 </w:t>
            </w:r>
          </w:p>
        </w:tc>
        <w:tc>
          <w:tcPr>
            <w:tcW w:w="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783.9 </w:t>
            </w:r>
          </w:p>
        </w:tc>
        <w:tc>
          <w:tcPr>
            <w:tcW w:w="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1100.1 </w:t>
            </w:r>
          </w:p>
        </w:tc>
        <w:tc>
          <w:tcPr>
            <w:tcW w:w="6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龙河口</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1284.8</w:t>
            </w:r>
          </w:p>
        </w:tc>
        <w:tc>
          <w:tcPr>
            <w:tcW w:w="5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0.19</w:t>
            </w:r>
          </w:p>
        </w:tc>
        <w:tc>
          <w:tcPr>
            <w:tcW w:w="13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1797</w:t>
            </w:r>
          </w:p>
        </w:tc>
        <w:tc>
          <w:tcPr>
            <w:tcW w:w="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1991</w:t>
            </w:r>
          </w:p>
        </w:tc>
        <w:tc>
          <w:tcPr>
            <w:tcW w:w="13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707.4</w:t>
            </w:r>
          </w:p>
        </w:tc>
        <w:tc>
          <w:tcPr>
            <w:tcW w:w="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1089.6 </w:t>
            </w:r>
          </w:p>
        </w:tc>
        <w:tc>
          <w:tcPr>
            <w:tcW w:w="6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桃溪</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1046.4</w:t>
            </w:r>
          </w:p>
        </w:tc>
        <w:tc>
          <w:tcPr>
            <w:tcW w:w="5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0.22</w:t>
            </w:r>
          </w:p>
        </w:tc>
        <w:tc>
          <w:tcPr>
            <w:tcW w:w="13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1634.6</w:t>
            </w:r>
          </w:p>
        </w:tc>
        <w:tc>
          <w:tcPr>
            <w:tcW w:w="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2010</w:t>
            </w:r>
          </w:p>
        </w:tc>
        <w:tc>
          <w:tcPr>
            <w:tcW w:w="13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592.1</w:t>
            </w:r>
          </w:p>
        </w:tc>
        <w:tc>
          <w:tcPr>
            <w:tcW w:w="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1042.5 </w:t>
            </w:r>
          </w:p>
        </w:tc>
        <w:tc>
          <w:tcPr>
            <w:tcW w:w="6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shd w:val="clear" w:color="auto" w:fill="auto"/>
            <w:vAlign w:val="center"/>
          </w:tcPr>
          <w:p>
            <w:pPr>
              <w:widowControl/>
              <w:spacing w:line="240" w:lineRule="exact"/>
              <w:jc w:val="center"/>
              <w:rPr>
                <w:kern w:val="0"/>
                <w:sz w:val="18"/>
                <w:szCs w:val="18"/>
              </w:rPr>
            </w:pPr>
          </w:p>
        </w:tc>
        <w:tc>
          <w:tcPr>
            <w:tcW w:w="90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张家店</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1146.2</w:t>
            </w:r>
          </w:p>
        </w:tc>
        <w:tc>
          <w:tcPr>
            <w:tcW w:w="5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0.21</w:t>
            </w:r>
          </w:p>
        </w:tc>
        <w:tc>
          <w:tcPr>
            <w:tcW w:w="13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1719.7</w:t>
            </w:r>
          </w:p>
        </w:tc>
        <w:tc>
          <w:tcPr>
            <w:tcW w:w="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2016</w:t>
            </w:r>
          </w:p>
        </w:tc>
        <w:tc>
          <w:tcPr>
            <w:tcW w:w="13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621.4</w:t>
            </w:r>
          </w:p>
        </w:tc>
        <w:tc>
          <w:tcPr>
            <w:tcW w:w="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1978</w:t>
            </w: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1098.3 </w:t>
            </w:r>
          </w:p>
        </w:tc>
        <w:tc>
          <w:tcPr>
            <w:tcW w:w="61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2.8</w:t>
            </w:r>
          </w:p>
        </w:tc>
      </w:tr>
    </w:tbl>
    <w:p>
      <w:pPr>
        <w:tabs>
          <w:tab w:val="left" w:pos="1485"/>
        </w:tabs>
        <w:spacing w:before="156" w:beforeLines="50" w:line="360" w:lineRule="auto"/>
        <w:jc w:val="center"/>
        <w:rPr>
          <w:b/>
          <w:sz w:val="24"/>
        </w:rPr>
      </w:pPr>
      <w:r>
        <w:rPr>
          <w:b/>
          <w:kern w:val="0"/>
          <w:sz w:val="24"/>
        </w:rPr>
        <w:t>表 3.1.4  六安市水资源分区最大与最小年降水量及Cv表</w:t>
      </w:r>
    </w:p>
    <w:tbl>
      <w:tblPr>
        <w:tblStyle w:val="36"/>
        <w:tblW w:w="8607" w:type="dxa"/>
        <w:tblInd w:w="0" w:type="dxa"/>
        <w:tblLayout w:type="fixed"/>
        <w:tblCellMar>
          <w:top w:w="0" w:type="dxa"/>
          <w:left w:w="108" w:type="dxa"/>
          <w:bottom w:w="0" w:type="dxa"/>
          <w:right w:w="108" w:type="dxa"/>
        </w:tblCellMar>
      </w:tblPr>
      <w:tblGrid>
        <w:gridCol w:w="801"/>
        <w:gridCol w:w="1131"/>
        <w:gridCol w:w="818"/>
        <w:gridCol w:w="943"/>
        <w:gridCol w:w="943"/>
        <w:gridCol w:w="751"/>
        <w:gridCol w:w="714"/>
        <w:gridCol w:w="821"/>
        <w:gridCol w:w="943"/>
        <w:gridCol w:w="742"/>
      </w:tblGrid>
      <w:tr>
        <w:tblPrEx>
          <w:tblCellMar>
            <w:top w:w="0" w:type="dxa"/>
            <w:left w:w="108" w:type="dxa"/>
            <w:bottom w:w="0" w:type="dxa"/>
            <w:right w:w="108" w:type="dxa"/>
          </w:tblCellMar>
        </w:tblPrEx>
        <w:trPr>
          <w:trHeight w:val="340" w:hRule="atLeast"/>
          <w:tblHeader/>
        </w:trPr>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三级区</w:t>
            </w:r>
          </w:p>
        </w:tc>
        <w:tc>
          <w:tcPr>
            <w:tcW w:w="8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平均值(mm)</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Cv</w:t>
            </w:r>
          </w:p>
        </w:tc>
        <w:tc>
          <w:tcPr>
            <w:tcW w:w="16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最大</w:t>
            </w:r>
          </w:p>
        </w:tc>
        <w:tc>
          <w:tcPr>
            <w:tcW w:w="15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最小</w:t>
            </w:r>
          </w:p>
        </w:tc>
        <w:tc>
          <w:tcPr>
            <w:tcW w:w="16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最大与最小</w:t>
            </w:r>
          </w:p>
        </w:tc>
      </w:tr>
      <w:tr>
        <w:tblPrEx>
          <w:tblCellMar>
            <w:top w:w="0" w:type="dxa"/>
            <w:left w:w="108" w:type="dxa"/>
            <w:bottom w:w="0" w:type="dxa"/>
            <w:right w:w="108" w:type="dxa"/>
          </w:tblCellMar>
        </w:tblPrEx>
        <w:trPr>
          <w:trHeight w:val="340" w:hRule="atLeast"/>
          <w:tblHeader/>
        </w:trPr>
        <w:tc>
          <w:tcPr>
            <w:tcW w:w="8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年降水量(mm)</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出现年份</w:t>
            </w:r>
          </w:p>
        </w:tc>
        <w:tc>
          <w:tcPr>
            <w:tcW w:w="7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年降水量(mm)</w:t>
            </w:r>
          </w:p>
        </w:tc>
        <w:tc>
          <w:tcPr>
            <w:tcW w:w="8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出现年份</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差值(mm)</w:t>
            </w:r>
          </w:p>
        </w:tc>
        <w:tc>
          <w:tcPr>
            <w:tcW w:w="7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比值</w:t>
            </w:r>
          </w:p>
        </w:tc>
      </w:tr>
      <w:tr>
        <w:tblPrEx>
          <w:tblCellMar>
            <w:top w:w="0" w:type="dxa"/>
            <w:left w:w="108" w:type="dxa"/>
            <w:bottom w:w="0" w:type="dxa"/>
            <w:right w:w="108" w:type="dxa"/>
          </w:tblCellMar>
        </w:tblPrEx>
        <w:trPr>
          <w:trHeight w:val="340" w:hRule="atLeast"/>
        </w:trPr>
        <w:tc>
          <w:tcPr>
            <w:tcW w:w="801"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bookmarkStart w:id="168" w:name="_Hlk58349415"/>
            <w:r>
              <w:rPr>
                <w:kern w:val="0"/>
                <w:sz w:val="18"/>
                <w:szCs w:val="18"/>
              </w:rPr>
              <w:t>淮河</w:t>
            </w:r>
          </w:p>
        </w:tc>
        <w:tc>
          <w:tcPr>
            <w:tcW w:w="1131"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王蚌区间南岸</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1232.4</w:t>
            </w:r>
          </w:p>
        </w:tc>
        <w:tc>
          <w:tcPr>
            <w:tcW w:w="94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0.19</w:t>
            </w:r>
          </w:p>
        </w:tc>
        <w:tc>
          <w:tcPr>
            <w:tcW w:w="94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1765.9</w:t>
            </w:r>
          </w:p>
        </w:tc>
        <w:tc>
          <w:tcPr>
            <w:tcW w:w="75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1991</w:t>
            </w:r>
          </w:p>
        </w:tc>
        <w:tc>
          <w:tcPr>
            <w:tcW w:w="71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683.9</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1978</w:t>
            </w:r>
          </w:p>
        </w:tc>
        <w:tc>
          <w:tcPr>
            <w:tcW w:w="94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1082.0 </w:t>
            </w:r>
          </w:p>
        </w:tc>
        <w:tc>
          <w:tcPr>
            <w:tcW w:w="74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2.6</w:t>
            </w:r>
          </w:p>
        </w:tc>
      </w:tr>
      <w:tr>
        <w:tblPrEx>
          <w:tblCellMar>
            <w:top w:w="0" w:type="dxa"/>
            <w:left w:w="108" w:type="dxa"/>
            <w:bottom w:w="0" w:type="dxa"/>
            <w:right w:w="108" w:type="dxa"/>
          </w:tblCellMar>
        </w:tblPrEx>
        <w:trPr>
          <w:trHeight w:val="340" w:hRule="atLeast"/>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113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巢滁皖及沿江诸河</w:t>
            </w:r>
          </w:p>
        </w:tc>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1278.3</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0.18</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1860.0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1991</w:t>
            </w:r>
          </w:p>
        </w:tc>
        <w:tc>
          <w:tcPr>
            <w:tcW w:w="7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766.1</w:t>
            </w:r>
          </w:p>
        </w:tc>
        <w:tc>
          <w:tcPr>
            <w:tcW w:w="8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1978</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1093.9 </w:t>
            </w:r>
          </w:p>
        </w:tc>
        <w:tc>
          <w:tcPr>
            <w:tcW w:w="7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2.4</w:t>
            </w:r>
          </w:p>
        </w:tc>
      </w:tr>
      <w:bookmarkEnd w:id="168"/>
      <w:tr>
        <w:tblPrEx>
          <w:tblCellMar>
            <w:top w:w="0" w:type="dxa"/>
            <w:left w:w="108" w:type="dxa"/>
            <w:bottom w:w="0" w:type="dxa"/>
            <w:right w:w="108" w:type="dxa"/>
          </w:tblCellMar>
        </w:tblPrEx>
        <w:trPr>
          <w:trHeight w:val="340" w:hRule="atLeast"/>
        </w:trPr>
        <w:tc>
          <w:tcPr>
            <w:tcW w:w="8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13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p>
        </w:tc>
        <w:tc>
          <w:tcPr>
            <w:tcW w:w="81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1241.6</w:t>
            </w:r>
          </w:p>
        </w:tc>
        <w:tc>
          <w:tcPr>
            <w:tcW w:w="9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0.18</w:t>
            </w:r>
          </w:p>
        </w:tc>
        <w:tc>
          <w:tcPr>
            <w:tcW w:w="9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1784.8</w:t>
            </w:r>
          </w:p>
        </w:tc>
        <w:tc>
          <w:tcPr>
            <w:tcW w:w="75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1991</w:t>
            </w:r>
          </w:p>
        </w:tc>
        <w:tc>
          <w:tcPr>
            <w:tcW w:w="71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700.4</w:t>
            </w:r>
          </w:p>
        </w:tc>
        <w:tc>
          <w:tcPr>
            <w:tcW w:w="82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1978</w:t>
            </w:r>
          </w:p>
        </w:tc>
        <w:tc>
          <w:tcPr>
            <w:tcW w:w="94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1084.4 </w:t>
            </w:r>
          </w:p>
        </w:tc>
        <w:tc>
          <w:tcPr>
            <w:tcW w:w="74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2.5</w:t>
            </w:r>
          </w:p>
        </w:tc>
      </w:tr>
    </w:tbl>
    <w:p>
      <w:pPr>
        <w:tabs>
          <w:tab w:val="left" w:pos="1485"/>
        </w:tabs>
        <w:spacing w:before="156" w:beforeLines="50" w:line="360" w:lineRule="auto"/>
        <w:ind w:firstLine="480" w:firstLineChars="200"/>
        <w:rPr>
          <w:sz w:val="24"/>
        </w:rPr>
      </w:pPr>
      <w:r>
        <w:rPr>
          <w:sz w:val="24"/>
        </w:rPr>
        <w:t>六安市年降水量的年代变化比较明显，50年代淮河流域降水偏多，长江流域偏少，60年代、70年代</w:t>
      </w:r>
      <w:r>
        <w:rPr>
          <w:rFonts w:hint="eastAsia"/>
          <w:sz w:val="24"/>
        </w:rPr>
        <w:t>淮河和长江流域</w:t>
      </w:r>
      <w:r>
        <w:rPr>
          <w:sz w:val="24"/>
        </w:rPr>
        <w:t>均偏少；80年代</w:t>
      </w:r>
      <w:r>
        <w:rPr>
          <w:rFonts w:hint="eastAsia"/>
          <w:sz w:val="24"/>
        </w:rPr>
        <w:t>淮河和长江流域</w:t>
      </w:r>
      <w:r>
        <w:rPr>
          <w:sz w:val="24"/>
        </w:rPr>
        <w:t>均偏多；90年代</w:t>
      </w:r>
      <w:r>
        <w:rPr>
          <w:rFonts w:hint="eastAsia"/>
          <w:sz w:val="24"/>
        </w:rPr>
        <w:t>淮河和长江流域</w:t>
      </w:r>
      <w:r>
        <w:rPr>
          <w:sz w:val="24"/>
        </w:rPr>
        <w:t>均偏少；2001～2010年、2011～2016年</w:t>
      </w:r>
      <w:r>
        <w:rPr>
          <w:rFonts w:hint="eastAsia"/>
          <w:sz w:val="24"/>
        </w:rPr>
        <w:t>淮河和长江流域</w:t>
      </w:r>
      <w:r>
        <w:rPr>
          <w:sz w:val="24"/>
        </w:rPr>
        <w:t>均偏多。见表3.1.5。</w:t>
      </w:r>
    </w:p>
    <w:p>
      <w:pPr>
        <w:tabs>
          <w:tab w:val="left" w:pos="1485"/>
        </w:tabs>
        <w:spacing w:line="360" w:lineRule="auto"/>
        <w:jc w:val="center"/>
        <w:rPr>
          <w:b/>
          <w:sz w:val="24"/>
        </w:rPr>
      </w:pPr>
      <w:r>
        <w:rPr>
          <w:b/>
          <w:kern w:val="0"/>
          <w:sz w:val="24"/>
        </w:rPr>
        <w:t>表3.1.5  六安市各流域及代表站雨量年代变化表</w:t>
      </w:r>
    </w:p>
    <w:tbl>
      <w:tblPr>
        <w:tblStyle w:val="36"/>
        <w:tblW w:w="8607" w:type="dxa"/>
        <w:tblInd w:w="0" w:type="dxa"/>
        <w:tblLayout w:type="fixed"/>
        <w:tblCellMar>
          <w:top w:w="0" w:type="dxa"/>
          <w:left w:w="108" w:type="dxa"/>
          <w:bottom w:w="0" w:type="dxa"/>
          <w:right w:w="108" w:type="dxa"/>
        </w:tblCellMar>
      </w:tblPr>
      <w:tblGrid>
        <w:gridCol w:w="701"/>
        <w:gridCol w:w="942"/>
        <w:gridCol w:w="893"/>
        <w:gridCol w:w="897"/>
        <w:gridCol w:w="899"/>
        <w:gridCol w:w="899"/>
        <w:gridCol w:w="899"/>
        <w:gridCol w:w="1238"/>
        <w:gridCol w:w="1239"/>
      </w:tblGrid>
      <w:tr>
        <w:tblPrEx>
          <w:tblCellMar>
            <w:top w:w="0" w:type="dxa"/>
            <w:left w:w="108" w:type="dxa"/>
            <w:bottom w:w="0" w:type="dxa"/>
            <w:right w:w="108" w:type="dxa"/>
          </w:tblCellMar>
        </w:tblPrEx>
        <w:trPr>
          <w:trHeight w:val="340" w:hRule="atLeast"/>
        </w:trPr>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9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流域或雨量站</w:t>
            </w:r>
          </w:p>
        </w:tc>
        <w:tc>
          <w:tcPr>
            <w:tcW w:w="6964"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平均降水量(mm)</w:t>
            </w:r>
          </w:p>
        </w:tc>
      </w:tr>
      <w:tr>
        <w:tblPrEx>
          <w:tblCellMar>
            <w:top w:w="0" w:type="dxa"/>
            <w:left w:w="108" w:type="dxa"/>
            <w:bottom w:w="0" w:type="dxa"/>
            <w:right w:w="108" w:type="dxa"/>
          </w:tblCellMar>
        </w:tblPrEx>
        <w:trPr>
          <w:trHeight w:val="340" w:hRule="atLeast"/>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50年代</w:t>
            </w:r>
          </w:p>
        </w:tc>
        <w:tc>
          <w:tcPr>
            <w:tcW w:w="8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60年代</w:t>
            </w:r>
          </w:p>
        </w:tc>
        <w:tc>
          <w:tcPr>
            <w:tcW w:w="8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70年代</w:t>
            </w:r>
          </w:p>
        </w:tc>
        <w:tc>
          <w:tcPr>
            <w:tcW w:w="8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80年代</w:t>
            </w:r>
          </w:p>
        </w:tc>
        <w:tc>
          <w:tcPr>
            <w:tcW w:w="8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90年代</w:t>
            </w:r>
          </w:p>
        </w:tc>
        <w:tc>
          <w:tcPr>
            <w:tcW w:w="12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2001～2010</w:t>
            </w:r>
          </w:p>
        </w:tc>
        <w:tc>
          <w:tcPr>
            <w:tcW w:w="123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2010～2016</w:t>
            </w:r>
          </w:p>
        </w:tc>
      </w:tr>
      <w:tr>
        <w:tblPrEx>
          <w:tblCellMar>
            <w:top w:w="0" w:type="dxa"/>
            <w:left w:w="108" w:type="dxa"/>
            <w:bottom w:w="0" w:type="dxa"/>
            <w:right w:w="108" w:type="dxa"/>
          </w:tblCellMar>
        </w:tblPrEx>
        <w:trPr>
          <w:trHeight w:val="34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9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全流域</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1275.0</w:t>
            </w:r>
          </w:p>
        </w:tc>
        <w:tc>
          <w:tcPr>
            <w:tcW w:w="89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1179.1</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1192.0</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1308.3</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1192.3</w:t>
            </w:r>
          </w:p>
        </w:tc>
        <w:tc>
          <w:tcPr>
            <w:tcW w:w="123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1265.1</w:t>
            </w:r>
          </w:p>
        </w:tc>
        <w:tc>
          <w:tcPr>
            <w:tcW w:w="123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1239.0</w:t>
            </w:r>
          </w:p>
        </w:tc>
      </w:tr>
      <w:tr>
        <w:tblPrEx>
          <w:tblCellMar>
            <w:top w:w="0" w:type="dxa"/>
            <w:left w:w="108" w:type="dxa"/>
            <w:bottom w:w="0" w:type="dxa"/>
            <w:right w:w="108" w:type="dxa"/>
          </w:tblCellMar>
        </w:tblPrEx>
        <w:trPr>
          <w:trHeight w:val="340" w:hRule="atLeast"/>
        </w:trPr>
        <w:tc>
          <w:tcPr>
            <w:tcW w:w="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九里沟</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1216.9</w:t>
            </w:r>
          </w:p>
        </w:tc>
        <w:tc>
          <w:tcPr>
            <w:tcW w:w="89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987.9</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1049.1</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1173</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1033.0</w:t>
            </w:r>
          </w:p>
        </w:tc>
        <w:tc>
          <w:tcPr>
            <w:tcW w:w="123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1166.8</w:t>
            </w:r>
          </w:p>
        </w:tc>
        <w:tc>
          <w:tcPr>
            <w:tcW w:w="123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1227.6</w:t>
            </w:r>
          </w:p>
        </w:tc>
      </w:tr>
      <w:tr>
        <w:tblPrEx>
          <w:tblCellMar>
            <w:top w:w="0" w:type="dxa"/>
            <w:left w:w="108" w:type="dxa"/>
            <w:bottom w:w="0" w:type="dxa"/>
            <w:right w:w="108" w:type="dxa"/>
          </w:tblCellMar>
        </w:tblPrEx>
        <w:trPr>
          <w:trHeight w:val="340" w:hRule="atLeast"/>
        </w:trPr>
        <w:tc>
          <w:tcPr>
            <w:tcW w:w="70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9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全流域</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1240.2</w:t>
            </w:r>
          </w:p>
        </w:tc>
        <w:tc>
          <w:tcPr>
            <w:tcW w:w="89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1226.9</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1255.2</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1336.5</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1258.7</w:t>
            </w:r>
          </w:p>
        </w:tc>
        <w:tc>
          <w:tcPr>
            <w:tcW w:w="123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1303.7</w:t>
            </w:r>
          </w:p>
        </w:tc>
        <w:tc>
          <w:tcPr>
            <w:tcW w:w="123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1327.1</w:t>
            </w:r>
          </w:p>
        </w:tc>
      </w:tr>
      <w:tr>
        <w:tblPrEx>
          <w:tblCellMar>
            <w:top w:w="0" w:type="dxa"/>
            <w:left w:w="108" w:type="dxa"/>
            <w:bottom w:w="0" w:type="dxa"/>
            <w:right w:w="108" w:type="dxa"/>
          </w:tblCellMar>
        </w:tblPrEx>
        <w:trPr>
          <w:trHeight w:val="340" w:hRule="atLeast"/>
        </w:trPr>
        <w:tc>
          <w:tcPr>
            <w:tcW w:w="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4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桃溪</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985.5</w:t>
            </w:r>
          </w:p>
        </w:tc>
        <w:tc>
          <w:tcPr>
            <w:tcW w:w="89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954.4</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996.7</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1103.7</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1051.9</w:t>
            </w:r>
          </w:p>
        </w:tc>
        <w:tc>
          <w:tcPr>
            <w:tcW w:w="123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1104.1</w:t>
            </w:r>
          </w:p>
        </w:tc>
        <w:tc>
          <w:tcPr>
            <w:tcW w:w="123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1132.2</w:t>
            </w:r>
          </w:p>
        </w:tc>
      </w:tr>
      <w:tr>
        <w:tblPrEx>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1268.0</w:t>
            </w:r>
          </w:p>
        </w:tc>
        <w:tc>
          <w:tcPr>
            <w:tcW w:w="89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1188.7</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1204.7</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1314.0</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1205.6</w:t>
            </w:r>
          </w:p>
        </w:tc>
        <w:tc>
          <w:tcPr>
            <w:tcW w:w="123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1272.9</w:t>
            </w:r>
          </w:p>
        </w:tc>
        <w:tc>
          <w:tcPr>
            <w:tcW w:w="123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1256.7</w:t>
            </w:r>
          </w:p>
        </w:tc>
      </w:tr>
    </w:tbl>
    <w:p>
      <w:pPr>
        <w:spacing w:line="360" w:lineRule="auto"/>
        <w:ind w:firstLine="480" w:firstLineChars="200"/>
        <w:rPr>
          <w:b/>
          <w:sz w:val="24"/>
        </w:rPr>
      </w:pPr>
      <w:r>
        <w:rPr>
          <w:b/>
          <w:sz w:val="24"/>
        </w:rPr>
        <w:t>（三）降水频率及降水区域分布</w:t>
      </w:r>
    </w:p>
    <w:p>
      <w:pPr>
        <w:spacing w:line="360" w:lineRule="auto"/>
        <w:ind w:firstLine="480" w:firstLineChars="200"/>
        <w:rPr>
          <w:kern w:val="0"/>
          <w:sz w:val="24"/>
        </w:rPr>
      </w:pPr>
      <w:r>
        <w:rPr>
          <w:sz w:val="24"/>
        </w:rPr>
        <w:t>六安市1956～2016年面平均年降水深1241.6 mm，降水量190.6亿m</w:t>
      </w:r>
      <w:r>
        <w:rPr>
          <w:sz w:val="24"/>
          <w:vertAlign w:val="superscript"/>
        </w:rPr>
        <w:t>3</w:t>
      </w:r>
      <w:r>
        <w:rPr>
          <w:sz w:val="24"/>
        </w:rPr>
        <w:t>。分区降水量由北向南递增。</w:t>
      </w:r>
      <w:r>
        <w:rPr>
          <w:bCs/>
          <w:sz w:val="24"/>
        </w:rPr>
        <w:t>六安市各行政县区</w:t>
      </w:r>
      <w:r>
        <w:rPr>
          <w:kern w:val="0"/>
          <w:sz w:val="24"/>
        </w:rPr>
        <w:t>多年平均降水量在973.1 mm～1462.2mm之间，其中最大的是霍山县，最小的是霍邱县。六安市水资源分区不同保证率降水见表3.1.6，行政分区不同保证率降水量见表3.1.7。</w:t>
      </w:r>
    </w:p>
    <w:p>
      <w:pPr>
        <w:spacing w:line="360" w:lineRule="auto"/>
        <w:ind w:firstLine="480" w:firstLineChars="200"/>
        <w:rPr>
          <w:kern w:val="0"/>
          <w:sz w:val="24"/>
        </w:rPr>
      </w:pPr>
      <w:r>
        <w:rPr>
          <w:kern w:val="0"/>
          <w:sz w:val="24"/>
        </w:rPr>
        <w:t>变差系数Cv适线结果全市各县区在0.18～0.22范围，平均0.20，六安市平均降水系列的Cv等于0.18。Cs/Cv取值均为2.0。</w:t>
      </w:r>
    </w:p>
    <w:p>
      <w:pPr>
        <w:spacing w:line="360" w:lineRule="auto"/>
        <w:ind w:firstLine="480" w:firstLineChars="200"/>
        <w:rPr>
          <w:kern w:val="0"/>
          <w:sz w:val="24"/>
        </w:rPr>
      </w:pPr>
      <w:r>
        <w:rPr>
          <w:kern w:val="0"/>
          <w:sz w:val="24"/>
        </w:rPr>
        <w:t>各行政县、区不同频率年降水量的取值范围分别为：设计频率20%时在1147.2～1677.2 mm，设计频率50%时在957.5～1446.1 mm，设计频率75%时在821.3～1276.5 mm，设计频率95%时在650.0～1057.2 mm。</w:t>
      </w:r>
    </w:p>
    <w:p>
      <w:pPr>
        <w:spacing w:line="360" w:lineRule="auto"/>
        <w:ind w:firstLine="480" w:firstLineChars="200"/>
        <w:jc w:val="center"/>
        <w:rPr>
          <w:b/>
          <w:kern w:val="0"/>
          <w:sz w:val="24"/>
        </w:rPr>
      </w:pPr>
      <w:r>
        <w:rPr>
          <w:b/>
          <w:kern w:val="0"/>
          <w:sz w:val="24"/>
        </w:rPr>
        <w:t>表3.1.6   六安市水资源分区不同频率降水量表</w:t>
      </w:r>
    </w:p>
    <w:tbl>
      <w:tblPr>
        <w:tblStyle w:val="36"/>
        <w:tblW w:w="8607" w:type="dxa"/>
        <w:tblInd w:w="0" w:type="dxa"/>
        <w:tblLayout w:type="fixed"/>
        <w:tblCellMar>
          <w:top w:w="0" w:type="dxa"/>
          <w:left w:w="108" w:type="dxa"/>
          <w:bottom w:w="0" w:type="dxa"/>
          <w:right w:w="108" w:type="dxa"/>
        </w:tblCellMar>
      </w:tblPr>
      <w:tblGrid>
        <w:gridCol w:w="578"/>
        <w:gridCol w:w="1070"/>
        <w:gridCol w:w="1093"/>
        <w:gridCol w:w="952"/>
        <w:gridCol w:w="726"/>
        <w:gridCol w:w="726"/>
        <w:gridCol w:w="893"/>
        <w:gridCol w:w="893"/>
        <w:gridCol w:w="893"/>
        <w:gridCol w:w="783"/>
      </w:tblGrid>
      <w:tr>
        <w:tblPrEx>
          <w:tblCellMar>
            <w:top w:w="0" w:type="dxa"/>
            <w:left w:w="108" w:type="dxa"/>
            <w:bottom w:w="0" w:type="dxa"/>
            <w:right w:w="108" w:type="dxa"/>
          </w:tblCellMar>
        </w:tblPrEx>
        <w:trPr>
          <w:trHeight w:val="397"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10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三级区</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1956～2016平均值</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Cv</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Cs</w:t>
            </w:r>
          </w:p>
        </w:tc>
        <w:tc>
          <w:tcPr>
            <w:tcW w:w="346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不同频率年降水量(mm)</w:t>
            </w:r>
          </w:p>
        </w:tc>
      </w:tr>
      <w:tr>
        <w:tblPrEx>
          <w:tblCellMar>
            <w:top w:w="0" w:type="dxa"/>
            <w:left w:w="108" w:type="dxa"/>
            <w:bottom w:w="0" w:type="dxa"/>
            <w:right w:w="108" w:type="dxa"/>
          </w:tblCellMar>
        </w:tblPrEx>
        <w:trPr>
          <w:trHeight w:val="634" w:hRule="atLeast"/>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降水深(mm)</w:t>
            </w:r>
          </w:p>
        </w:tc>
        <w:tc>
          <w:tcPr>
            <w:tcW w:w="9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20%</w:t>
            </w:r>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50%</w:t>
            </w:r>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75%</w:t>
            </w:r>
          </w:p>
        </w:tc>
        <w:tc>
          <w:tcPr>
            <w:tcW w:w="7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95%</w:t>
            </w:r>
          </w:p>
        </w:tc>
      </w:tr>
      <w:tr>
        <w:tblPrEx>
          <w:tblCellMar>
            <w:top w:w="0" w:type="dxa"/>
            <w:left w:w="108" w:type="dxa"/>
            <w:bottom w:w="0" w:type="dxa"/>
            <w:right w:w="108" w:type="dxa"/>
          </w:tblCellMar>
        </w:tblPrEx>
        <w:trPr>
          <w:trHeight w:val="397" w:hRule="atLeast"/>
        </w:trPr>
        <w:tc>
          <w:tcPr>
            <w:tcW w:w="5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107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王蚌区间南岸</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1232.4</w:t>
            </w:r>
          </w:p>
        </w:tc>
        <w:tc>
          <w:tcPr>
            <w:tcW w:w="9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151.2</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0.19 </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0.38</w:t>
            </w:r>
          </w:p>
        </w:tc>
        <w:tc>
          <w:tcPr>
            <w:tcW w:w="8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1423.4</w:t>
            </w:r>
          </w:p>
        </w:tc>
        <w:tc>
          <w:tcPr>
            <w:tcW w:w="8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1217.6</w:t>
            </w:r>
          </w:p>
        </w:tc>
        <w:tc>
          <w:tcPr>
            <w:tcW w:w="8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1067.3</w:t>
            </w:r>
          </w:p>
        </w:tc>
        <w:tc>
          <w:tcPr>
            <w:tcW w:w="78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873.8</w:t>
            </w:r>
          </w:p>
        </w:tc>
      </w:tr>
      <w:tr>
        <w:tblPrEx>
          <w:tblCellMar>
            <w:top w:w="0" w:type="dxa"/>
            <w:left w:w="108" w:type="dxa"/>
            <w:bottom w:w="0" w:type="dxa"/>
            <w:right w:w="108" w:type="dxa"/>
          </w:tblCellMar>
        </w:tblPrEx>
        <w:trPr>
          <w:trHeight w:val="397" w:hRule="atLeast"/>
        </w:trPr>
        <w:tc>
          <w:tcPr>
            <w:tcW w:w="5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107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巢滁皖及沿江诸河</w:t>
            </w: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1278.3</w:t>
            </w:r>
          </w:p>
        </w:tc>
        <w:tc>
          <w:tcPr>
            <w:tcW w:w="9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39.4</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0.36</w:t>
            </w:r>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1466.2</w:t>
            </w:r>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1264.2</w:t>
            </w:r>
          </w:p>
        </w:tc>
        <w:tc>
          <w:tcPr>
            <w:tcW w:w="8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1115.9</w:t>
            </w:r>
          </w:p>
        </w:tc>
        <w:tc>
          <w:tcPr>
            <w:tcW w:w="7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924.2</w:t>
            </w:r>
          </w:p>
        </w:tc>
      </w:tr>
      <w:tr>
        <w:tblPrEx>
          <w:tblCellMar>
            <w:top w:w="0" w:type="dxa"/>
            <w:left w:w="108" w:type="dxa"/>
            <w:bottom w:w="0" w:type="dxa"/>
            <w:right w:w="108" w:type="dxa"/>
          </w:tblCellMar>
        </w:tblPrEx>
        <w:trPr>
          <w:trHeight w:val="397"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p>
        </w:tc>
        <w:tc>
          <w:tcPr>
            <w:tcW w:w="10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1241.6</w:t>
            </w:r>
          </w:p>
        </w:tc>
        <w:tc>
          <w:tcPr>
            <w:tcW w:w="9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190.6</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0.36</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1424.6</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1228.2</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1084.5</w:t>
            </w:r>
          </w:p>
        </w:tc>
        <w:tc>
          <w:tcPr>
            <w:tcW w:w="78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898.3</w:t>
            </w:r>
          </w:p>
        </w:tc>
      </w:tr>
    </w:tbl>
    <w:p>
      <w:pPr>
        <w:spacing w:before="156" w:beforeLines="50" w:line="360" w:lineRule="auto"/>
        <w:jc w:val="center"/>
        <w:rPr>
          <w:kern w:val="0"/>
          <w:sz w:val="24"/>
        </w:rPr>
      </w:pPr>
      <w:r>
        <w:rPr>
          <w:b/>
          <w:bCs/>
          <w:kern w:val="0"/>
          <w:sz w:val="24"/>
        </w:rPr>
        <w:t>表3.1.7   六安市同步期行政分区多年平均降水量表</w:t>
      </w:r>
    </w:p>
    <w:tbl>
      <w:tblPr>
        <w:tblStyle w:val="36"/>
        <w:tblW w:w="8607" w:type="dxa"/>
        <w:jc w:val="center"/>
        <w:tblLayout w:type="fixed"/>
        <w:tblCellMar>
          <w:top w:w="0" w:type="dxa"/>
          <w:left w:w="108" w:type="dxa"/>
          <w:bottom w:w="0" w:type="dxa"/>
          <w:right w:w="108" w:type="dxa"/>
        </w:tblCellMar>
      </w:tblPr>
      <w:tblGrid>
        <w:gridCol w:w="1246"/>
        <w:gridCol w:w="1067"/>
        <w:gridCol w:w="1078"/>
        <w:gridCol w:w="745"/>
        <w:gridCol w:w="893"/>
        <w:gridCol w:w="899"/>
        <w:gridCol w:w="899"/>
        <w:gridCol w:w="899"/>
        <w:gridCol w:w="881"/>
      </w:tblGrid>
      <w:tr>
        <w:tblPrEx>
          <w:tblCellMar>
            <w:top w:w="0" w:type="dxa"/>
            <w:left w:w="108" w:type="dxa"/>
            <w:bottom w:w="0" w:type="dxa"/>
            <w:right w:w="108" w:type="dxa"/>
          </w:tblCellMar>
        </w:tblPrEx>
        <w:trPr>
          <w:trHeight w:val="340" w:hRule="atLeast"/>
          <w:jc w:val="center"/>
        </w:trPr>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行政县区</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1956～2016平均值</w:t>
            </w:r>
          </w:p>
        </w:tc>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Cv</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Cs</w:t>
            </w:r>
          </w:p>
        </w:tc>
        <w:tc>
          <w:tcPr>
            <w:tcW w:w="357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不同频率年降水量(mm)</w:t>
            </w:r>
          </w:p>
        </w:tc>
      </w:tr>
      <w:tr>
        <w:tblPrEx>
          <w:tblCellMar>
            <w:top w:w="0" w:type="dxa"/>
            <w:left w:w="108" w:type="dxa"/>
            <w:bottom w:w="0" w:type="dxa"/>
            <w:right w:w="108" w:type="dxa"/>
          </w:tblCellMar>
        </w:tblPrEx>
        <w:trPr>
          <w:trHeight w:val="734" w:hRule="atLeast"/>
          <w:jc w:val="center"/>
        </w:trPr>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降水深(mm)</w:t>
            </w:r>
          </w:p>
        </w:tc>
        <w:tc>
          <w:tcPr>
            <w:tcW w:w="10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 (亿m</w:t>
            </w:r>
            <w:r>
              <w:rPr>
                <w:kern w:val="0"/>
                <w:sz w:val="18"/>
                <w:szCs w:val="18"/>
                <w:vertAlign w:val="superscript"/>
              </w:rPr>
              <w:t>3</w:t>
            </w:r>
            <w:r>
              <w:rPr>
                <w:kern w:val="0"/>
                <w:sz w:val="18"/>
                <w:szCs w:val="18"/>
              </w:rPr>
              <w:t>)</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8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20%</w:t>
            </w:r>
          </w:p>
        </w:tc>
        <w:tc>
          <w:tcPr>
            <w:tcW w:w="8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50%</w:t>
            </w:r>
          </w:p>
        </w:tc>
        <w:tc>
          <w:tcPr>
            <w:tcW w:w="8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75%</w:t>
            </w:r>
          </w:p>
        </w:tc>
        <w:tc>
          <w:tcPr>
            <w:tcW w:w="8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95%</w:t>
            </w:r>
          </w:p>
        </w:tc>
      </w:tr>
      <w:tr>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金安区</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1133.1</w:t>
            </w:r>
          </w:p>
        </w:tc>
        <w:tc>
          <w:tcPr>
            <w:tcW w:w="107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18.8</w:t>
            </w:r>
          </w:p>
        </w:tc>
        <w:tc>
          <w:tcPr>
            <w:tcW w:w="74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0.20 </w:t>
            </w:r>
          </w:p>
        </w:tc>
        <w:tc>
          <w:tcPr>
            <w:tcW w:w="8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0.40</w:t>
            </w:r>
          </w:p>
        </w:tc>
        <w:tc>
          <w:tcPr>
            <w:tcW w:w="89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1317.8</w:t>
            </w:r>
          </w:p>
        </w:tc>
        <w:tc>
          <w:tcPr>
            <w:tcW w:w="89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1118.4</w:t>
            </w:r>
          </w:p>
        </w:tc>
        <w:tc>
          <w:tcPr>
            <w:tcW w:w="89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973.3</w:t>
            </w:r>
          </w:p>
        </w:tc>
        <w:tc>
          <w:tcPr>
            <w:tcW w:w="8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787.5</w:t>
            </w:r>
          </w:p>
        </w:tc>
      </w:tr>
      <w:tr>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裕安区</w:t>
            </w:r>
          </w:p>
        </w:tc>
        <w:tc>
          <w:tcPr>
            <w:tcW w:w="106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1179.7</w:t>
            </w:r>
          </w:p>
        </w:tc>
        <w:tc>
          <w:tcPr>
            <w:tcW w:w="107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22.7</w:t>
            </w:r>
          </w:p>
        </w:tc>
        <w:tc>
          <w:tcPr>
            <w:tcW w:w="7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1372.0</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1164.4</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1013.4</w:t>
            </w:r>
          </w:p>
        </w:tc>
        <w:tc>
          <w:tcPr>
            <w:tcW w:w="88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819.9</w:t>
            </w:r>
          </w:p>
        </w:tc>
      </w:tr>
      <w:tr>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叶集区</w:t>
            </w:r>
          </w:p>
        </w:tc>
        <w:tc>
          <w:tcPr>
            <w:tcW w:w="106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1189.7</w:t>
            </w:r>
          </w:p>
        </w:tc>
        <w:tc>
          <w:tcPr>
            <w:tcW w:w="107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6.8</w:t>
            </w:r>
          </w:p>
        </w:tc>
        <w:tc>
          <w:tcPr>
            <w:tcW w:w="7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1383.6</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1174.2</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1021.9</w:t>
            </w:r>
          </w:p>
        </w:tc>
        <w:tc>
          <w:tcPr>
            <w:tcW w:w="88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826.8</w:t>
            </w:r>
          </w:p>
        </w:tc>
      </w:tr>
      <w:tr>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霍邱县</w:t>
            </w:r>
          </w:p>
        </w:tc>
        <w:tc>
          <w:tcPr>
            <w:tcW w:w="106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973.1</w:t>
            </w:r>
          </w:p>
        </w:tc>
        <w:tc>
          <w:tcPr>
            <w:tcW w:w="107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31.5</w:t>
            </w:r>
          </w:p>
        </w:tc>
        <w:tc>
          <w:tcPr>
            <w:tcW w:w="7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0.22 </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0.44</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1147.2</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957.5</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821.3</w:t>
            </w:r>
          </w:p>
        </w:tc>
        <w:tc>
          <w:tcPr>
            <w:tcW w:w="88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650.0</w:t>
            </w:r>
          </w:p>
        </w:tc>
      </w:tr>
      <w:tr>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舒城县</w:t>
            </w:r>
          </w:p>
        </w:tc>
        <w:tc>
          <w:tcPr>
            <w:tcW w:w="106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1320.9</w:t>
            </w:r>
          </w:p>
        </w:tc>
        <w:tc>
          <w:tcPr>
            <w:tcW w:w="107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27.7</w:t>
            </w:r>
          </w:p>
        </w:tc>
        <w:tc>
          <w:tcPr>
            <w:tcW w:w="7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1515.1</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1306.4</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1153.2</w:t>
            </w:r>
          </w:p>
        </w:tc>
        <w:tc>
          <w:tcPr>
            <w:tcW w:w="88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955.0</w:t>
            </w:r>
          </w:p>
        </w:tc>
      </w:tr>
      <w:tr>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金寨县</w:t>
            </w:r>
          </w:p>
        </w:tc>
        <w:tc>
          <w:tcPr>
            <w:tcW w:w="106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1394.1</w:t>
            </w:r>
          </w:p>
        </w:tc>
        <w:tc>
          <w:tcPr>
            <w:tcW w:w="107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53.2</w:t>
            </w:r>
          </w:p>
        </w:tc>
        <w:tc>
          <w:tcPr>
            <w:tcW w:w="7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0.20 </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0.40</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1621.4</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1376.0</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1197.6</w:t>
            </w:r>
          </w:p>
        </w:tc>
        <w:tc>
          <w:tcPr>
            <w:tcW w:w="88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968.9</w:t>
            </w:r>
          </w:p>
        </w:tc>
      </w:tr>
      <w:tr>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霍山县</w:t>
            </w:r>
          </w:p>
        </w:tc>
        <w:tc>
          <w:tcPr>
            <w:tcW w:w="106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1462.2</w:t>
            </w:r>
          </w:p>
        </w:tc>
        <w:tc>
          <w:tcPr>
            <w:tcW w:w="107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29.9</w:t>
            </w:r>
          </w:p>
        </w:tc>
        <w:tc>
          <w:tcPr>
            <w:tcW w:w="7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1677.2</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1446.1</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1276.5</w:t>
            </w:r>
          </w:p>
        </w:tc>
        <w:tc>
          <w:tcPr>
            <w:tcW w:w="88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1057.2</w:t>
            </w:r>
          </w:p>
        </w:tc>
      </w:tr>
      <w:tr>
        <w:tblPrEx>
          <w:tblCellMar>
            <w:top w:w="0" w:type="dxa"/>
            <w:left w:w="108" w:type="dxa"/>
            <w:bottom w:w="0" w:type="dxa"/>
            <w:right w:w="108" w:type="dxa"/>
          </w:tblCellMar>
        </w:tblPrEx>
        <w:trPr>
          <w:trHeight w:val="340" w:hRule="atLeast"/>
          <w:jc w:val="center"/>
        </w:trPr>
        <w:tc>
          <w:tcPr>
            <w:tcW w:w="124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全市合计</w:t>
            </w:r>
          </w:p>
        </w:tc>
        <w:tc>
          <w:tcPr>
            <w:tcW w:w="106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1241.6</w:t>
            </w:r>
          </w:p>
        </w:tc>
        <w:tc>
          <w:tcPr>
            <w:tcW w:w="107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190.6</w:t>
            </w:r>
          </w:p>
        </w:tc>
        <w:tc>
          <w:tcPr>
            <w:tcW w:w="7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0.18 </w:t>
            </w:r>
          </w:p>
        </w:tc>
        <w:tc>
          <w:tcPr>
            <w:tcW w:w="89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0.36</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1424.6</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1228.2</w:t>
            </w:r>
          </w:p>
        </w:tc>
        <w:tc>
          <w:tcPr>
            <w:tcW w:w="8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1084.5</w:t>
            </w:r>
          </w:p>
        </w:tc>
        <w:tc>
          <w:tcPr>
            <w:tcW w:w="88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898.3</w:t>
            </w:r>
          </w:p>
        </w:tc>
      </w:tr>
    </w:tbl>
    <w:p>
      <w:pPr>
        <w:rPr>
          <w:b/>
          <w:bCs/>
          <w:color w:val="FF0000"/>
          <w:sz w:val="28"/>
        </w:rPr>
      </w:pPr>
      <w:bookmarkStart w:id="169" w:name="_Toc324432031"/>
      <w:bookmarkStart w:id="170" w:name="_Toc382472195"/>
      <w:bookmarkStart w:id="171" w:name="_Toc432782523"/>
    </w:p>
    <w:p>
      <w:pPr>
        <w:rPr>
          <w:b/>
          <w:bCs/>
          <w:color w:val="FF0000"/>
          <w:sz w:val="28"/>
        </w:rPr>
      </w:pPr>
    </w:p>
    <w:p>
      <w:pPr>
        <w:pStyle w:val="4"/>
        <w:spacing w:before="156" w:beforeLines="50" w:after="156" w:afterLines="50" w:line="360" w:lineRule="auto"/>
        <w:rPr>
          <w:sz w:val="28"/>
        </w:rPr>
      </w:pPr>
      <w:bookmarkStart w:id="172" w:name="_Toc95382459"/>
      <w:r>
        <w:rPr>
          <w:sz w:val="28"/>
        </w:rPr>
        <w:t>二、蒸发</w:t>
      </w:r>
      <w:bookmarkEnd w:id="169"/>
      <w:bookmarkEnd w:id="170"/>
      <w:bookmarkEnd w:id="171"/>
      <w:bookmarkEnd w:id="172"/>
    </w:p>
    <w:p>
      <w:pPr>
        <w:tabs>
          <w:tab w:val="left" w:pos="1485"/>
        </w:tabs>
        <w:spacing w:line="360" w:lineRule="auto"/>
        <w:ind w:firstLine="480" w:firstLineChars="200"/>
        <w:rPr>
          <w:bCs/>
          <w:sz w:val="24"/>
        </w:rPr>
      </w:pPr>
      <w:r>
        <w:rPr>
          <w:bCs/>
          <w:sz w:val="24"/>
        </w:rPr>
        <w:t>蒸发能力是指充分供水条件下的陆面蒸发量，主要受气压、气温、地温、湿度、风速、辐射等气象因素的综合影响。本次修编评价采用安徽省第三次水资源调查评价成果，水面蒸发量统一采用E601型蒸发器观测资料，1980~2010年的数据直接利用上次评价换算后的成果。</w:t>
      </w:r>
    </w:p>
    <w:p>
      <w:pPr>
        <w:tabs>
          <w:tab w:val="left" w:pos="1485"/>
        </w:tabs>
        <w:spacing w:line="360" w:lineRule="auto"/>
        <w:ind w:firstLine="480" w:firstLineChars="200"/>
        <w:rPr>
          <w:b/>
          <w:sz w:val="24"/>
        </w:rPr>
      </w:pPr>
      <w:r>
        <w:rPr>
          <w:b/>
          <w:sz w:val="24"/>
        </w:rPr>
        <w:t>（一）水面蒸发的年内分配</w:t>
      </w:r>
    </w:p>
    <w:p>
      <w:pPr>
        <w:tabs>
          <w:tab w:val="left" w:pos="1485"/>
        </w:tabs>
        <w:spacing w:line="360" w:lineRule="auto"/>
        <w:ind w:firstLine="480" w:firstLineChars="200"/>
        <w:rPr>
          <w:sz w:val="24"/>
        </w:rPr>
      </w:pPr>
      <w:r>
        <w:rPr>
          <w:bCs/>
          <w:sz w:val="24"/>
        </w:rPr>
        <w:t>六安市1980～2010年</w:t>
      </w:r>
      <w:r>
        <w:rPr>
          <w:sz w:val="24"/>
        </w:rPr>
        <w:t>多年平均蒸发量在727.1</w:t>
      </w:r>
      <w:r>
        <w:rPr>
          <w:bCs/>
          <w:sz w:val="24"/>
        </w:rPr>
        <w:t>～</w:t>
      </w:r>
      <w:r>
        <w:rPr>
          <w:sz w:val="24"/>
        </w:rPr>
        <w:t>819.4 mm之间，最大4个月蒸发量一般出现在5～8月，约占年蒸发量的50%以上。最大月蒸发量一般出现在7月份，淮河流域其值在98.8～111.2mm之间，约占年蒸发量的12.4%左右；长江流域其值在97.4m左右，约占年蒸发量的13.0%左右。最小月蒸发量主要出现在1月份，其值约为21.2～29.0mm，占年蒸发的3.3%左右。六安市1980～2016年系列水面蒸发量月分配见表3.1.8。</w:t>
      </w:r>
    </w:p>
    <w:p>
      <w:pPr>
        <w:tabs>
          <w:tab w:val="left" w:pos="1485"/>
        </w:tabs>
        <w:spacing w:line="360" w:lineRule="auto"/>
        <w:ind w:firstLine="480" w:firstLineChars="200"/>
        <w:rPr>
          <w:b/>
          <w:sz w:val="24"/>
        </w:rPr>
      </w:pPr>
      <w:r>
        <w:rPr>
          <w:b/>
          <w:sz w:val="24"/>
        </w:rPr>
        <w:t>（二）水面蒸发的年际变化</w:t>
      </w:r>
    </w:p>
    <w:p>
      <w:pPr>
        <w:tabs>
          <w:tab w:val="left" w:pos="1485"/>
        </w:tabs>
        <w:spacing w:line="360" w:lineRule="auto"/>
        <w:ind w:firstLine="480" w:firstLineChars="200"/>
        <w:rPr>
          <w:sz w:val="24"/>
        </w:rPr>
      </w:pPr>
      <w:r>
        <w:rPr>
          <w:sz w:val="24"/>
        </w:rPr>
        <w:t>选取各蒸发代表站水面蒸发系列资料，选取1980～2000年系列与1980～2016年系列进行对比分析，结果显示，1980～2016年系列水面蒸发量均值普遍比1980～2000年均值偏小。六安市1980～2016年系列水面蒸发量相对于1980～2000年平均减少了4.0%。总体来看，六安市蒸发多年呈现逐步减少的趋势。六安市蒸发代表站不同系列年限多年平均水面蒸发量对比见表3.1.9。</w:t>
      </w:r>
    </w:p>
    <w:p>
      <w:pPr>
        <w:tabs>
          <w:tab w:val="left" w:pos="1485"/>
        </w:tabs>
        <w:spacing w:before="156" w:beforeLines="50" w:line="360" w:lineRule="auto"/>
        <w:jc w:val="center"/>
        <w:rPr>
          <w:b/>
          <w:bCs/>
          <w:kern w:val="0"/>
          <w:sz w:val="24"/>
        </w:rPr>
      </w:pPr>
      <w:r>
        <w:rPr>
          <w:b/>
          <w:bCs/>
          <w:kern w:val="0"/>
          <w:sz w:val="24"/>
        </w:rPr>
        <w:t>表3.1.8  六安市1980～2016年系列水面蒸发量月分配统计表</w:t>
      </w:r>
    </w:p>
    <w:tbl>
      <w:tblPr>
        <w:tblStyle w:val="36"/>
        <w:tblW w:w="8700" w:type="dxa"/>
        <w:tblInd w:w="0" w:type="dxa"/>
        <w:tblLayout w:type="fixed"/>
        <w:tblCellMar>
          <w:top w:w="0" w:type="dxa"/>
          <w:left w:w="108" w:type="dxa"/>
          <w:bottom w:w="0" w:type="dxa"/>
          <w:right w:w="108" w:type="dxa"/>
        </w:tblCellMar>
      </w:tblPr>
      <w:tblGrid>
        <w:gridCol w:w="626"/>
        <w:gridCol w:w="679"/>
        <w:gridCol w:w="680"/>
        <w:gridCol w:w="593"/>
        <w:gridCol w:w="593"/>
        <w:gridCol w:w="595"/>
        <w:gridCol w:w="595"/>
        <w:gridCol w:w="595"/>
        <w:gridCol w:w="595"/>
        <w:gridCol w:w="595"/>
        <w:gridCol w:w="595"/>
        <w:gridCol w:w="595"/>
        <w:gridCol w:w="595"/>
        <w:gridCol w:w="769"/>
      </w:tblGrid>
      <w:tr>
        <w:tblPrEx>
          <w:tblCellMar>
            <w:top w:w="0" w:type="dxa"/>
            <w:left w:w="108" w:type="dxa"/>
            <w:bottom w:w="0" w:type="dxa"/>
            <w:right w:w="108" w:type="dxa"/>
          </w:tblCellMar>
        </w:tblPrEx>
        <w:trPr>
          <w:trHeight w:val="454" w:hRule="atLeast"/>
        </w:trPr>
        <w:tc>
          <w:tcPr>
            <w:tcW w:w="6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流域分区</w:t>
            </w:r>
          </w:p>
        </w:tc>
        <w:tc>
          <w:tcPr>
            <w:tcW w:w="8074" w:type="dxa"/>
            <w:gridSpan w:val="1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占年蒸发量百分数(%)</w:t>
            </w:r>
          </w:p>
        </w:tc>
      </w:tr>
      <w:tr>
        <w:tblPrEx>
          <w:tblCellMar>
            <w:top w:w="0" w:type="dxa"/>
            <w:left w:w="108" w:type="dxa"/>
            <w:bottom w:w="0" w:type="dxa"/>
            <w:right w:w="108" w:type="dxa"/>
          </w:tblCellMar>
        </w:tblPrEx>
        <w:trPr>
          <w:trHeight w:val="454" w:hRule="atLeast"/>
        </w:trPr>
        <w:tc>
          <w:tcPr>
            <w:tcW w:w="6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1月</w:t>
            </w:r>
          </w:p>
        </w:tc>
        <w:tc>
          <w:tcPr>
            <w:tcW w:w="6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2月</w:t>
            </w:r>
          </w:p>
        </w:tc>
        <w:tc>
          <w:tcPr>
            <w:tcW w:w="5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3月</w:t>
            </w:r>
          </w:p>
        </w:tc>
        <w:tc>
          <w:tcPr>
            <w:tcW w:w="5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4月</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5月</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6月</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7月</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8月</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9月</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10月</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11月</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12月</w:t>
            </w:r>
          </w:p>
        </w:tc>
        <w:tc>
          <w:tcPr>
            <w:tcW w:w="7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汛期5～9月</w:t>
            </w:r>
          </w:p>
        </w:tc>
      </w:tr>
      <w:tr>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淮河流域</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3.3</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4.0</w:t>
            </w:r>
          </w:p>
        </w:tc>
        <w:tc>
          <w:tcPr>
            <w:tcW w:w="5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6.5</w:t>
            </w:r>
          </w:p>
        </w:tc>
        <w:tc>
          <w:tcPr>
            <w:tcW w:w="5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9.1</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11.8</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11.5</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13.0</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12.4</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9.9</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8.1</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5.8</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4.5</w:t>
            </w:r>
          </w:p>
        </w:tc>
        <w:tc>
          <w:tcPr>
            <w:tcW w:w="7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58.6</w:t>
            </w:r>
          </w:p>
        </w:tc>
      </w:tr>
      <w:tr>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长江流域</w:t>
            </w:r>
          </w:p>
        </w:tc>
        <w:tc>
          <w:tcPr>
            <w:tcW w:w="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3.3</w:t>
            </w:r>
          </w:p>
        </w:tc>
        <w:tc>
          <w:tcPr>
            <w:tcW w:w="6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3.9</w:t>
            </w:r>
          </w:p>
        </w:tc>
        <w:tc>
          <w:tcPr>
            <w:tcW w:w="5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6.5</w:t>
            </w:r>
          </w:p>
        </w:tc>
        <w:tc>
          <w:tcPr>
            <w:tcW w:w="5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9.3</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11.7</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11.2</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13.4</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13.0</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10.1</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7.8</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5.4</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4.3</w:t>
            </w:r>
          </w:p>
        </w:tc>
        <w:tc>
          <w:tcPr>
            <w:tcW w:w="7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59.4</w:t>
            </w:r>
          </w:p>
        </w:tc>
      </w:tr>
      <w:tr>
        <w:tblPrEx>
          <w:tblCellMar>
            <w:top w:w="0" w:type="dxa"/>
            <w:left w:w="108" w:type="dxa"/>
            <w:bottom w:w="0" w:type="dxa"/>
            <w:right w:w="108" w:type="dxa"/>
          </w:tblCellMar>
        </w:tblPrEx>
        <w:trPr>
          <w:trHeight w:val="454" w:hRule="atLeast"/>
        </w:trPr>
        <w:tc>
          <w:tcPr>
            <w:tcW w:w="6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3.3</w:t>
            </w:r>
          </w:p>
        </w:tc>
        <w:tc>
          <w:tcPr>
            <w:tcW w:w="6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4.0</w:t>
            </w:r>
          </w:p>
        </w:tc>
        <w:tc>
          <w:tcPr>
            <w:tcW w:w="5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6.5</w:t>
            </w:r>
          </w:p>
        </w:tc>
        <w:tc>
          <w:tcPr>
            <w:tcW w:w="5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9.1</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11.8</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11.4</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13.1</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12.6</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9.9</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8.0</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5.7</w:t>
            </w:r>
          </w:p>
        </w:tc>
        <w:tc>
          <w:tcPr>
            <w:tcW w:w="5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4.5</w:t>
            </w:r>
          </w:p>
        </w:tc>
        <w:tc>
          <w:tcPr>
            <w:tcW w:w="7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58.8</w:t>
            </w:r>
          </w:p>
        </w:tc>
      </w:tr>
    </w:tbl>
    <w:p>
      <w:pPr>
        <w:tabs>
          <w:tab w:val="left" w:pos="1485"/>
        </w:tabs>
        <w:spacing w:before="156" w:beforeLines="50" w:line="360" w:lineRule="auto"/>
        <w:jc w:val="center"/>
        <w:rPr>
          <w:b/>
          <w:bCs/>
          <w:kern w:val="0"/>
          <w:sz w:val="24"/>
        </w:rPr>
      </w:pPr>
    </w:p>
    <w:p>
      <w:pPr>
        <w:tabs>
          <w:tab w:val="left" w:pos="1485"/>
        </w:tabs>
        <w:spacing w:before="156" w:beforeLines="50" w:line="360" w:lineRule="auto"/>
        <w:jc w:val="center"/>
        <w:rPr>
          <w:b/>
          <w:bCs/>
          <w:kern w:val="0"/>
          <w:sz w:val="24"/>
        </w:rPr>
      </w:pPr>
    </w:p>
    <w:p>
      <w:pPr>
        <w:tabs>
          <w:tab w:val="left" w:pos="1485"/>
        </w:tabs>
        <w:spacing w:before="156" w:beforeLines="50" w:line="360" w:lineRule="auto"/>
        <w:jc w:val="center"/>
        <w:rPr>
          <w:b/>
          <w:bCs/>
          <w:kern w:val="0"/>
          <w:sz w:val="24"/>
        </w:rPr>
      </w:pPr>
    </w:p>
    <w:p>
      <w:pPr>
        <w:tabs>
          <w:tab w:val="left" w:pos="1485"/>
        </w:tabs>
        <w:spacing w:before="156" w:beforeLines="50" w:line="360" w:lineRule="auto"/>
        <w:jc w:val="center"/>
        <w:rPr>
          <w:sz w:val="24"/>
        </w:rPr>
      </w:pPr>
      <w:r>
        <w:rPr>
          <w:b/>
          <w:bCs/>
          <w:kern w:val="0"/>
          <w:sz w:val="24"/>
        </w:rPr>
        <w:t>表3.1.9    六安市蒸发代表站不同系列年限平均水面蒸发量对比表</w:t>
      </w:r>
    </w:p>
    <w:tbl>
      <w:tblPr>
        <w:tblStyle w:val="36"/>
        <w:tblW w:w="84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6"/>
        <w:gridCol w:w="2051"/>
        <w:gridCol w:w="2043"/>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blHeader/>
          <w:jc w:val="center"/>
        </w:trPr>
        <w:tc>
          <w:tcPr>
            <w:tcW w:w="1736" w:type="dxa"/>
            <w:vMerge w:val="restart"/>
            <w:shd w:val="clear" w:color="auto" w:fill="auto"/>
            <w:vAlign w:val="center"/>
          </w:tcPr>
          <w:p>
            <w:pPr>
              <w:widowControl/>
              <w:spacing w:line="240" w:lineRule="exact"/>
              <w:jc w:val="center"/>
              <w:rPr>
                <w:bCs/>
                <w:kern w:val="0"/>
                <w:sz w:val="18"/>
                <w:szCs w:val="18"/>
              </w:rPr>
            </w:pPr>
            <w:r>
              <w:rPr>
                <w:bCs/>
                <w:kern w:val="0"/>
                <w:sz w:val="18"/>
                <w:szCs w:val="18"/>
              </w:rPr>
              <w:t>站点名称</w:t>
            </w:r>
          </w:p>
        </w:tc>
        <w:tc>
          <w:tcPr>
            <w:tcW w:w="2051" w:type="dxa"/>
            <w:vMerge w:val="restart"/>
            <w:shd w:val="clear" w:color="auto" w:fill="auto"/>
            <w:vAlign w:val="center"/>
          </w:tcPr>
          <w:p>
            <w:pPr>
              <w:widowControl/>
              <w:spacing w:line="240" w:lineRule="exact"/>
              <w:jc w:val="center"/>
              <w:rPr>
                <w:bCs/>
                <w:kern w:val="0"/>
                <w:sz w:val="18"/>
                <w:szCs w:val="18"/>
              </w:rPr>
            </w:pPr>
            <w:r>
              <w:rPr>
                <w:kern w:val="0"/>
                <w:sz w:val="18"/>
                <w:szCs w:val="18"/>
              </w:rPr>
              <w:t>1980～2016年平均年蒸发量(mm)</w:t>
            </w:r>
          </w:p>
        </w:tc>
        <w:tc>
          <w:tcPr>
            <w:tcW w:w="2043" w:type="dxa"/>
            <w:vMerge w:val="restart"/>
            <w:shd w:val="clear" w:color="auto" w:fill="auto"/>
            <w:vAlign w:val="center"/>
          </w:tcPr>
          <w:p>
            <w:pPr>
              <w:widowControl/>
              <w:spacing w:line="240" w:lineRule="exact"/>
              <w:jc w:val="center"/>
              <w:rPr>
                <w:kern w:val="0"/>
                <w:sz w:val="18"/>
                <w:szCs w:val="18"/>
              </w:rPr>
            </w:pPr>
            <w:r>
              <w:rPr>
                <w:kern w:val="0"/>
                <w:sz w:val="18"/>
                <w:szCs w:val="18"/>
              </w:rPr>
              <w:t>1980</w:t>
            </w:r>
            <w:r>
              <w:rPr>
                <w:sz w:val="18"/>
                <w:szCs w:val="18"/>
              </w:rPr>
              <w:t>～</w:t>
            </w:r>
            <w:r>
              <w:rPr>
                <w:kern w:val="0"/>
                <w:sz w:val="18"/>
                <w:szCs w:val="18"/>
              </w:rPr>
              <w:t>2000年平均年蒸发量</w:t>
            </w:r>
            <w:r>
              <w:rPr>
                <w:bCs/>
                <w:kern w:val="0"/>
                <w:sz w:val="18"/>
                <w:szCs w:val="18"/>
              </w:rPr>
              <w:t>(mm)</w:t>
            </w:r>
          </w:p>
        </w:tc>
        <w:tc>
          <w:tcPr>
            <w:tcW w:w="2605" w:type="dxa"/>
            <w:vMerge w:val="restart"/>
            <w:shd w:val="clear" w:color="auto" w:fill="auto"/>
            <w:vAlign w:val="center"/>
          </w:tcPr>
          <w:p>
            <w:pPr>
              <w:widowControl/>
              <w:spacing w:line="240" w:lineRule="exact"/>
              <w:jc w:val="center"/>
              <w:rPr>
                <w:kern w:val="0"/>
                <w:sz w:val="18"/>
                <w:szCs w:val="18"/>
              </w:rPr>
            </w:pPr>
            <w:r>
              <w:rPr>
                <w:kern w:val="0"/>
                <w:sz w:val="18"/>
                <w:szCs w:val="18"/>
              </w:rPr>
              <w:t>1980～2016年与1980</w:t>
            </w:r>
            <w:r>
              <w:rPr>
                <w:sz w:val="18"/>
                <w:szCs w:val="18"/>
              </w:rPr>
              <w:t>～</w:t>
            </w:r>
            <w:r>
              <w:rPr>
                <w:kern w:val="0"/>
                <w:sz w:val="18"/>
                <w:szCs w:val="18"/>
              </w:rPr>
              <w:t>2000年系列比较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1736" w:type="dxa"/>
            <w:vMerge w:val="continue"/>
            <w:vAlign w:val="center"/>
          </w:tcPr>
          <w:p>
            <w:pPr>
              <w:widowControl/>
              <w:spacing w:line="240" w:lineRule="exact"/>
              <w:jc w:val="center"/>
              <w:rPr>
                <w:bCs/>
                <w:kern w:val="0"/>
                <w:sz w:val="18"/>
                <w:szCs w:val="18"/>
              </w:rPr>
            </w:pPr>
          </w:p>
        </w:tc>
        <w:tc>
          <w:tcPr>
            <w:tcW w:w="2051" w:type="dxa"/>
            <w:vMerge w:val="continue"/>
            <w:vAlign w:val="center"/>
          </w:tcPr>
          <w:p>
            <w:pPr>
              <w:widowControl/>
              <w:spacing w:line="240" w:lineRule="exact"/>
              <w:jc w:val="center"/>
              <w:rPr>
                <w:bCs/>
                <w:kern w:val="0"/>
                <w:sz w:val="18"/>
                <w:szCs w:val="18"/>
              </w:rPr>
            </w:pPr>
          </w:p>
        </w:tc>
        <w:tc>
          <w:tcPr>
            <w:tcW w:w="2043" w:type="dxa"/>
            <w:vMerge w:val="continue"/>
            <w:vAlign w:val="center"/>
          </w:tcPr>
          <w:p>
            <w:pPr>
              <w:widowControl/>
              <w:spacing w:line="240" w:lineRule="exact"/>
              <w:jc w:val="center"/>
              <w:rPr>
                <w:kern w:val="0"/>
                <w:sz w:val="18"/>
                <w:szCs w:val="18"/>
              </w:rPr>
            </w:pPr>
          </w:p>
        </w:tc>
        <w:tc>
          <w:tcPr>
            <w:tcW w:w="2605" w:type="dxa"/>
            <w:vMerge w:val="continue"/>
            <w:vAlign w:val="center"/>
          </w:tcPr>
          <w:p>
            <w:pPr>
              <w:widowControl/>
              <w:spacing w:line="240" w:lineRule="exac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pPr>
              <w:widowControl/>
              <w:spacing w:line="240" w:lineRule="exact"/>
              <w:jc w:val="center"/>
              <w:rPr>
                <w:kern w:val="0"/>
                <w:sz w:val="18"/>
                <w:szCs w:val="18"/>
              </w:rPr>
            </w:pPr>
            <w:r>
              <w:rPr>
                <w:kern w:val="0"/>
                <w:sz w:val="18"/>
                <w:szCs w:val="18"/>
              </w:rPr>
              <w:t>姚  李</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819.4</w:t>
            </w:r>
          </w:p>
        </w:tc>
        <w:tc>
          <w:tcPr>
            <w:tcW w:w="20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860.0</w:t>
            </w:r>
          </w:p>
        </w:tc>
        <w:tc>
          <w:tcPr>
            <w:tcW w:w="260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pPr>
              <w:widowControl/>
              <w:spacing w:line="240" w:lineRule="exact"/>
              <w:jc w:val="center"/>
              <w:rPr>
                <w:kern w:val="0"/>
                <w:sz w:val="18"/>
                <w:szCs w:val="18"/>
              </w:rPr>
            </w:pPr>
            <w:r>
              <w:rPr>
                <w:kern w:val="0"/>
                <w:sz w:val="18"/>
                <w:szCs w:val="18"/>
              </w:rPr>
              <w:t>梅  山</w:t>
            </w:r>
          </w:p>
        </w:tc>
        <w:tc>
          <w:tcPr>
            <w:tcW w:w="20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747.8</w:t>
            </w:r>
          </w:p>
        </w:tc>
        <w:tc>
          <w:tcPr>
            <w:tcW w:w="20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750.7</w:t>
            </w:r>
          </w:p>
        </w:tc>
        <w:tc>
          <w:tcPr>
            <w:tcW w:w="260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pPr>
              <w:widowControl/>
              <w:spacing w:line="240" w:lineRule="exact"/>
              <w:jc w:val="center"/>
              <w:rPr>
                <w:kern w:val="0"/>
                <w:sz w:val="18"/>
                <w:szCs w:val="18"/>
              </w:rPr>
            </w:pPr>
            <w:r>
              <w:rPr>
                <w:kern w:val="0"/>
                <w:sz w:val="18"/>
                <w:szCs w:val="18"/>
              </w:rPr>
              <w:t>望城岗</w:t>
            </w:r>
          </w:p>
        </w:tc>
        <w:tc>
          <w:tcPr>
            <w:tcW w:w="20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871.2</w:t>
            </w:r>
          </w:p>
        </w:tc>
        <w:tc>
          <w:tcPr>
            <w:tcW w:w="20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899.1</w:t>
            </w:r>
          </w:p>
        </w:tc>
        <w:tc>
          <w:tcPr>
            <w:tcW w:w="260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736" w:type="dxa"/>
            <w:shd w:val="clear" w:color="auto" w:fill="auto"/>
            <w:vAlign w:val="center"/>
          </w:tcPr>
          <w:p>
            <w:pPr>
              <w:widowControl/>
              <w:spacing w:line="240" w:lineRule="exact"/>
              <w:jc w:val="center"/>
              <w:rPr>
                <w:kern w:val="0"/>
                <w:sz w:val="18"/>
                <w:szCs w:val="18"/>
              </w:rPr>
            </w:pPr>
            <w:r>
              <w:rPr>
                <w:kern w:val="0"/>
                <w:sz w:val="18"/>
                <w:szCs w:val="18"/>
              </w:rPr>
              <w:t>龙河口</w:t>
            </w:r>
          </w:p>
        </w:tc>
        <w:tc>
          <w:tcPr>
            <w:tcW w:w="20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727.1</w:t>
            </w:r>
          </w:p>
        </w:tc>
        <w:tc>
          <w:tcPr>
            <w:tcW w:w="20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788.1</w:t>
            </w:r>
          </w:p>
        </w:tc>
        <w:tc>
          <w:tcPr>
            <w:tcW w:w="260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-7.7</w:t>
            </w:r>
          </w:p>
        </w:tc>
      </w:tr>
    </w:tbl>
    <w:p>
      <w:pPr>
        <w:pStyle w:val="4"/>
        <w:spacing w:before="312" w:beforeLines="100" w:after="156" w:afterLines="50" w:line="360" w:lineRule="auto"/>
        <w:rPr>
          <w:sz w:val="28"/>
        </w:rPr>
      </w:pPr>
      <w:bookmarkStart w:id="173" w:name="_Toc432782524"/>
      <w:bookmarkStart w:id="174" w:name="_Toc382472196"/>
      <w:bookmarkStart w:id="175" w:name="_Toc95382460"/>
      <w:bookmarkStart w:id="176" w:name="_Toc324432032"/>
      <w:r>
        <w:rPr>
          <w:sz w:val="28"/>
        </w:rPr>
        <w:t>三、地表水资源</w:t>
      </w:r>
      <w:bookmarkEnd w:id="173"/>
      <w:bookmarkEnd w:id="174"/>
      <w:bookmarkEnd w:id="175"/>
      <w:bookmarkEnd w:id="176"/>
    </w:p>
    <w:p>
      <w:pPr>
        <w:spacing w:line="360" w:lineRule="auto"/>
        <w:ind w:firstLine="480" w:firstLineChars="200"/>
        <w:rPr>
          <w:sz w:val="24"/>
        </w:rPr>
      </w:pPr>
      <w:r>
        <w:rPr>
          <w:sz w:val="24"/>
        </w:rPr>
        <w:t>地表水资源量是指大气降水扣除了水面、陆地、植物等蒸散发和补给浅层地下水后的地表产水量，即一般所指的河川径流量。但是由于人类活动的影响，河道断面的实测径流量已不能客观反映天然状态下的径流量，必须将人类活动影响的该部分径流量还原到实测径流中去，以求得天然径流量。同时为了以后能更合理和更有效的利用、配置水资源，有必要将实测径流还原到现状下垫面条件下（即2016年下垫面）。本次评价的地表水资源量即为现状下垫面条件下的同步期（1956～2016年）天然河川径流量。</w:t>
      </w:r>
    </w:p>
    <w:p>
      <w:pPr>
        <w:spacing w:line="360" w:lineRule="auto"/>
        <w:ind w:firstLine="480" w:firstLineChars="200"/>
        <w:rPr>
          <w:sz w:val="24"/>
        </w:rPr>
      </w:pPr>
      <w:r>
        <w:rPr>
          <w:sz w:val="24"/>
        </w:rPr>
        <w:t>本次修编评价采用安徽省第三次水资源调查评价成果，通过实测径流还原计算和天然径流系列一致性分析与处理，提出一致性较好的、反映近期下垫面条件的天然年径流系列。</w:t>
      </w:r>
    </w:p>
    <w:p>
      <w:pPr>
        <w:tabs>
          <w:tab w:val="left" w:pos="1485"/>
        </w:tabs>
        <w:spacing w:line="360" w:lineRule="auto"/>
        <w:ind w:firstLine="480" w:firstLineChars="200"/>
        <w:rPr>
          <w:b/>
          <w:sz w:val="24"/>
        </w:rPr>
      </w:pPr>
      <w:r>
        <w:rPr>
          <w:b/>
          <w:sz w:val="24"/>
        </w:rPr>
        <w:t>（一）分区地表水资源量</w:t>
      </w:r>
    </w:p>
    <w:p>
      <w:pPr>
        <w:spacing w:line="360" w:lineRule="auto"/>
        <w:ind w:firstLine="480" w:firstLineChars="200"/>
        <w:rPr>
          <w:sz w:val="24"/>
        </w:rPr>
      </w:pPr>
      <w:r>
        <w:rPr>
          <w:b/>
          <w:sz w:val="24"/>
        </w:rPr>
        <w:t>多年平均地表水资源量：</w:t>
      </w:r>
      <w:r>
        <w:rPr>
          <w:sz w:val="24"/>
        </w:rPr>
        <w:t>六安市同步期天然径流量，多年平均为</w:t>
      </w:r>
      <w:r>
        <w:rPr>
          <w:bCs/>
          <w:sz w:val="24"/>
        </w:rPr>
        <w:t>86.11</w:t>
      </w:r>
      <w:r>
        <w:rPr>
          <w:sz w:val="24"/>
        </w:rPr>
        <w:t>亿m</w:t>
      </w:r>
      <w:r>
        <w:rPr>
          <w:sz w:val="24"/>
          <w:vertAlign w:val="superscript"/>
        </w:rPr>
        <w:t>3</w:t>
      </w:r>
      <w:r>
        <w:rPr>
          <w:sz w:val="24"/>
        </w:rPr>
        <w:t>，相应径流深561.0 mm，径流系数0.45。其中，淮河流域径流量</w:t>
      </w:r>
      <w:r>
        <w:rPr>
          <w:bCs/>
          <w:sz w:val="24"/>
        </w:rPr>
        <w:t>68.49</w:t>
      </w:r>
      <w:r>
        <w:rPr>
          <w:sz w:val="24"/>
        </w:rPr>
        <w:t>亿m</w:t>
      </w:r>
      <w:r>
        <w:rPr>
          <w:sz w:val="24"/>
          <w:vertAlign w:val="superscript"/>
        </w:rPr>
        <w:t>3</w:t>
      </w:r>
      <w:r>
        <w:rPr>
          <w:sz w:val="24"/>
        </w:rPr>
        <w:t>，占全市天然径流量的79.5%，相应径流深558.2mm，径流系数0.45；长江流域径流量17.61亿m</w:t>
      </w:r>
      <w:r>
        <w:rPr>
          <w:sz w:val="24"/>
          <w:vertAlign w:val="superscript"/>
        </w:rPr>
        <w:t>3</w:t>
      </w:r>
      <w:r>
        <w:rPr>
          <w:sz w:val="24"/>
        </w:rPr>
        <w:t>，占全市20.5%，径流深571.8 mm，径流系数0.45。见表3.1.10。</w:t>
      </w:r>
    </w:p>
    <w:p>
      <w:pPr>
        <w:spacing w:line="360" w:lineRule="auto"/>
        <w:ind w:firstLine="480" w:firstLineChars="200"/>
        <w:rPr>
          <w:sz w:val="24"/>
        </w:rPr>
      </w:pPr>
      <w:r>
        <w:rPr>
          <w:sz w:val="24"/>
        </w:rPr>
        <w:t>行政分区中，地表水资源量全市最大的是金寨县，为27.36亿m</w:t>
      </w:r>
      <w:r>
        <w:rPr>
          <w:sz w:val="24"/>
          <w:vertAlign w:val="superscript"/>
        </w:rPr>
        <w:t>3</w:t>
      </w:r>
      <w:r>
        <w:rPr>
          <w:sz w:val="24"/>
        </w:rPr>
        <w:t>，其次是霍山县的16.83亿m</w:t>
      </w:r>
      <w:r>
        <w:rPr>
          <w:sz w:val="24"/>
          <w:vertAlign w:val="superscript"/>
        </w:rPr>
        <w:t>3</w:t>
      </w:r>
      <w:r>
        <w:rPr>
          <w:sz w:val="24"/>
        </w:rPr>
        <w:t>和舒城县的13.24亿m</w:t>
      </w:r>
      <w:r>
        <w:rPr>
          <w:sz w:val="24"/>
          <w:vertAlign w:val="superscript"/>
        </w:rPr>
        <w:t>3</w:t>
      </w:r>
      <w:r>
        <w:rPr>
          <w:sz w:val="24"/>
        </w:rPr>
        <w:t>，占全市比重均超过15%，全市最小是叶集区，径流量仅2.77亿m</w:t>
      </w:r>
      <w:r>
        <w:rPr>
          <w:sz w:val="24"/>
          <w:vertAlign w:val="superscript"/>
        </w:rPr>
        <w:t>3</w:t>
      </w:r>
      <w:r>
        <w:rPr>
          <w:sz w:val="24"/>
        </w:rPr>
        <w:t>。六安市行政县区地表水资源量见表3.1.11，六安市各县区地表水资源量的分布及占全市总量的分配情况见图3.1.1和图3.1.2。</w:t>
      </w:r>
    </w:p>
    <w:p>
      <w:pPr>
        <w:spacing w:line="360" w:lineRule="auto"/>
        <w:ind w:firstLine="480" w:firstLineChars="200"/>
        <w:rPr>
          <w:sz w:val="24"/>
        </w:rPr>
      </w:pPr>
    </w:p>
    <w:p>
      <w:pPr>
        <w:spacing w:line="360" w:lineRule="auto"/>
        <w:jc w:val="center"/>
        <w:rPr>
          <w:b/>
          <w:sz w:val="24"/>
        </w:rPr>
      </w:pPr>
      <w:r>
        <w:rPr>
          <w:b/>
          <w:sz w:val="24"/>
        </w:rPr>
        <w:t>表3.1.10  六安市同步期水资源分区地表水资源量成果表</w:t>
      </w:r>
    </w:p>
    <w:tbl>
      <w:tblPr>
        <w:tblStyle w:val="36"/>
        <w:tblW w:w="8435" w:type="dxa"/>
        <w:jc w:val="center"/>
        <w:tblLayout w:type="fixed"/>
        <w:tblCellMar>
          <w:top w:w="0" w:type="dxa"/>
          <w:left w:w="108" w:type="dxa"/>
          <w:bottom w:w="0" w:type="dxa"/>
          <w:right w:w="108" w:type="dxa"/>
        </w:tblCellMar>
      </w:tblPr>
      <w:tblGrid>
        <w:gridCol w:w="1365"/>
        <w:gridCol w:w="1657"/>
        <w:gridCol w:w="1803"/>
        <w:gridCol w:w="1805"/>
        <w:gridCol w:w="1805"/>
      </w:tblGrid>
      <w:tr>
        <w:tblPrEx>
          <w:tblCellMar>
            <w:top w:w="0" w:type="dxa"/>
            <w:left w:w="108" w:type="dxa"/>
            <w:bottom w:w="0" w:type="dxa"/>
            <w:right w:w="108" w:type="dxa"/>
          </w:tblCellMar>
        </w:tblPrEx>
        <w:trPr>
          <w:trHeight w:val="397" w:hRule="atLeast"/>
          <w:tblHeader/>
          <w:jc w:val="center"/>
        </w:trPr>
        <w:tc>
          <w:tcPr>
            <w:tcW w:w="13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三级区</w:t>
            </w:r>
          </w:p>
        </w:tc>
        <w:tc>
          <w:tcPr>
            <w:tcW w:w="541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多年平均值</w:t>
            </w:r>
          </w:p>
        </w:tc>
      </w:tr>
      <w:tr>
        <w:tblPrEx>
          <w:tblCellMar>
            <w:top w:w="0" w:type="dxa"/>
            <w:left w:w="108" w:type="dxa"/>
            <w:bottom w:w="0" w:type="dxa"/>
            <w:right w:w="108" w:type="dxa"/>
          </w:tblCellMar>
        </w:tblPrEx>
        <w:trPr>
          <w:trHeight w:val="397" w:hRule="atLeast"/>
          <w:tblHeader/>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径流深(mm)</w:t>
            </w:r>
          </w:p>
        </w:tc>
        <w:tc>
          <w:tcPr>
            <w:tcW w:w="180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径流量(亿m</w:t>
            </w:r>
            <w:r>
              <w:rPr>
                <w:kern w:val="0"/>
                <w:sz w:val="18"/>
                <w:szCs w:val="18"/>
                <w:vertAlign w:val="superscript"/>
              </w:rPr>
              <w:t>3</w:t>
            </w:r>
            <w:r>
              <w:rPr>
                <w:kern w:val="0"/>
                <w:sz w:val="18"/>
                <w:szCs w:val="18"/>
              </w:rPr>
              <w:t>)</w:t>
            </w:r>
          </w:p>
        </w:tc>
        <w:tc>
          <w:tcPr>
            <w:tcW w:w="180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占全市比例%</w:t>
            </w:r>
          </w:p>
        </w:tc>
      </w:tr>
      <w:tr>
        <w:tblPrEx>
          <w:tblCellMar>
            <w:top w:w="0" w:type="dxa"/>
            <w:left w:w="108" w:type="dxa"/>
            <w:bottom w:w="0" w:type="dxa"/>
            <w:right w:w="108" w:type="dxa"/>
          </w:tblCellMar>
        </w:tblPrEx>
        <w:trPr>
          <w:trHeight w:val="397" w:hRule="atLeast"/>
          <w:jc w:val="center"/>
        </w:trPr>
        <w:tc>
          <w:tcPr>
            <w:tcW w:w="136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1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王蚌区间南岸</w:t>
            </w:r>
          </w:p>
        </w:tc>
        <w:tc>
          <w:tcPr>
            <w:tcW w:w="180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558.2</w:t>
            </w:r>
          </w:p>
        </w:tc>
        <w:tc>
          <w:tcPr>
            <w:tcW w:w="180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68.49</w:t>
            </w:r>
          </w:p>
        </w:tc>
        <w:tc>
          <w:tcPr>
            <w:tcW w:w="1805" w:type="dxa"/>
            <w:tcBorders>
              <w:top w:val="nil"/>
              <w:left w:val="nil"/>
              <w:bottom w:val="single" w:color="auto" w:sz="4" w:space="0"/>
              <w:right w:val="single" w:color="auto" w:sz="4" w:space="0"/>
            </w:tcBorders>
            <w:vAlign w:val="center"/>
          </w:tcPr>
          <w:p>
            <w:pPr>
              <w:spacing w:line="240" w:lineRule="exact"/>
              <w:jc w:val="center"/>
              <w:rPr>
                <w:sz w:val="18"/>
                <w:szCs w:val="18"/>
              </w:rPr>
            </w:pPr>
            <w:r>
              <w:rPr>
                <w:color w:val="000000"/>
                <w:sz w:val="18"/>
                <w:szCs w:val="18"/>
              </w:rPr>
              <w:t>79.5</w:t>
            </w:r>
          </w:p>
        </w:tc>
      </w:tr>
      <w:tr>
        <w:tblPrEx>
          <w:tblCellMar>
            <w:top w:w="0" w:type="dxa"/>
            <w:left w:w="108" w:type="dxa"/>
            <w:bottom w:w="0" w:type="dxa"/>
            <w:right w:w="108" w:type="dxa"/>
          </w:tblCellMar>
        </w:tblPrEx>
        <w:trPr>
          <w:trHeight w:val="397" w:hRule="atLeast"/>
          <w:jc w:val="center"/>
        </w:trPr>
        <w:tc>
          <w:tcPr>
            <w:tcW w:w="136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1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巢滁皖及沿江诸河</w:t>
            </w:r>
          </w:p>
        </w:tc>
        <w:tc>
          <w:tcPr>
            <w:tcW w:w="180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571.8</w:t>
            </w:r>
          </w:p>
        </w:tc>
        <w:tc>
          <w:tcPr>
            <w:tcW w:w="180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17.61</w:t>
            </w:r>
          </w:p>
        </w:tc>
        <w:tc>
          <w:tcPr>
            <w:tcW w:w="1805" w:type="dxa"/>
            <w:tcBorders>
              <w:top w:val="nil"/>
              <w:left w:val="nil"/>
              <w:bottom w:val="single" w:color="auto" w:sz="4" w:space="0"/>
              <w:right w:val="single" w:color="auto" w:sz="4" w:space="0"/>
            </w:tcBorders>
            <w:vAlign w:val="center"/>
          </w:tcPr>
          <w:p>
            <w:pPr>
              <w:spacing w:line="240" w:lineRule="exact"/>
              <w:jc w:val="center"/>
              <w:rPr>
                <w:sz w:val="18"/>
                <w:szCs w:val="18"/>
              </w:rPr>
            </w:pPr>
            <w:r>
              <w:rPr>
                <w:color w:val="000000"/>
                <w:sz w:val="18"/>
                <w:szCs w:val="18"/>
              </w:rPr>
              <w:t>20.5</w:t>
            </w:r>
          </w:p>
        </w:tc>
      </w:tr>
      <w:tr>
        <w:tblPrEx>
          <w:tblCellMar>
            <w:top w:w="0" w:type="dxa"/>
            <w:left w:w="108" w:type="dxa"/>
            <w:bottom w:w="0" w:type="dxa"/>
            <w:right w:w="108" w:type="dxa"/>
          </w:tblCellMar>
        </w:tblPrEx>
        <w:trPr>
          <w:trHeight w:val="397"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p>
        </w:tc>
        <w:tc>
          <w:tcPr>
            <w:tcW w:w="1803"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561.0</w:t>
            </w:r>
          </w:p>
        </w:tc>
        <w:tc>
          <w:tcPr>
            <w:tcW w:w="180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86.11</w:t>
            </w:r>
          </w:p>
        </w:tc>
        <w:tc>
          <w:tcPr>
            <w:tcW w:w="1805" w:type="dxa"/>
            <w:tcBorders>
              <w:top w:val="nil"/>
              <w:left w:val="nil"/>
              <w:bottom w:val="single" w:color="auto" w:sz="4" w:space="0"/>
              <w:right w:val="single" w:color="auto" w:sz="4" w:space="0"/>
            </w:tcBorders>
            <w:vAlign w:val="center"/>
          </w:tcPr>
          <w:p>
            <w:pPr>
              <w:spacing w:line="240" w:lineRule="exact"/>
              <w:jc w:val="center"/>
              <w:rPr>
                <w:sz w:val="18"/>
                <w:szCs w:val="18"/>
              </w:rPr>
            </w:pPr>
            <w:r>
              <w:rPr>
                <w:color w:val="000000"/>
                <w:sz w:val="18"/>
                <w:szCs w:val="18"/>
              </w:rPr>
              <w:t>　</w:t>
            </w:r>
          </w:p>
        </w:tc>
      </w:tr>
    </w:tbl>
    <w:p>
      <w:pPr>
        <w:spacing w:before="156" w:beforeLines="50" w:line="360" w:lineRule="auto"/>
        <w:jc w:val="center"/>
        <w:rPr>
          <w:b/>
          <w:sz w:val="24"/>
        </w:rPr>
      </w:pPr>
      <w:r>
        <w:rPr>
          <w:b/>
          <w:sz w:val="24"/>
        </w:rPr>
        <w:t>表3.1.11  六安市行政县区地表水资源量统计表</w:t>
      </w:r>
    </w:p>
    <w:tbl>
      <w:tblPr>
        <w:tblStyle w:val="36"/>
        <w:tblW w:w="8435" w:type="dxa"/>
        <w:jc w:val="center"/>
        <w:tblLayout w:type="fixed"/>
        <w:tblCellMar>
          <w:top w:w="0" w:type="dxa"/>
          <w:left w:w="108" w:type="dxa"/>
          <w:bottom w:w="0" w:type="dxa"/>
          <w:right w:w="108" w:type="dxa"/>
        </w:tblCellMar>
      </w:tblPr>
      <w:tblGrid>
        <w:gridCol w:w="2547"/>
        <w:gridCol w:w="1962"/>
        <w:gridCol w:w="1964"/>
        <w:gridCol w:w="1962"/>
      </w:tblGrid>
      <w:tr>
        <w:tblPrEx>
          <w:tblCellMar>
            <w:top w:w="0" w:type="dxa"/>
            <w:left w:w="108" w:type="dxa"/>
            <w:bottom w:w="0" w:type="dxa"/>
            <w:right w:w="108" w:type="dxa"/>
          </w:tblCellMar>
        </w:tblPrEx>
        <w:trPr>
          <w:trHeight w:val="397" w:hRule="atLeast"/>
          <w:tblHeader/>
          <w:jc w:val="center"/>
        </w:trPr>
        <w:tc>
          <w:tcPr>
            <w:tcW w:w="2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行政县区</w:t>
            </w:r>
          </w:p>
        </w:tc>
        <w:tc>
          <w:tcPr>
            <w:tcW w:w="58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多年平均值</w:t>
            </w:r>
          </w:p>
        </w:tc>
      </w:tr>
      <w:tr>
        <w:tblPrEx>
          <w:tblCellMar>
            <w:top w:w="0" w:type="dxa"/>
            <w:left w:w="108" w:type="dxa"/>
            <w:bottom w:w="0" w:type="dxa"/>
            <w:right w:w="108" w:type="dxa"/>
          </w:tblCellMar>
        </w:tblPrEx>
        <w:trPr>
          <w:trHeight w:val="397" w:hRule="atLeast"/>
          <w:tblHeader/>
          <w:jc w:val="center"/>
        </w:trPr>
        <w:tc>
          <w:tcPr>
            <w:tcW w:w="25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径流深(mm)</w:t>
            </w:r>
          </w:p>
        </w:tc>
        <w:tc>
          <w:tcPr>
            <w:tcW w:w="19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径流量(亿m</w:t>
            </w:r>
            <w:r>
              <w:rPr>
                <w:kern w:val="0"/>
                <w:sz w:val="18"/>
                <w:szCs w:val="18"/>
                <w:vertAlign w:val="superscript"/>
              </w:rPr>
              <w:t>3</w:t>
            </w:r>
            <w:r>
              <w:rPr>
                <w:kern w:val="0"/>
                <w:sz w:val="18"/>
                <w:szCs w:val="18"/>
              </w:rPr>
              <w:t>)</w:t>
            </w:r>
          </w:p>
        </w:tc>
        <w:tc>
          <w:tcPr>
            <w:tcW w:w="19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占全市比例%</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金安区</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413.7</w:t>
            </w:r>
          </w:p>
        </w:tc>
        <w:tc>
          <w:tcPr>
            <w:tcW w:w="196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6.86</w:t>
            </w:r>
          </w:p>
        </w:tc>
        <w:tc>
          <w:tcPr>
            <w:tcW w:w="196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8.0</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裕安区</w:t>
            </w:r>
          </w:p>
        </w:tc>
        <w:tc>
          <w:tcPr>
            <w:tcW w:w="1962"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508.7</w:t>
            </w:r>
          </w:p>
        </w:tc>
        <w:tc>
          <w:tcPr>
            <w:tcW w:w="19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9.80</w:t>
            </w:r>
          </w:p>
        </w:tc>
        <w:tc>
          <w:tcPr>
            <w:tcW w:w="196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11.4</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叶集区</w:t>
            </w:r>
          </w:p>
        </w:tc>
        <w:tc>
          <w:tcPr>
            <w:tcW w:w="1962"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487.8</w:t>
            </w:r>
          </w:p>
        </w:tc>
        <w:tc>
          <w:tcPr>
            <w:tcW w:w="19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2.77</w:t>
            </w:r>
          </w:p>
        </w:tc>
        <w:tc>
          <w:tcPr>
            <w:tcW w:w="196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3.2</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霍邱县</w:t>
            </w:r>
          </w:p>
        </w:tc>
        <w:tc>
          <w:tcPr>
            <w:tcW w:w="1962"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285.6</w:t>
            </w:r>
          </w:p>
        </w:tc>
        <w:tc>
          <w:tcPr>
            <w:tcW w:w="19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9.26</w:t>
            </w:r>
          </w:p>
        </w:tc>
        <w:tc>
          <w:tcPr>
            <w:tcW w:w="196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10.8</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舒城县</w:t>
            </w:r>
          </w:p>
        </w:tc>
        <w:tc>
          <w:tcPr>
            <w:tcW w:w="1962"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630.5</w:t>
            </w:r>
          </w:p>
        </w:tc>
        <w:tc>
          <w:tcPr>
            <w:tcW w:w="19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13.24</w:t>
            </w:r>
          </w:p>
        </w:tc>
        <w:tc>
          <w:tcPr>
            <w:tcW w:w="196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15.4</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金寨县</w:t>
            </w:r>
          </w:p>
        </w:tc>
        <w:tc>
          <w:tcPr>
            <w:tcW w:w="1962"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717.2</w:t>
            </w:r>
          </w:p>
        </w:tc>
        <w:tc>
          <w:tcPr>
            <w:tcW w:w="19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27.36</w:t>
            </w:r>
          </w:p>
        </w:tc>
        <w:tc>
          <w:tcPr>
            <w:tcW w:w="196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31.8</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霍山县</w:t>
            </w:r>
          </w:p>
        </w:tc>
        <w:tc>
          <w:tcPr>
            <w:tcW w:w="1962"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823.8</w:t>
            </w:r>
          </w:p>
        </w:tc>
        <w:tc>
          <w:tcPr>
            <w:tcW w:w="19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16.83</w:t>
            </w:r>
          </w:p>
        </w:tc>
        <w:tc>
          <w:tcPr>
            <w:tcW w:w="196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19.5</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962"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561.0</w:t>
            </w:r>
          </w:p>
        </w:tc>
        <w:tc>
          <w:tcPr>
            <w:tcW w:w="19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86.11</w:t>
            </w:r>
          </w:p>
        </w:tc>
        <w:tc>
          <w:tcPr>
            <w:tcW w:w="196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w:t>
            </w:r>
          </w:p>
        </w:tc>
      </w:tr>
    </w:tbl>
    <w:p>
      <w:pPr>
        <w:spacing w:line="360" w:lineRule="auto"/>
        <w:ind w:left="-2" w:leftChars="-1"/>
        <w:jc w:val="center"/>
        <w:rPr>
          <w:b/>
          <w:color w:val="FF0000"/>
          <w:sz w:val="24"/>
        </w:rPr>
      </w:pPr>
    </w:p>
    <w:p>
      <w:pPr>
        <w:spacing w:line="360" w:lineRule="auto"/>
        <w:ind w:left="-2" w:leftChars="-1"/>
        <w:jc w:val="center"/>
        <w:rPr>
          <w:b/>
          <w:color w:val="FF0000"/>
          <w:sz w:val="24"/>
        </w:rPr>
      </w:pPr>
      <w:r>
        <w:drawing>
          <wp:inline distT="0" distB="0" distL="0" distR="0">
            <wp:extent cx="5394960" cy="2937510"/>
            <wp:effectExtent l="4445" t="4445" r="1079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left="-2" w:leftChars="-1"/>
        <w:jc w:val="center"/>
        <w:rPr>
          <w:b/>
          <w:sz w:val="24"/>
        </w:rPr>
      </w:pPr>
      <w:r>
        <w:rPr>
          <w:b/>
          <w:sz w:val="24"/>
        </w:rPr>
        <w:t>图3.1.1  六安市行政县区同步期平均径流深分布图</w:t>
      </w:r>
    </w:p>
    <w:p>
      <w:pPr>
        <w:spacing w:line="360" w:lineRule="auto"/>
        <w:jc w:val="center"/>
        <w:rPr>
          <w:b/>
          <w:sz w:val="24"/>
        </w:rPr>
      </w:pPr>
      <w:r>
        <w:drawing>
          <wp:inline distT="0" distB="0" distL="0" distR="0">
            <wp:extent cx="5417820" cy="2743200"/>
            <wp:effectExtent l="0" t="0" r="1143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jc w:val="center"/>
        <w:rPr>
          <w:sz w:val="24"/>
        </w:rPr>
      </w:pPr>
      <w:r>
        <w:rPr>
          <w:b/>
          <w:sz w:val="24"/>
        </w:rPr>
        <w:t>图3.1.2  六安市行政县区地表水资源量占全市比例示意图</w:t>
      </w:r>
    </w:p>
    <w:p>
      <w:pPr>
        <w:spacing w:line="360" w:lineRule="auto"/>
        <w:ind w:firstLine="480" w:firstLineChars="200"/>
        <w:rPr>
          <w:sz w:val="24"/>
        </w:rPr>
      </w:pPr>
      <w:r>
        <w:rPr>
          <w:b/>
          <w:sz w:val="24"/>
        </w:rPr>
        <w:t>不同频率地表水资源量：</w:t>
      </w:r>
      <w:r>
        <w:rPr>
          <w:sz w:val="24"/>
        </w:rPr>
        <w:t>当P=20%偏丰年时，六安市地表水资源量为109.92亿m</w:t>
      </w:r>
      <w:r>
        <w:rPr>
          <w:sz w:val="24"/>
          <w:vertAlign w:val="superscript"/>
        </w:rPr>
        <w:t>3</w:t>
      </w:r>
      <w:r>
        <w:rPr>
          <w:sz w:val="24"/>
        </w:rPr>
        <w:t>，六安市淮河流域地表水资源量为87.47亿m</w:t>
      </w:r>
      <w:r>
        <w:rPr>
          <w:sz w:val="24"/>
          <w:vertAlign w:val="superscript"/>
        </w:rPr>
        <w:t>3</w:t>
      </w:r>
      <w:r>
        <w:rPr>
          <w:sz w:val="24"/>
        </w:rPr>
        <w:t>，六安市长江流域地表水资源量为22.49亿m</w:t>
      </w:r>
      <w:r>
        <w:rPr>
          <w:sz w:val="24"/>
          <w:vertAlign w:val="superscript"/>
        </w:rPr>
        <w:t>3</w:t>
      </w:r>
      <w:r>
        <w:rPr>
          <w:sz w:val="24"/>
        </w:rPr>
        <w:t>。</w:t>
      </w:r>
    </w:p>
    <w:p>
      <w:pPr>
        <w:spacing w:line="360" w:lineRule="auto"/>
        <w:ind w:firstLine="480" w:firstLineChars="200"/>
        <w:rPr>
          <w:sz w:val="24"/>
        </w:rPr>
      </w:pPr>
      <w:r>
        <w:rPr>
          <w:sz w:val="24"/>
        </w:rPr>
        <w:t>当P=50%平水年时，六安市地表水资源量为82.61亿m</w:t>
      </w:r>
      <w:r>
        <w:rPr>
          <w:sz w:val="24"/>
          <w:vertAlign w:val="superscript"/>
        </w:rPr>
        <w:t>3</w:t>
      </w:r>
      <w:r>
        <w:rPr>
          <w:sz w:val="24"/>
        </w:rPr>
        <w:t>，六安市淮河流域地表水资源量为65.69亿m</w:t>
      </w:r>
      <w:r>
        <w:rPr>
          <w:sz w:val="24"/>
          <w:vertAlign w:val="superscript"/>
        </w:rPr>
        <w:t>3</w:t>
      </w:r>
      <w:r>
        <w:rPr>
          <w:sz w:val="24"/>
        </w:rPr>
        <w:t>，六安市长江流域地表水资源量为16.89亿m</w:t>
      </w:r>
      <w:r>
        <w:rPr>
          <w:sz w:val="24"/>
          <w:vertAlign w:val="superscript"/>
        </w:rPr>
        <w:t>3</w:t>
      </w:r>
      <w:r>
        <w:rPr>
          <w:sz w:val="24"/>
        </w:rPr>
        <w:t>。各分区水资源量均略小于同步期多年平均值。</w:t>
      </w:r>
    </w:p>
    <w:p>
      <w:pPr>
        <w:spacing w:line="360" w:lineRule="auto"/>
        <w:ind w:firstLine="480" w:firstLineChars="200"/>
        <w:rPr>
          <w:sz w:val="24"/>
        </w:rPr>
      </w:pPr>
      <w:r>
        <w:rPr>
          <w:sz w:val="24"/>
        </w:rPr>
        <w:t>当P=75%的偏枯年，六安市地表水资源量为64.35亿m</w:t>
      </w:r>
      <w:r>
        <w:rPr>
          <w:sz w:val="24"/>
          <w:vertAlign w:val="superscript"/>
        </w:rPr>
        <w:t>3</w:t>
      </w:r>
      <w:r>
        <w:rPr>
          <w:sz w:val="24"/>
        </w:rPr>
        <w:t>，是同步期均值的75%，六安市淮河流域地表水资源量为51.17亿m</w:t>
      </w:r>
      <w:r>
        <w:rPr>
          <w:sz w:val="24"/>
          <w:vertAlign w:val="superscript"/>
        </w:rPr>
        <w:t>3</w:t>
      </w:r>
      <w:r>
        <w:rPr>
          <w:sz w:val="24"/>
        </w:rPr>
        <w:t>，六安市长江流域地表水资源量为13.16亿m</w:t>
      </w:r>
      <w:r>
        <w:rPr>
          <w:sz w:val="24"/>
          <w:vertAlign w:val="superscript"/>
        </w:rPr>
        <w:t>3</w:t>
      </w:r>
      <w:r>
        <w:rPr>
          <w:sz w:val="24"/>
        </w:rPr>
        <w:t>。</w:t>
      </w:r>
    </w:p>
    <w:p>
      <w:pPr>
        <w:spacing w:line="360" w:lineRule="auto"/>
        <w:ind w:firstLine="480" w:firstLineChars="200"/>
        <w:rPr>
          <w:sz w:val="24"/>
        </w:rPr>
      </w:pPr>
      <w:r>
        <w:rPr>
          <w:sz w:val="24"/>
        </w:rPr>
        <w:t>当P=95%的枯水年，六安市地表水资源量为43.22亿m</w:t>
      </w:r>
      <w:r>
        <w:rPr>
          <w:sz w:val="24"/>
          <w:vertAlign w:val="superscript"/>
        </w:rPr>
        <w:t>3</w:t>
      </w:r>
      <w:r>
        <w:rPr>
          <w:sz w:val="24"/>
        </w:rPr>
        <w:t>，是同步期均值的50%，六安市淮河流域地表水资源量为34.38亿m</w:t>
      </w:r>
      <w:r>
        <w:rPr>
          <w:sz w:val="24"/>
          <w:vertAlign w:val="superscript"/>
        </w:rPr>
        <w:t>3</w:t>
      </w:r>
      <w:r>
        <w:rPr>
          <w:sz w:val="24"/>
        </w:rPr>
        <w:t>，六安市长江流域地表水资源量为8.84亿m</w:t>
      </w:r>
      <w:r>
        <w:rPr>
          <w:sz w:val="24"/>
          <w:vertAlign w:val="superscript"/>
        </w:rPr>
        <w:t>3</w:t>
      </w:r>
      <w:r>
        <w:rPr>
          <w:sz w:val="24"/>
        </w:rPr>
        <w:t>。</w:t>
      </w:r>
    </w:p>
    <w:p>
      <w:pPr>
        <w:spacing w:line="360" w:lineRule="auto"/>
        <w:ind w:firstLine="480" w:firstLineChars="200"/>
        <w:rPr>
          <w:sz w:val="24"/>
        </w:rPr>
      </w:pPr>
      <w:r>
        <w:rPr>
          <w:sz w:val="24"/>
        </w:rPr>
        <w:t>六安市水资源分区及行政县区不同频率地表水资源量见表3.1.12、表3.1.13。</w:t>
      </w:r>
    </w:p>
    <w:p>
      <w:pPr>
        <w:tabs>
          <w:tab w:val="left" w:pos="1485"/>
        </w:tabs>
        <w:spacing w:before="156" w:beforeLines="50" w:line="360" w:lineRule="auto"/>
        <w:ind w:firstLine="480" w:firstLineChars="200"/>
        <w:rPr>
          <w:b/>
          <w:sz w:val="24"/>
        </w:rPr>
      </w:pPr>
      <w:r>
        <w:rPr>
          <w:b/>
          <w:sz w:val="24"/>
        </w:rPr>
        <w:t>（二）不同时期地表水资源量对比分析</w:t>
      </w:r>
    </w:p>
    <w:p>
      <w:pPr>
        <w:tabs>
          <w:tab w:val="left" w:pos="1485"/>
        </w:tabs>
        <w:spacing w:line="360" w:lineRule="auto"/>
        <w:ind w:firstLine="480" w:firstLineChars="200"/>
        <w:rPr>
          <w:sz w:val="24"/>
        </w:rPr>
      </w:pPr>
      <w:r>
        <w:rPr>
          <w:sz w:val="24"/>
        </w:rPr>
        <w:t>本次采用的对比系列为1956～2016和1980～2016两个系列。经对比分析，六安市多年平均径流深1980～2016年系列值总体偏丰，多年平均地表水资源径流深全市增加28.8 mm。详见表3.1.14、图3.1.3。</w:t>
      </w:r>
    </w:p>
    <w:p>
      <w:pPr>
        <w:spacing w:line="360" w:lineRule="auto"/>
        <w:ind w:firstLine="480" w:firstLineChars="200"/>
        <w:rPr>
          <w:sz w:val="24"/>
        </w:rPr>
      </w:pPr>
      <w:r>
        <w:rPr>
          <w:sz w:val="24"/>
        </w:rPr>
        <w:t>通过不同时期多年平均地表水资源量对比分析，近期1980～2016年系列较1956～2016年系列地表水资源量略有增加，但差别不大。</w:t>
      </w:r>
    </w:p>
    <w:p>
      <w:pPr>
        <w:spacing w:line="360" w:lineRule="auto"/>
        <w:jc w:val="center"/>
        <w:rPr>
          <w:b/>
          <w:sz w:val="24"/>
        </w:rPr>
      </w:pPr>
      <w:r>
        <w:rPr>
          <w:b/>
          <w:sz w:val="24"/>
        </w:rPr>
        <w:t>表3.1.12  六安市同步期水资源分区地表水资源量成果表</w:t>
      </w:r>
    </w:p>
    <w:tbl>
      <w:tblPr>
        <w:tblStyle w:val="36"/>
        <w:tblW w:w="8435" w:type="dxa"/>
        <w:jc w:val="center"/>
        <w:tblLayout w:type="fixed"/>
        <w:tblCellMar>
          <w:top w:w="0" w:type="dxa"/>
          <w:left w:w="108" w:type="dxa"/>
          <w:bottom w:w="0" w:type="dxa"/>
          <w:right w:w="108" w:type="dxa"/>
        </w:tblCellMar>
      </w:tblPr>
      <w:tblGrid>
        <w:gridCol w:w="745"/>
        <w:gridCol w:w="1797"/>
        <w:gridCol w:w="1058"/>
        <w:gridCol w:w="1059"/>
        <w:gridCol w:w="945"/>
        <w:gridCol w:w="945"/>
        <w:gridCol w:w="945"/>
        <w:gridCol w:w="941"/>
      </w:tblGrid>
      <w:tr>
        <w:tblPrEx>
          <w:tblCellMar>
            <w:top w:w="0" w:type="dxa"/>
            <w:left w:w="108" w:type="dxa"/>
            <w:bottom w:w="0" w:type="dxa"/>
            <w:right w:w="108" w:type="dxa"/>
          </w:tblCellMar>
        </w:tblPrEx>
        <w:trPr>
          <w:trHeight w:val="340" w:hRule="atLeast"/>
          <w:tblHeader/>
          <w:jc w:val="center"/>
        </w:trPr>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17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三级分区</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年径流量参数</w:t>
            </w:r>
          </w:p>
        </w:tc>
        <w:tc>
          <w:tcPr>
            <w:tcW w:w="377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不同频率年径流量(亿m</w:t>
            </w:r>
            <w:r>
              <w:rPr>
                <w:kern w:val="0"/>
                <w:sz w:val="18"/>
                <w:szCs w:val="18"/>
                <w:vertAlign w:val="superscript"/>
              </w:rPr>
              <w:t>3</w:t>
            </w:r>
            <w:r>
              <w:rPr>
                <w:kern w:val="0"/>
                <w:sz w:val="18"/>
                <w:szCs w:val="18"/>
              </w:rPr>
              <w:t>)</w:t>
            </w:r>
          </w:p>
        </w:tc>
      </w:tr>
      <w:tr>
        <w:tblPrEx>
          <w:tblCellMar>
            <w:top w:w="0" w:type="dxa"/>
            <w:left w:w="108" w:type="dxa"/>
            <w:bottom w:w="0" w:type="dxa"/>
            <w:right w:w="108" w:type="dxa"/>
          </w:tblCellMar>
        </w:tblPrEx>
        <w:trPr>
          <w:trHeight w:val="340" w:hRule="atLeast"/>
          <w:tblHeader/>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5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Cv</w:t>
            </w:r>
          </w:p>
        </w:tc>
        <w:tc>
          <w:tcPr>
            <w:tcW w:w="10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Cs/Cv</w:t>
            </w:r>
          </w:p>
        </w:tc>
        <w:tc>
          <w:tcPr>
            <w:tcW w:w="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20%</w:t>
            </w:r>
          </w:p>
        </w:tc>
        <w:tc>
          <w:tcPr>
            <w:tcW w:w="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50%</w:t>
            </w:r>
          </w:p>
        </w:tc>
        <w:tc>
          <w:tcPr>
            <w:tcW w:w="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75%</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95%</w:t>
            </w:r>
          </w:p>
        </w:tc>
      </w:tr>
      <w:tr>
        <w:tblPrEx>
          <w:tblCellMar>
            <w:top w:w="0" w:type="dxa"/>
            <w:left w:w="108" w:type="dxa"/>
            <w:bottom w:w="0" w:type="dxa"/>
            <w:right w:w="108" w:type="dxa"/>
          </w:tblCellMar>
        </w:tblPrEx>
        <w:trPr>
          <w:trHeight w:val="34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17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王蚌区间南岸</w:t>
            </w:r>
          </w:p>
        </w:tc>
        <w:tc>
          <w:tcPr>
            <w:tcW w:w="10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87.47</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65.69</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51.17</w:t>
            </w:r>
          </w:p>
        </w:tc>
        <w:tc>
          <w:tcPr>
            <w:tcW w:w="94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34.38</w:t>
            </w:r>
          </w:p>
        </w:tc>
      </w:tr>
      <w:tr>
        <w:tblPrEx>
          <w:tblCellMar>
            <w:top w:w="0" w:type="dxa"/>
            <w:left w:w="108" w:type="dxa"/>
            <w:bottom w:w="0" w:type="dxa"/>
            <w:right w:w="108" w:type="dxa"/>
          </w:tblCellMar>
        </w:tblPrEx>
        <w:trPr>
          <w:trHeight w:val="340" w:hRule="atLeast"/>
          <w:jc w:val="center"/>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17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巢滁皖及沿江诸河</w:t>
            </w:r>
          </w:p>
        </w:tc>
        <w:tc>
          <w:tcPr>
            <w:tcW w:w="10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22.49</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16.89</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13.16</w:t>
            </w:r>
          </w:p>
        </w:tc>
        <w:tc>
          <w:tcPr>
            <w:tcW w:w="94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8.84</w:t>
            </w:r>
          </w:p>
        </w:tc>
      </w:tr>
      <w:tr>
        <w:tblPrEx>
          <w:tblCellMar>
            <w:top w:w="0" w:type="dxa"/>
            <w:left w:w="108" w:type="dxa"/>
            <w:bottom w:w="0" w:type="dxa"/>
            <w:right w:w="108" w:type="dxa"/>
          </w:tblCellMar>
        </w:tblPrEx>
        <w:trPr>
          <w:trHeight w:val="34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p>
        </w:tc>
        <w:tc>
          <w:tcPr>
            <w:tcW w:w="10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0.35</w:t>
            </w:r>
          </w:p>
        </w:tc>
        <w:tc>
          <w:tcPr>
            <w:tcW w:w="105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109.92</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82.61</w:t>
            </w:r>
          </w:p>
        </w:tc>
        <w:tc>
          <w:tcPr>
            <w:tcW w:w="94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64.35</w:t>
            </w:r>
          </w:p>
        </w:tc>
        <w:tc>
          <w:tcPr>
            <w:tcW w:w="941"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43.22</w:t>
            </w:r>
          </w:p>
        </w:tc>
      </w:tr>
    </w:tbl>
    <w:p>
      <w:pPr>
        <w:spacing w:before="156" w:beforeLines="50" w:line="360" w:lineRule="auto"/>
        <w:jc w:val="center"/>
        <w:rPr>
          <w:b/>
          <w:sz w:val="24"/>
        </w:rPr>
      </w:pPr>
      <w:r>
        <w:rPr>
          <w:b/>
          <w:sz w:val="24"/>
        </w:rPr>
        <w:t>表3.1.13  六安市行政县区地表水资源量统计表</w:t>
      </w:r>
    </w:p>
    <w:tbl>
      <w:tblPr>
        <w:tblStyle w:val="36"/>
        <w:tblW w:w="8435" w:type="dxa"/>
        <w:jc w:val="center"/>
        <w:tblLayout w:type="fixed"/>
        <w:tblCellMar>
          <w:top w:w="0" w:type="dxa"/>
          <w:left w:w="108" w:type="dxa"/>
          <w:bottom w:w="0" w:type="dxa"/>
          <w:right w:w="108" w:type="dxa"/>
        </w:tblCellMar>
      </w:tblPr>
      <w:tblGrid>
        <w:gridCol w:w="1668"/>
        <w:gridCol w:w="1140"/>
        <w:gridCol w:w="1199"/>
        <w:gridCol w:w="1107"/>
        <w:gridCol w:w="1107"/>
        <w:gridCol w:w="1107"/>
        <w:gridCol w:w="1107"/>
      </w:tblGrid>
      <w:tr>
        <w:tblPrEx>
          <w:tblCellMar>
            <w:top w:w="0" w:type="dxa"/>
            <w:left w:w="108" w:type="dxa"/>
            <w:bottom w:w="0" w:type="dxa"/>
            <w:right w:w="108" w:type="dxa"/>
          </w:tblCellMar>
        </w:tblPrEx>
        <w:trPr>
          <w:trHeight w:val="340" w:hRule="atLeast"/>
          <w:tblHeader/>
          <w:jc w:val="center"/>
        </w:trPr>
        <w:tc>
          <w:tcPr>
            <w:tcW w:w="16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行政县区</w:t>
            </w:r>
          </w:p>
        </w:tc>
        <w:tc>
          <w:tcPr>
            <w:tcW w:w="23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年径流量参数</w:t>
            </w:r>
          </w:p>
        </w:tc>
        <w:tc>
          <w:tcPr>
            <w:tcW w:w="44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不同频率年径流量(亿m</w:t>
            </w:r>
            <w:r>
              <w:rPr>
                <w:kern w:val="0"/>
                <w:sz w:val="18"/>
                <w:szCs w:val="18"/>
                <w:vertAlign w:val="superscript"/>
              </w:rPr>
              <w:t>3</w:t>
            </w:r>
            <w:r>
              <w:rPr>
                <w:kern w:val="0"/>
                <w:sz w:val="18"/>
                <w:szCs w:val="18"/>
              </w:rPr>
              <w:t>)</w:t>
            </w:r>
          </w:p>
        </w:tc>
      </w:tr>
      <w:tr>
        <w:tblPrEx>
          <w:tblCellMar>
            <w:top w:w="0" w:type="dxa"/>
            <w:left w:w="108" w:type="dxa"/>
            <w:bottom w:w="0" w:type="dxa"/>
            <w:right w:w="108" w:type="dxa"/>
          </w:tblCellMar>
        </w:tblPrEx>
        <w:trPr>
          <w:trHeight w:val="340" w:hRule="atLeast"/>
          <w:tblHeader/>
          <w:jc w:val="center"/>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Cv</w:t>
            </w:r>
          </w:p>
        </w:tc>
        <w:tc>
          <w:tcPr>
            <w:tcW w:w="11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Cs/Cv</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20%</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50%</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75%</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95%</w:t>
            </w:r>
          </w:p>
        </w:tc>
      </w:tr>
      <w:tr>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金安区</w:t>
            </w:r>
          </w:p>
        </w:tc>
        <w:tc>
          <w:tcPr>
            <w:tcW w:w="1140"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0.43 </w:t>
            </w:r>
          </w:p>
        </w:tc>
        <w:tc>
          <w:tcPr>
            <w:tcW w:w="11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9.14</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6.44</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4.71</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2.82</w:t>
            </w:r>
          </w:p>
        </w:tc>
      </w:tr>
      <w:tr>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裕安区</w:t>
            </w:r>
          </w:p>
        </w:tc>
        <w:tc>
          <w:tcPr>
            <w:tcW w:w="1140"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0.44 </w:t>
            </w:r>
          </w:p>
        </w:tc>
        <w:tc>
          <w:tcPr>
            <w:tcW w:w="11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13.12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9.17</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6.65</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3.94</w:t>
            </w:r>
          </w:p>
        </w:tc>
      </w:tr>
      <w:tr>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叶集区</w:t>
            </w:r>
          </w:p>
        </w:tc>
        <w:tc>
          <w:tcPr>
            <w:tcW w:w="1140"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0.43 </w:t>
            </w:r>
          </w:p>
        </w:tc>
        <w:tc>
          <w:tcPr>
            <w:tcW w:w="11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3.69</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2.60</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1.90</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1.14</w:t>
            </w:r>
          </w:p>
        </w:tc>
      </w:tr>
      <w:tr>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霍邱县</w:t>
            </w:r>
          </w:p>
        </w:tc>
        <w:tc>
          <w:tcPr>
            <w:tcW w:w="1140"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0.44 </w:t>
            </w:r>
          </w:p>
        </w:tc>
        <w:tc>
          <w:tcPr>
            <w:tcW w:w="11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12.40</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8.67</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6.29</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3.72</w:t>
            </w:r>
          </w:p>
        </w:tc>
      </w:tr>
      <w:tr>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舒城县</w:t>
            </w:r>
          </w:p>
        </w:tc>
        <w:tc>
          <w:tcPr>
            <w:tcW w:w="1140"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0.35 </w:t>
            </w:r>
          </w:p>
        </w:tc>
        <w:tc>
          <w:tcPr>
            <w:tcW w:w="11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16.91</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12.70</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9.89</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6.65</w:t>
            </w:r>
          </w:p>
        </w:tc>
      </w:tr>
      <w:tr>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金寨县</w:t>
            </w:r>
          </w:p>
        </w:tc>
        <w:tc>
          <w:tcPr>
            <w:tcW w:w="1140"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0.37 </w:t>
            </w:r>
          </w:p>
        </w:tc>
        <w:tc>
          <w:tcPr>
            <w:tcW w:w="11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35.32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26.12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20.02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13.08</w:t>
            </w:r>
          </w:p>
        </w:tc>
      </w:tr>
      <w:tr>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霍山县</w:t>
            </w:r>
          </w:p>
        </w:tc>
        <w:tc>
          <w:tcPr>
            <w:tcW w:w="1140"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 xml:space="preserve">0.33 </w:t>
            </w:r>
          </w:p>
        </w:tc>
        <w:tc>
          <w:tcPr>
            <w:tcW w:w="11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21.24</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16.22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12.82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8.85</w:t>
            </w:r>
          </w:p>
        </w:tc>
      </w:tr>
      <w:tr>
        <w:tblPrEx>
          <w:tblCellMar>
            <w:top w:w="0" w:type="dxa"/>
            <w:left w:w="108" w:type="dxa"/>
            <w:bottom w:w="0" w:type="dxa"/>
            <w:right w:w="108" w:type="dxa"/>
          </w:tblCellMar>
        </w:tblPrEx>
        <w:trPr>
          <w:trHeight w:val="340" w:hRule="atLeast"/>
          <w:jc w:val="center"/>
        </w:trPr>
        <w:tc>
          <w:tcPr>
            <w:tcW w:w="1668"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全市</w:t>
            </w:r>
          </w:p>
        </w:tc>
        <w:tc>
          <w:tcPr>
            <w:tcW w:w="1140"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0.35</w:t>
            </w:r>
          </w:p>
        </w:tc>
        <w:tc>
          <w:tcPr>
            <w:tcW w:w="119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109.92</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82.61</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64.35</w:t>
            </w:r>
          </w:p>
        </w:tc>
        <w:tc>
          <w:tcPr>
            <w:tcW w:w="1107"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color w:val="000000"/>
                <w:sz w:val="18"/>
                <w:szCs w:val="18"/>
              </w:rPr>
              <w:t>43.22</w:t>
            </w:r>
          </w:p>
        </w:tc>
      </w:tr>
    </w:tbl>
    <w:p>
      <w:pPr>
        <w:spacing w:before="156" w:beforeLines="50" w:line="360" w:lineRule="auto"/>
        <w:jc w:val="center"/>
        <w:rPr>
          <w:b/>
          <w:sz w:val="24"/>
        </w:rPr>
      </w:pPr>
      <w:r>
        <w:rPr>
          <w:b/>
          <w:sz w:val="24"/>
        </w:rPr>
        <w:t>表3.1.14  六安市不同时期水资源分区地表水资源量</w:t>
      </w:r>
    </w:p>
    <w:tbl>
      <w:tblPr>
        <w:tblStyle w:val="36"/>
        <w:tblW w:w="8435" w:type="dxa"/>
        <w:jc w:val="center"/>
        <w:tblLayout w:type="fixed"/>
        <w:tblCellMar>
          <w:top w:w="0" w:type="dxa"/>
          <w:left w:w="108" w:type="dxa"/>
          <w:bottom w:w="0" w:type="dxa"/>
          <w:right w:w="108" w:type="dxa"/>
        </w:tblCellMar>
      </w:tblPr>
      <w:tblGrid>
        <w:gridCol w:w="913"/>
        <w:gridCol w:w="1790"/>
        <w:gridCol w:w="2280"/>
        <w:gridCol w:w="2222"/>
        <w:gridCol w:w="1230"/>
      </w:tblGrid>
      <w:tr>
        <w:tblPrEx>
          <w:tblCellMar>
            <w:top w:w="0" w:type="dxa"/>
            <w:left w:w="108" w:type="dxa"/>
            <w:bottom w:w="0" w:type="dxa"/>
            <w:right w:w="108" w:type="dxa"/>
          </w:tblCellMar>
        </w:tblPrEx>
        <w:trPr>
          <w:trHeight w:val="340" w:hRule="atLeast"/>
          <w:jc w:val="center"/>
        </w:trPr>
        <w:tc>
          <w:tcPr>
            <w:tcW w:w="27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流域分区</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1956-2016</w:t>
            </w:r>
          </w:p>
        </w:tc>
        <w:tc>
          <w:tcPr>
            <w:tcW w:w="22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1980-2016</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差值(mm)</w:t>
            </w:r>
          </w:p>
        </w:tc>
      </w:tr>
      <w:tr>
        <w:tblPrEx>
          <w:tblCellMar>
            <w:top w:w="0" w:type="dxa"/>
            <w:left w:w="108" w:type="dxa"/>
            <w:bottom w:w="0" w:type="dxa"/>
            <w:right w:w="108" w:type="dxa"/>
          </w:tblCellMar>
        </w:tblPrEx>
        <w:trPr>
          <w:trHeight w:val="340" w:hRule="atLeast"/>
          <w:jc w:val="center"/>
        </w:trPr>
        <w:tc>
          <w:tcPr>
            <w:tcW w:w="27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径流深(mm)</w:t>
            </w:r>
          </w:p>
        </w:tc>
        <w:tc>
          <w:tcPr>
            <w:tcW w:w="22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径流深(mm)</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40" w:hRule="atLeast"/>
          <w:jc w:val="center"/>
        </w:trPr>
        <w:tc>
          <w:tcPr>
            <w:tcW w:w="9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1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王蚌区间南岸</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558.2</w:t>
            </w:r>
          </w:p>
        </w:tc>
        <w:tc>
          <w:tcPr>
            <w:tcW w:w="22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587.2</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-29.0 </w:t>
            </w:r>
          </w:p>
        </w:tc>
      </w:tr>
      <w:tr>
        <w:tblPrEx>
          <w:tblCellMar>
            <w:top w:w="0" w:type="dxa"/>
            <w:left w:w="108" w:type="dxa"/>
            <w:bottom w:w="0" w:type="dxa"/>
            <w:right w:w="108" w:type="dxa"/>
          </w:tblCellMar>
        </w:tblPrEx>
        <w:trPr>
          <w:trHeight w:val="340" w:hRule="atLeast"/>
          <w:jc w:val="center"/>
        </w:trPr>
        <w:tc>
          <w:tcPr>
            <w:tcW w:w="91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17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巢滁皖及沿江诸河</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571.8</w:t>
            </w:r>
          </w:p>
        </w:tc>
        <w:tc>
          <w:tcPr>
            <w:tcW w:w="22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600.1</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-28.3 </w:t>
            </w:r>
          </w:p>
        </w:tc>
      </w:tr>
      <w:tr>
        <w:tblPrEx>
          <w:tblCellMar>
            <w:top w:w="0" w:type="dxa"/>
            <w:left w:w="108" w:type="dxa"/>
            <w:bottom w:w="0" w:type="dxa"/>
            <w:right w:w="108" w:type="dxa"/>
          </w:tblCellMar>
        </w:tblPrEx>
        <w:trPr>
          <w:trHeight w:val="340"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561.0</w:t>
            </w:r>
          </w:p>
        </w:tc>
        <w:tc>
          <w:tcPr>
            <w:tcW w:w="22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589.8</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-28.8 </w:t>
            </w:r>
          </w:p>
        </w:tc>
      </w:tr>
    </w:tbl>
    <w:p>
      <w:pPr>
        <w:jc w:val="left"/>
        <w:rPr>
          <w:b/>
          <w:color w:val="FF0000"/>
          <w:sz w:val="24"/>
        </w:rPr>
      </w:pPr>
    </w:p>
    <w:p>
      <w:pPr>
        <w:tabs>
          <w:tab w:val="left" w:pos="1485"/>
        </w:tabs>
        <w:spacing w:before="156" w:beforeLines="50" w:line="360" w:lineRule="auto"/>
        <w:jc w:val="center"/>
        <w:rPr>
          <w:b/>
          <w:color w:val="FF0000"/>
          <w:sz w:val="24"/>
        </w:rPr>
      </w:pPr>
      <w:r>
        <w:drawing>
          <wp:inline distT="0" distB="0" distL="0" distR="0">
            <wp:extent cx="5379720" cy="2484120"/>
            <wp:effectExtent l="4445" t="4445" r="6985"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tabs>
          <w:tab w:val="left" w:pos="1485"/>
        </w:tabs>
        <w:spacing w:line="360" w:lineRule="auto"/>
        <w:jc w:val="center"/>
        <w:rPr>
          <w:b/>
          <w:sz w:val="24"/>
        </w:rPr>
      </w:pPr>
      <w:r>
        <w:rPr>
          <w:b/>
          <w:sz w:val="24"/>
        </w:rPr>
        <w:t>图3.1.3  六安市各流域不同时期平均径流深对照图</w:t>
      </w:r>
    </w:p>
    <w:p>
      <w:pPr>
        <w:pStyle w:val="4"/>
        <w:spacing w:before="156" w:beforeLines="50" w:after="156" w:afterLines="50" w:line="360" w:lineRule="auto"/>
        <w:rPr>
          <w:sz w:val="28"/>
        </w:rPr>
      </w:pPr>
      <w:bookmarkStart w:id="177" w:name="_Toc382472197"/>
      <w:bookmarkStart w:id="178" w:name="_Toc432782525"/>
      <w:bookmarkStart w:id="179" w:name="_Toc95382461"/>
      <w:bookmarkStart w:id="180" w:name="_Toc324432033"/>
      <w:r>
        <w:rPr>
          <w:sz w:val="28"/>
        </w:rPr>
        <w:t>四、地下水资源</w:t>
      </w:r>
      <w:bookmarkEnd w:id="177"/>
      <w:bookmarkEnd w:id="178"/>
      <w:bookmarkEnd w:id="179"/>
      <w:bookmarkEnd w:id="180"/>
    </w:p>
    <w:p>
      <w:pPr>
        <w:spacing w:line="360" w:lineRule="auto"/>
        <w:ind w:firstLine="480" w:firstLineChars="200"/>
        <w:rPr>
          <w:sz w:val="24"/>
        </w:rPr>
      </w:pPr>
      <w:r>
        <w:rPr>
          <w:sz w:val="24"/>
        </w:rPr>
        <w:t>地下水是指赋存于地面以下饱水带岩土空隙中的重力水。本次评价的地下水资源量是指与当地降水和地表水体有直接水力联系、参与水循环且可以逐年更新的动态水量，即浅层地下水资源量。</w:t>
      </w:r>
    </w:p>
    <w:p>
      <w:pPr>
        <w:spacing w:line="360" w:lineRule="auto"/>
        <w:ind w:firstLine="480" w:firstLineChars="200"/>
        <w:rPr>
          <w:sz w:val="24"/>
        </w:rPr>
      </w:pPr>
      <w:bookmarkStart w:id="181" w:name="_Hlk58488907"/>
      <w:r>
        <w:rPr>
          <w:sz w:val="24"/>
        </w:rPr>
        <w:t>本次修编评价采用安徽省第三次水资源调查评价成果，仅对近期下垫面条件下</w:t>
      </w:r>
      <w:bookmarkEnd w:id="181"/>
      <w:r>
        <w:rPr>
          <w:sz w:val="24"/>
        </w:rPr>
        <w:t>多年平均（2001～2016年）浅层地下水资源量及其分布特征进行评价。</w:t>
      </w:r>
    </w:p>
    <w:p>
      <w:pPr>
        <w:spacing w:line="360" w:lineRule="auto"/>
        <w:ind w:firstLine="480" w:firstLineChars="200"/>
        <w:rPr>
          <w:sz w:val="24"/>
        </w:rPr>
      </w:pPr>
      <w:r>
        <w:rPr>
          <w:sz w:val="24"/>
        </w:rPr>
        <w:t>地下水资源量分为山丘区和平原区地下水资源量。</w:t>
      </w:r>
    </w:p>
    <w:p>
      <w:pPr>
        <w:spacing w:line="360" w:lineRule="auto"/>
        <w:ind w:firstLine="480" w:firstLineChars="200"/>
        <w:rPr>
          <w:sz w:val="24"/>
        </w:rPr>
      </w:pPr>
      <w:r>
        <w:rPr>
          <w:sz w:val="24"/>
        </w:rPr>
        <w:t>平原区地下水资源量评价采用补给量法计算，补给量包括降水入渗补给量、山前侧向补给量、地表水体补给量、井灌回归补给量、其他补给量，各项补给量之和为总补给量，总补给量扣除井灌回归补给量为地下水资源量。安徽省淮河以南平原区缺乏连续的浅层地下水水位动态观测资料和水文地质资料，且大多数平原区浅层地下水的开发利用程度很低，难以按淮河以北平原区的要求全面进行各项补给量、排泄量和蓄变量计算，因此本次评价平原区地下水资源量进行适当简化计算。</w:t>
      </w:r>
    </w:p>
    <w:p>
      <w:pPr>
        <w:spacing w:line="360" w:lineRule="auto"/>
        <w:ind w:firstLine="480" w:firstLineChars="200"/>
        <w:rPr>
          <w:sz w:val="24"/>
        </w:rPr>
      </w:pPr>
      <w:r>
        <w:rPr>
          <w:sz w:val="24"/>
        </w:rPr>
        <w:t>山丘区地下水资源量采用排泄量法计算，排泄量包括天然河川基流量、地下水开采净消耗量、潜水蒸发量、山前侧向流出量、山前泉水溢出量、其他排泄量等，以总排泄量作为地下水资源量（亦即降水入渗补给量）。</w:t>
      </w:r>
    </w:p>
    <w:p>
      <w:pPr>
        <w:spacing w:line="360" w:lineRule="auto"/>
        <w:ind w:firstLine="480" w:firstLineChars="200"/>
        <w:rPr>
          <w:sz w:val="24"/>
        </w:rPr>
      </w:pPr>
      <w:r>
        <w:rPr>
          <w:sz w:val="24"/>
        </w:rPr>
        <w:t>根据分析计算，六安市2001～2016年地下水资源总量为23.14亿m</w:t>
      </w:r>
      <w:r>
        <w:rPr>
          <w:sz w:val="24"/>
          <w:vertAlign w:val="superscript"/>
        </w:rPr>
        <w:t>3</w:t>
      </w:r>
      <w:r>
        <w:rPr>
          <w:sz w:val="24"/>
        </w:rPr>
        <w:t>，地下水资源量模数为15.1万m³/km</w:t>
      </w:r>
      <w:r>
        <w:rPr>
          <w:sz w:val="24"/>
          <w:vertAlign w:val="superscript"/>
        </w:rPr>
        <w:t>2</w:t>
      </w:r>
      <w:r>
        <w:rPr>
          <w:sz w:val="24"/>
        </w:rPr>
        <w:t>。</w:t>
      </w:r>
    </w:p>
    <w:p>
      <w:pPr>
        <w:spacing w:line="360" w:lineRule="auto"/>
        <w:ind w:firstLine="480" w:firstLineChars="200"/>
        <w:rPr>
          <w:sz w:val="24"/>
        </w:rPr>
      </w:pPr>
      <w:r>
        <w:rPr>
          <w:sz w:val="24"/>
        </w:rPr>
        <w:t>六安市2001～2016年多年平均行政分区地下水资源量见表3.1.15。</w:t>
      </w:r>
    </w:p>
    <w:p>
      <w:pPr>
        <w:spacing w:line="360" w:lineRule="auto"/>
        <w:ind w:firstLine="480" w:firstLineChars="200"/>
        <w:jc w:val="center"/>
        <w:rPr>
          <w:b/>
          <w:sz w:val="24"/>
        </w:rPr>
      </w:pPr>
      <w:r>
        <w:rPr>
          <w:b/>
          <w:sz w:val="24"/>
        </w:rPr>
        <w:t>表3.1.15 六安市2001～2016年行政县区多年平均地下水资源量</w:t>
      </w:r>
    </w:p>
    <w:tbl>
      <w:tblPr>
        <w:tblStyle w:val="36"/>
        <w:tblW w:w="8607" w:type="dxa"/>
        <w:tblInd w:w="0" w:type="dxa"/>
        <w:tblLayout w:type="fixed"/>
        <w:tblCellMar>
          <w:top w:w="0" w:type="dxa"/>
          <w:left w:w="108" w:type="dxa"/>
          <w:bottom w:w="0" w:type="dxa"/>
          <w:right w:w="108" w:type="dxa"/>
        </w:tblCellMar>
      </w:tblPr>
      <w:tblGrid>
        <w:gridCol w:w="1825"/>
        <w:gridCol w:w="1557"/>
        <w:gridCol w:w="1817"/>
        <w:gridCol w:w="1802"/>
        <w:gridCol w:w="1606"/>
      </w:tblGrid>
      <w:tr>
        <w:tblPrEx>
          <w:tblCellMar>
            <w:top w:w="0" w:type="dxa"/>
            <w:left w:w="108" w:type="dxa"/>
            <w:bottom w:w="0" w:type="dxa"/>
            <w:right w:w="108" w:type="dxa"/>
          </w:tblCellMar>
        </w:tblPrEx>
        <w:trPr>
          <w:trHeight w:val="324" w:hRule="atLeast"/>
          <w:tblHeader/>
        </w:trPr>
        <w:tc>
          <w:tcPr>
            <w:tcW w:w="1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行政分区</w:t>
            </w:r>
          </w:p>
        </w:tc>
        <w:tc>
          <w:tcPr>
            <w:tcW w:w="1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地下水资源量（亿m</w:t>
            </w:r>
            <w:r>
              <w:rPr>
                <w:kern w:val="0"/>
                <w:sz w:val="18"/>
                <w:szCs w:val="18"/>
                <w:vertAlign w:val="superscript"/>
              </w:rPr>
              <w:t>3</w:t>
            </w:r>
            <w:r>
              <w:rPr>
                <w:kern w:val="0"/>
                <w:sz w:val="18"/>
                <w:szCs w:val="18"/>
              </w:rPr>
              <w:t>）</w:t>
            </w:r>
          </w:p>
        </w:tc>
        <w:tc>
          <w:tcPr>
            <w:tcW w:w="1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地下水资源量模数（万m</w:t>
            </w:r>
            <w:r>
              <w:rPr>
                <w:kern w:val="0"/>
                <w:sz w:val="18"/>
                <w:szCs w:val="18"/>
                <w:vertAlign w:val="superscript"/>
              </w:rPr>
              <w:t>3</w:t>
            </w:r>
            <w:r>
              <w:rPr>
                <w:kern w:val="0"/>
                <w:sz w:val="18"/>
                <w:szCs w:val="18"/>
              </w:rPr>
              <w:t>/km</w:t>
            </w:r>
            <w:r>
              <w:rPr>
                <w:kern w:val="0"/>
                <w:sz w:val="18"/>
                <w:szCs w:val="18"/>
                <w:vertAlign w:val="superscript"/>
              </w:rPr>
              <w:t>2</w:t>
            </w:r>
            <w:r>
              <w:rPr>
                <w:kern w:val="0"/>
                <w:sz w:val="18"/>
                <w:szCs w:val="18"/>
              </w:rPr>
              <w:t>）</w:t>
            </w:r>
          </w:p>
        </w:tc>
        <w:tc>
          <w:tcPr>
            <w:tcW w:w="18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地表与地下重复计算量（亿m</w:t>
            </w:r>
            <w:r>
              <w:rPr>
                <w:kern w:val="0"/>
                <w:sz w:val="18"/>
                <w:szCs w:val="18"/>
                <w:vertAlign w:val="superscript"/>
              </w:rPr>
              <w:t>3</w:t>
            </w:r>
            <w:r>
              <w:rPr>
                <w:kern w:val="0"/>
                <w:sz w:val="18"/>
                <w:szCs w:val="18"/>
              </w:rPr>
              <w:t>)</w:t>
            </w: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占全市地下水资源总量的%</w:t>
            </w:r>
          </w:p>
        </w:tc>
      </w:tr>
      <w:tr>
        <w:tblPrEx>
          <w:tblCellMar>
            <w:top w:w="0" w:type="dxa"/>
            <w:left w:w="108" w:type="dxa"/>
            <w:bottom w:w="0" w:type="dxa"/>
            <w:right w:w="108" w:type="dxa"/>
          </w:tblCellMar>
        </w:tblPrEx>
        <w:trPr>
          <w:trHeight w:val="324" w:hRule="atLeast"/>
          <w:tblHeader/>
        </w:trPr>
        <w:tc>
          <w:tcPr>
            <w:tcW w:w="1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金安区</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2.10</w:t>
            </w:r>
          </w:p>
        </w:tc>
        <w:tc>
          <w:tcPr>
            <w:tcW w:w="18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12.7</w:t>
            </w:r>
          </w:p>
        </w:tc>
        <w:tc>
          <w:tcPr>
            <w:tcW w:w="18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1.78 </w:t>
            </w:r>
          </w:p>
        </w:tc>
        <w:tc>
          <w:tcPr>
            <w:tcW w:w="16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9.1</w:t>
            </w:r>
          </w:p>
        </w:tc>
      </w:tr>
      <w:tr>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裕安区</w:t>
            </w:r>
          </w:p>
        </w:tc>
        <w:tc>
          <w:tcPr>
            <w:tcW w:w="15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2.62</w:t>
            </w:r>
          </w:p>
        </w:tc>
        <w:tc>
          <w:tcPr>
            <w:tcW w:w="18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13.6</w:t>
            </w:r>
          </w:p>
        </w:tc>
        <w:tc>
          <w:tcPr>
            <w:tcW w:w="18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1.99 </w:t>
            </w:r>
          </w:p>
        </w:tc>
        <w:tc>
          <w:tcPr>
            <w:tcW w:w="1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11.3</w:t>
            </w:r>
          </w:p>
        </w:tc>
      </w:tr>
      <w:tr>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叶集区</w:t>
            </w:r>
          </w:p>
        </w:tc>
        <w:tc>
          <w:tcPr>
            <w:tcW w:w="15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0.67</w:t>
            </w:r>
          </w:p>
        </w:tc>
        <w:tc>
          <w:tcPr>
            <w:tcW w:w="18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11.8</w:t>
            </w:r>
          </w:p>
        </w:tc>
        <w:tc>
          <w:tcPr>
            <w:tcW w:w="18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0.58 </w:t>
            </w:r>
          </w:p>
        </w:tc>
        <w:tc>
          <w:tcPr>
            <w:tcW w:w="1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2.9</w:t>
            </w:r>
          </w:p>
        </w:tc>
      </w:tr>
      <w:tr>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霍邱县</w:t>
            </w:r>
          </w:p>
        </w:tc>
        <w:tc>
          <w:tcPr>
            <w:tcW w:w="15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3.47</w:t>
            </w:r>
          </w:p>
        </w:tc>
        <w:tc>
          <w:tcPr>
            <w:tcW w:w="18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10.7</w:t>
            </w:r>
          </w:p>
        </w:tc>
        <w:tc>
          <w:tcPr>
            <w:tcW w:w="18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2.09 </w:t>
            </w:r>
          </w:p>
        </w:tc>
        <w:tc>
          <w:tcPr>
            <w:tcW w:w="1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15.0</w:t>
            </w:r>
          </w:p>
        </w:tc>
      </w:tr>
      <w:tr>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舒城县</w:t>
            </w:r>
          </w:p>
        </w:tc>
        <w:tc>
          <w:tcPr>
            <w:tcW w:w="15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4.30</w:t>
            </w:r>
          </w:p>
        </w:tc>
        <w:tc>
          <w:tcPr>
            <w:tcW w:w="18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20.5</w:t>
            </w:r>
          </w:p>
        </w:tc>
        <w:tc>
          <w:tcPr>
            <w:tcW w:w="18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3.71 </w:t>
            </w:r>
          </w:p>
        </w:tc>
        <w:tc>
          <w:tcPr>
            <w:tcW w:w="1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18.6</w:t>
            </w:r>
          </w:p>
        </w:tc>
      </w:tr>
      <w:tr>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金寨县</w:t>
            </w:r>
          </w:p>
        </w:tc>
        <w:tc>
          <w:tcPr>
            <w:tcW w:w="15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5.54</w:t>
            </w:r>
          </w:p>
        </w:tc>
        <w:tc>
          <w:tcPr>
            <w:tcW w:w="18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14.5</w:t>
            </w:r>
          </w:p>
        </w:tc>
        <w:tc>
          <w:tcPr>
            <w:tcW w:w="18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5.49 </w:t>
            </w:r>
          </w:p>
        </w:tc>
        <w:tc>
          <w:tcPr>
            <w:tcW w:w="1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23.9</w:t>
            </w:r>
          </w:p>
        </w:tc>
      </w:tr>
      <w:tr>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霍山县</w:t>
            </w:r>
          </w:p>
        </w:tc>
        <w:tc>
          <w:tcPr>
            <w:tcW w:w="15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4.43</w:t>
            </w:r>
          </w:p>
        </w:tc>
        <w:tc>
          <w:tcPr>
            <w:tcW w:w="18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21.7</w:t>
            </w:r>
          </w:p>
        </w:tc>
        <w:tc>
          <w:tcPr>
            <w:tcW w:w="18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4.37 </w:t>
            </w:r>
          </w:p>
        </w:tc>
        <w:tc>
          <w:tcPr>
            <w:tcW w:w="1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19.2</w:t>
            </w:r>
          </w:p>
        </w:tc>
      </w:tr>
      <w:tr>
        <w:tblPrEx>
          <w:tblCellMar>
            <w:top w:w="0" w:type="dxa"/>
            <w:left w:w="108" w:type="dxa"/>
            <w:bottom w:w="0" w:type="dxa"/>
            <w:right w:w="108" w:type="dxa"/>
          </w:tblCellMar>
        </w:tblPrEx>
        <w:trPr>
          <w:trHeight w:val="324" w:hRule="atLeast"/>
        </w:trPr>
        <w:tc>
          <w:tcPr>
            <w:tcW w:w="182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全市合计</w:t>
            </w:r>
          </w:p>
        </w:tc>
        <w:tc>
          <w:tcPr>
            <w:tcW w:w="15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23.14</w:t>
            </w:r>
          </w:p>
        </w:tc>
        <w:tc>
          <w:tcPr>
            <w:tcW w:w="18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15.1</w:t>
            </w:r>
          </w:p>
        </w:tc>
        <w:tc>
          <w:tcPr>
            <w:tcW w:w="18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color w:val="000000"/>
                <w:sz w:val="18"/>
                <w:szCs w:val="18"/>
              </w:rPr>
              <w:t xml:space="preserve">20.01 </w:t>
            </w:r>
          </w:p>
        </w:tc>
        <w:tc>
          <w:tcPr>
            <w:tcW w:w="16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p>
        </w:tc>
      </w:tr>
    </w:tbl>
    <w:p>
      <w:pPr>
        <w:pStyle w:val="4"/>
        <w:spacing w:before="312" w:beforeLines="100" w:after="156" w:afterLines="50" w:line="360" w:lineRule="auto"/>
        <w:rPr>
          <w:sz w:val="28"/>
        </w:rPr>
      </w:pPr>
      <w:bookmarkStart w:id="182" w:name="_Toc382472198"/>
      <w:bookmarkStart w:id="183" w:name="_Toc95382462"/>
      <w:bookmarkStart w:id="184" w:name="_Toc324432034"/>
      <w:bookmarkStart w:id="185" w:name="_Toc432782526"/>
      <w:r>
        <w:rPr>
          <w:sz w:val="28"/>
        </w:rPr>
        <w:t>五、水资源总量</w:t>
      </w:r>
      <w:bookmarkEnd w:id="182"/>
      <w:bookmarkEnd w:id="183"/>
      <w:bookmarkEnd w:id="184"/>
      <w:bookmarkEnd w:id="185"/>
    </w:p>
    <w:p>
      <w:pPr>
        <w:tabs>
          <w:tab w:val="left" w:pos="1485"/>
        </w:tabs>
        <w:spacing w:before="156" w:beforeLines="50" w:line="360" w:lineRule="auto"/>
        <w:ind w:firstLine="480" w:firstLineChars="200"/>
        <w:rPr>
          <w:b/>
          <w:sz w:val="24"/>
        </w:rPr>
      </w:pPr>
      <w:r>
        <w:rPr>
          <w:b/>
          <w:sz w:val="24"/>
        </w:rPr>
        <w:t>（一）水资源总量概念及计算方法</w:t>
      </w:r>
    </w:p>
    <w:p>
      <w:pPr>
        <w:spacing w:line="360" w:lineRule="auto"/>
        <w:ind w:firstLine="480" w:firstLineChars="200"/>
        <w:rPr>
          <w:sz w:val="24"/>
          <w:szCs w:val="24"/>
        </w:rPr>
      </w:pPr>
      <w:r>
        <w:rPr>
          <w:sz w:val="24"/>
          <w:szCs w:val="24"/>
        </w:rPr>
        <w:t>一定区域内的水资源总量是指当地降水形成的地表和地下产水量，即地表径流量与降水入渗补给量之和。一般包括地表水、土壤水、浅层地下水三部分。江河与湖泊（水库）等地表水体中的水为地表水，地表水的补给形式主要有降水、冰雪融水和地下水，排泄形式为河川径流、水面蒸发和土壤入渗等。土壤中包气带所含水量称为土壤水。包气带水量得到大气降水、地表水与地下水的补给时增长。消退于土壤蒸发和植物蒸散发。储存在地下浅层含水层中水量称为浅层地下水，主要受降水、地表水的下渗补给，以河川基流、潜水蒸发及地下水流形式排泄。</w:t>
      </w:r>
    </w:p>
    <w:p>
      <w:pPr>
        <w:spacing w:line="360" w:lineRule="auto"/>
        <w:ind w:firstLine="480" w:firstLineChars="200"/>
        <w:rPr>
          <w:sz w:val="24"/>
        </w:rPr>
      </w:pPr>
      <w:r>
        <w:rPr>
          <w:sz w:val="24"/>
        </w:rPr>
        <w:t>地表水、土壤水、浅层地下水可相互转换，当土壤中包气带的含水量超过田间持水量时，仍继续下渗的水量补充地下水或形成壤中流汇入河川径流，土壤水供给植物水分使地表水与地下水连通。根据补、排水量平衡原理，在近期下垫面条件下，各计算分区1956～2016年的水资源总量系列可采用下式计算：</w:t>
      </w:r>
    </w:p>
    <w:p>
      <w:pPr>
        <w:topLinePunct/>
        <w:spacing w:line="360" w:lineRule="auto"/>
        <w:ind w:firstLine="480" w:firstLineChars="200"/>
        <w:jc w:val="center"/>
        <w:rPr>
          <w:sz w:val="24"/>
        </w:rPr>
      </w:pPr>
      <w:r>
        <w:rPr>
          <w:sz w:val="24"/>
        </w:rPr>
        <w:t>W=R+Rg－R</w:t>
      </w:r>
      <w:r>
        <w:rPr>
          <w:sz w:val="24"/>
          <w:vertAlign w:val="subscript"/>
        </w:rPr>
        <w:t>重复</w:t>
      </w:r>
      <w:r>
        <w:rPr>
          <w:sz w:val="24"/>
        </w:rPr>
        <w:t>=R+R</w:t>
      </w:r>
      <w:r>
        <w:rPr>
          <w:sz w:val="24"/>
          <w:vertAlign w:val="subscript"/>
        </w:rPr>
        <w:t>不重复</w:t>
      </w:r>
      <w:r>
        <w:rPr>
          <w:sz w:val="24"/>
        </w:rPr>
        <w:t xml:space="preserve">                             （1）</w:t>
      </w:r>
    </w:p>
    <w:p>
      <w:pPr>
        <w:topLinePunct/>
        <w:spacing w:line="360" w:lineRule="auto"/>
        <w:ind w:firstLine="480" w:firstLineChars="200"/>
        <w:jc w:val="center"/>
        <w:rPr>
          <w:sz w:val="24"/>
        </w:rPr>
      </w:pPr>
      <w:r>
        <w:rPr>
          <w:sz w:val="24"/>
        </w:rPr>
        <w:t>W= R+ Rg－R</w:t>
      </w:r>
      <w:r>
        <w:rPr>
          <w:sz w:val="24"/>
          <w:vertAlign w:val="subscript"/>
        </w:rPr>
        <w:t>重复</w:t>
      </w:r>
      <w:r>
        <w:rPr>
          <w:sz w:val="24"/>
        </w:rPr>
        <w:t xml:space="preserve">=R     </w:t>
      </w:r>
      <w:r>
        <w:rPr>
          <w:i/>
          <w:sz w:val="24"/>
        </w:rPr>
        <w:t xml:space="preserve">    </w:t>
      </w:r>
      <w:r>
        <w:rPr>
          <w:sz w:val="24"/>
        </w:rPr>
        <w:t xml:space="preserve">          </w:t>
      </w:r>
      <w:r>
        <w:rPr>
          <w:sz w:val="24"/>
        </w:rPr>
        <w:tab/>
      </w:r>
      <w:r>
        <w:rPr>
          <w:sz w:val="24"/>
        </w:rPr>
        <w:t xml:space="preserve">             （2）</w:t>
      </w:r>
    </w:p>
    <w:p>
      <w:pPr>
        <w:topLinePunct/>
        <w:spacing w:line="360" w:lineRule="auto"/>
        <w:ind w:firstLine="480" w:firstLineChars="200"/>
        <w:rPr>
          <w:sz w:val="24"/>
        </w:rPr>
      </w:pPr>
      <w:r>
        <w:rPr>
          <w:sz w:val="24"/>
        </w:rPr>
        <w:t>式中：Rg</w:t>
      </w:r>
      <w:r>
        <w:rPr>
          <w:iCs/>
          <w:sz w:val="24"/>
        </w:rPr>
        <w:t xml:space="preserve">为河川基流量（平原区为降水入渗补给量形成的河道排泄量），      </w:t>
      </w:r>
      <w:r>
        <w:rPr>
          <w:sz w:val="24"/>
        </w:rPr>
        <w:t>R</w:t>
      </w:r>
      <w:r>
        <w:rPr>
          <w:sz w:val="24"/>
          <w:vertAlign w:val="subscript"/>
        </w:rPr>
        <w:t>不重复</w:t>
      </w:r>
      <w:r>
        <w:rPr>
          <w:sz w:val="24"/>
        </w:rPr>
        <w:t>为地表水与地下水资源的相互转换不重复量，R</w:t>
      </w:r>
      <w:r>
        <w:rPr>
          <w:sz w:val="24"/>
          <w:vertAlign w:val="subscript"/>
        </w:rPr>
        <w:t>重复</w:t>
      </w:r>
      <w:r>
        <w:rPr>
          <w:sz w:val="24"/>
        </w:rPr>
        <w:t>为表水与地下水资源的相互转换重复量，R为河川径流量（即地表水资源量），W为水资源总量。</w:t>
      </w:r>
    </w:p>
    <w:p>
      <w:pPr>
        <w:topLinePunct/>
        <w:spacing w:line="360" w:lineRule="auto"/>
        <w:ind w:firstLine="480" w:firstLineChars="200"/>
        <w:rPr>
          <w:sz w:val="24"/>
        </w:rPr>
      </w:pPr>
      <w:r>
        <w:rPr>
          <w:sz w:val="24"/>
        </w:rPr>
        <w:t>公式（1）适用于南方平原区，不重复量Q</w:t>
      </w:r>
      <w:r>
        <w:rPr>
          <w:sz w:val="24"/>
          <w:vertAlign w:val="subscript"/>
        </w:rPr>
        <w:t>不重复</w:t>
      </w:r>
      <w:r>
        <w:rPr>
          <w:sz w:val="24"/>
        </w:rPr>
        <w:t>≈（E</w:t>
      </w:r>
      <w:r>
        <w:rPr>
          <w:sz w:val="24"/>
          <w:vertAlign w:val="subscript"/>
        </w:rPr>
        <w:t>旱</w:t>
      </w:r>
      <w:r>
        <w:rPr>
          <w:sz w:val="24"/>
        </w:rPr>
        <w:t>＋Q</w:t>
      </w:r>
      <w:r>
        <w:rPr>
          <w:sz w:val="24"/>
          <w:vertAlign w:val="subscript"/>
        </w:rPr>
        <w:t>采耗</w:t>
      </w:r>
      <w:r>
        <w:rPr>
          <w:sz w:val="24"/>
        </w:rPr>
        <w:t>）×（U</w:t>
      </w:r>
      <w:r>
        <w:rPr>
          <w:sz w:val="24"/>
          <w:vertAlign w:val="subscript"/>
        </w:rPr>
        <w:t>P旱</w:t>
      </w:r>
      <w:r>
        <w:rPr>
          <w:sz w:val="24"/>
        </w:rPr>
        <w:t>/Q</w:t>
      </w:r>
      <w:r>
        <w:rPr>
          <w:sz w:val="24"/>
          <w:vertAlign w:val="subscript"/>
        </w:rPr>
        <w:t>旱总补</w:t>
      </w:r>
      <w:r>
        <w:rPr>
          <w:sz w:val="24"/>
        </w:rPr>
        <w:t>），式中：E</w:t>
      </w:r>
      <w:r>
        <w:rPr>
          <w:sz w:val="24"/>
          <w:vertAlign w:val="subscript"/>
        </w:rPr>
        <w:t>旱</w:t>
      </w:r>
      <w:r>
        <w:rPr>
          <w:sz w:val="24"/>
        </w:rPr>
        <w:t>为平原区旱地和水田旱作期的潜水蒸发量，Q</w:t>
      </w:r>
      <w:r>
        <w:rPr>
          <w:sz w:val="24"/>
          <w:vertAlign w:val="subscript"/>
        </w:rPr>
        <w:t>采耗</w:t>
      </w:r>
      <w:r>
        <w:rPr>
          <w:sz w:val="24"/>
        </w:rPr>
        <w:t>为平原区浅层地下水开采净消耗量，U</w:t>
      </w:r>
      <w:r>
        <w:rPr>
          <w:sz w:val="24"/>
          <w:vertAlign w:val="subscript"/>
        </w:rPr>
        <w:t>P旱</w:t>
      </w:r>
      <w:r>
        <w:rPr>
          <w:sz w:val="24"/>
        </w:rPr>
        <w:t>为平原区旱地和水田旱作期的降水入渗补给量，Q</w:t>
      </w:r>
      <w:r>
        <w:rPr>
          <w:sz w:val="24"/>
          <w:vertAlign w:val="subscript"/>
        </w:rPr>
        <w:t>旱总补</w:t>
      </w:r>
      <w:r>
        <w:rPr>
          <w:sz w:val="24"/>
        </w:rPr>
        <w:t>为平原区旱地和水田旱作期的总补给量；公式（2）适用于山丘区，不重复量为零。由于某个区域内的水资源总量是指当地降水形成的地表和地下的产水量，而地表水和地下水既相互联系又相互转化，本次分区水资源总量采用地表水资源量加地表水和地下水相互转化的不重复量求算。</w:t>
      </w:r>
    </w:p>
    <w:p>
      <w:pPr>
        <w:tabs>
          <w:tab w:val="left" w:pos="1485"/>
        </w:tabs>
        <w:spacing w:line="360" w:lineRule="auto"/>
        <w:ind w:firstLine="480" w:firstLineChars="200"/>
        <w:rPr>
          <w:b/>
          <w:sz w:val="24"/>
        </w:rPr>
      </w:pPr>
      <w:r>
        <w:rPr>
          <w:b/>
          <w:sz w:val="24"/>
        </w:rPr>
        <w:t>（二）水资源总量计算成果</w:t>
      </w:r>
    </w:p>
    <w:p>
      <w:pPr>
        <w:topLinePunct/>
        <w:spacing w:line="360" w:lineRule="auto"/>
        <w:ind w:firstLine="480" w:firstLineChars="200"/>
        <w:rPr>
          <w:sz w:val="24"/>
        </w:rPr>
      </w:pPr>
      <w:r>
        <w:rPr>
          <w:sz w:val="24"/>
        </w:rPr>
        <w:t>本次修编评价采用安徽省第三次水资源调查评价成果，按照近期下垫面条件、水资源开发利用情况和地表水与地下水之间的转化关系，采用公式（1）、公式（2）计算全市各分区水资源总量，公式中各分量可直接采用地表水和地下水资源量评价的系列成果。六安市1956～2016年多年平均水资源总量为89.12亿m</w:t>
      </w:r>
      <w:r>
        <w:rPr>
          <w:sz w:val="24"/>
          <w:vertAlign w:val="superscript"/>
        </w:rPr>
        <w:t>3</w:t>
      </w:r>
      <w:r>
        <w:rPr>
          <w:sz w:val="24"/>
        </w:rPr>
        <w:t>，其中淮河流域为70.85亿m</w:t>
      </w:r>
      <w:r>
        <w:rPr>
          <w:sz w:val="24"/>
          <w:vertAlign w:val="superscript"/>
        </w:rPr>
        <w:t>3</w:t>
      </w:r>
      <w:r>
        <w:rPr>
          <w:sz w:val="24"/>
        </w:rPr>
        <w:t>，占全市的79.5%；长江流域为18.26亿m</w:t>
      </w:r>
      <w:r>
        <w:rPr>
          <w:sz w:val="24"/>
          <w:vertAlign w:val="superscript"/>
        </w:rPr>
        <w:t>3</w:t>
      </w:r>
      <w:r>
        <w:rPr>
          <w:sz w:val="24"/>
        </w:rPr>
        <w:t>，占全市的20.5%。六安市水资源分区水资源总量详见表3.1.16，六安市行政分区水资源总量见表3.1.17。</w:t>
      </w:r>
    </w:p>
    <w:p>
      <w:pPr>
        <w:topLinePunct/>
        <w:spacing w:line="360" w:lineRule="auto"/>
        <w:jc w:val="center"/>
        <w:rPr>
          <w:sz w:val="24"/>
        </w:rPr>
      </w:pPr>
      <w:r>
        <w:rPr>
          <w:b/>
          <w:kern w:val="0"/>
          <w:sz w:val="24"/>
        </w:rPr>
        <w:t>表3.1.16  六安市水资源分区水资源总量成果表</w:t>
      </w:r>
    </w:p>
    <w:tbl>
      <w:tblPr>
        <w:tblStyle w:val="36"/>
        <w:tblW w:w="8607" w:type="dxa"/>
        <w:jc w:val="center"/>
        <w:tblLayout w:type="fixed"/>
        <w:tblCellMar>
          <w:top w:w="0" w:type="dxa"/>
          <w:left w:w="108" w:type="dxa"/>
          <w:bottom w:w="0" w:type="dxa"/>
          <w:right w:w="108" w:type="dxa"/>
        </w:tblCellMar>
      </w:tblPr>
      <w:tblGrid>
        <w:gridCol w:w="611"/>
        <w:gridCol w:w="1561"/>
        <w:gridCol w:w="931"/>
        <w:gridCol w:w="985"/>
        <w:gridCol w:w="1202"/>
        <w:gridCol w:w="988"/>
        <w:gridCol w:w="914"/>
        <w:gridCol w:w="1415"/>
      </w:tblGrid>
      <w:tr>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三级分区</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地表水资源量（亿m</w:t>
            </w:r>
            <w:r>
              <w:rPr>
                <w:kern w:val="0"/>
                <w:sz w:val="18"/>
                <w:szCs w:val="18"/>
                <w:vertAlign w:val="superscript"/>
              </w:rPr>
              <w:t>3</w:t>
            </w:r>
            <w:r>
              <w:rPr>
                <w:kern w:val="0"/>
                <w:sz w:val="18"/>
                <w:szCs w:val="18"/>
              </w:rPr>
              <w:t>）</w:t>
            </w:r>
          </w:p>
        </w:tc>
        <w:tc>
          <w:tcPr>
            <w:tcW w:w="1202" w:type="dxa"/>
            <w:tcBorders>
              <w:top w:val="single" w:color="auto" w:sz="4" w:space="0"/>
              <w:left w:val="nil"/>
              <w:right w:val="single" w:color="auto" w:sz="4" w:space="0"/>
            </w:tcBorders>
            <w:shd w:val="clear" w:color="auto" w:fill="auto"/>
            <w:vAlign w:val="center"/>
          </w:tcPr>
          <w:p>
            <w:pPr>
              <w:spacing w:line="240" w:lineRule="exact"/>
              <w:jc w:val="center"/>
              <w:rPr>
                <w:kern w:val="0"/>
                <w:sz w:val="18"/>
                <w:szCs w:val="18"/>
              </w:rPr>
            </w:pPr>
            <w:r>
              <w:rPr>
                <w:kern w:val="0"/>
                <w:sz w:val="18"/>
                <w:szCs w:val="18"/>
              </w:rPr>
              <w:t>地表水与地下水资源不重复量（亿m</w:t>
            </w:r>
            <w:r>
              <w:rPr>
                <w:kern w:val="0"/>
                <w:sz w:val="18"/>
                <w:szCs w:val="18"/>
                <w:vertAlign w:val="superscript"/>
              </w:rPr>
              <w:t>3</w:t>
            </w:r>
            <w:r>
              <w:rPr>
                <w:kern w:val="0"/>
                <w:sz w:val="18"/>
                <w:szCs w:val="18"/>
              </w:rPr>
              <w:t>）</w:t>
            </w:r>
          </w:p>
        </w:tc>
        <w:tc>
          <w:tcPr>
            <w:tcW w:w="988" w:type="dxa"/>
            <w:tcBorders>
              <w:top w:val="single" w:color="auto" w:sz="4" w:space="0"/>
              <w:left w:val="nil"/>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产水系数</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产水模数（万m</w:t>
            </w:r>
            <w:r>
              <w:rPr>
                <w:kern w:val="0"/>
                <w:sz w:val="18"/>
                <w:szCs w:val="18"/>
                <w:vertAlign w:val="superscript"/>
              </w:rPr>
              <w:t>3</w:t>
            </w:r>
            <w:r>
              <w:rPr>
                <w:kern w:val="0"/>
                <w:sz w:val="18"/>
                <w:szCs w:val="18"/>
              </w:rPr>
              <w:t>/a.km</w:t>
            </w:r>
            <w:r>
              <w:rPr>
                <w:kern w:val="0"/>
                <w:sz w:val="18"/>
                <w:szCs w:val="18"/>
                <w:vertAlign w:val="superscript"/>
              </w:rPr>
              <w:t>2</w:t>
            </w:r>
            <w:r>
              <w:rPr>
                <w:kern w:val="0"/>
                <w:sz w:val="18"/>
                <w:szCs w:val="18"/>
              </w:rPr>
              <w:t>）</w:t>
            </w:r>
          </w:p>
        </w:tc>
      </w:tr>
      <w:tr>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淮河</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王蚌区间南岸</w:t>
            </w: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151.22</w:t>
            </w:r>
          </w:p>
        </w:tc>
        <w:tc>
          <w:tcPr>
            <w:tcW w:w="9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68.49</w:t>
            </w:r>
          </w:p>
        </w:tc>
        <w:tc>
          <w:tcPr>
            <w:tcW w:w="120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2.36</w:t>
            </w:r>
          </w:p>
        </w:tc>
        <w:tc>
          <w:tcPr>
            <w:tcW w:w="98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70.85 </w:t>
            </w:r>
          </w:p>
        </w:tc>
        <w:tc>
          <w:tcPr>
            <w:tcW w:w="9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0.47</w:t>
            </w:r>
          </w:p>
        </w:tc>
        <w:tc>
          <w:tcPr>
            <w:tcW w:w="14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57.7</w:t>
            </w:r>
          </w:p>
        </w:tc>
      </w:tr>
      <w:tr>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长江</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巢滁皖及沿江诸河</w:t>
            </w:r>
          </w:p>
        </w:tc>
        <w:tc>
          <w:tcPr>
            <w:tcW w:w="9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sz w:val="18"/>
                <w:szCs w:val="18"/>
              </w:rPr>
              <w:t>39.37</w:t>
            </w: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sz w:val="18"/>
                <w:szCs w:val="18"/>
              </w:rPr>
              <w:t>17.61</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0.65</w:t>
            </w:r>
          </w:p>
        </w:tc>
        <w:tc>
          <w:tcPr>
            <w:tcW w:w="9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sz w:val="18"/>
                <w:szCs w:val="18"/>
              </w:rPr>
              <w:t xml:space="preserve">18.26 </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sz w:val="18"/>
                <w:szCs w:val="18"/>
              </w:rPr>
              <w:t>0.46</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sz w:val="18"/>
                <w:szCs w:val="18"/>
              </w:rPr>
              <w:t>59.3</w:t>
            </w:r>
          </w:p>
        </w:tc>
      </w:tr>
      <w:tr>
        <w:tblPrEx>
          <w:tblCellMar>
            <w:top w:w="0" w:type="dxa"/>
            <w:left w:w="108" w:type="dxa"/>
            <w:bottom w:w="0" w:type="dxa"/>
            <w:right w:w="108" w:type="dxa"/>
          </w:tblCellMar>
        </w:tblPrEx>
        <w:trPr>
          <w:trHeight w:val="34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全市</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190.59</w:t>
            </w:r>
          </w:p>
        </w:tc>
        <w:tc>
          <w:tcPr>
            <w:tcW w:w="9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86.11</w:t>
            </w:r>
          </w:p>
        </w:tc>
        <w:tc>
          <w:tcPr>
            <w:tcW w:w="120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3.01</w:t>
            </w:r>
          </w:p>
        </w:tc>
        <w:tc>
          <w:tcPr>
            <w:tcW w:w="98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89.12</w:t>
            </w:r>
          </w:p>
        </w:tc>
        <w:tc>
          <w:tcPr>
            <w:tcW w:w="9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0.47</w:t>
            </w:r>
          </w:p>
        </w:tc>
        <w:tc>
          <w:tcPr>
            <w:tcW w:w="14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58.1</w:t>
            </w:r>
          </w:p>
        </w:tc>
      </w:tr>
    </w:tbl>
    <w:p>
      <w:pPr>
        <w:topLinePunct/>
        <w:spacing w:before="156" w:beforeLines="50" w:line="360" w:lineRule="auto"/>
        <w:jc w:val="center"/>
        <w:rPr>
          <w:b/>
          <w:kern w:val="0"/>
          <w:sz w:val="24"/>
        </w:rPr>
      </w:pPr>
      <w:r>
        <w:rPr>
          <w:b/>
          <w:kern w:val="0"/>
          <w:sz w:val="24"/>
        </w:rPr>
        <w:t>表3.1.17  六安市行政分区水资源总量成果表</w:t>
      </w:r>
    </w:p>
    <w:tbl>
      <w:tblPr>
        <w:tblStyle w:val="36"/>
        <w:tblW w:w="8583" w:type="dxa"/>
        <w:jc w:val="center"/>
        <w:tblLayout w:type="fixed"/>
        <w:tblCellMar>
          <w:top w:w="0" w:type="dxa"/>
          <w:left w:w="108" w:type="dxa"/>
          <w:bottom w:w="0" w:type="dxa"/>
          <w:right w:w="108" w:type="dxa"/>
        </w:tblCellMar>
      </w:tblPr>
      <w:tblGrid>
        <w:gridCol w:w="1201"/>
        <w:gridCol w:w="1134"/>
        <w:gridCol w:w="1358"/>
        <w:gridCol w:w="1364"/>
        <w:gridCol w:w="1179"/>
        <w:gridCol w:w="782"/>
        <w:gridCol w:w="1565"/>
      </w:tblGrid>
      <w:tr>
        <w:tblPrEx>
          <w:tblCellMar>
            <w:top w:w="0" w:type="dxa"/>
            <w:left w:w="108" w:type="dxa"/>
            <w:bottom w:w="0" w:type="dxa"/>
            <w:right w:w="108" w:type="dxa"/>
          </w:tblCellMar>
        </w:tblPrEx>
        <w:trPr>
          <w:trHeight w:val="340" w:hRule="atLeast"/>
          <w:jc w:val="center"/>
        </w:trPr>
        <w:tc>
          <w:tcPr>
            <w:tcW w:w="12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县、区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降水量（亿m</w:t>
            </w:r>
            <w:r>
              <w:rPr>
                <w:kern w:val="0"/>
                <w:sz w:val="18"/>
                <w:szCs w:val="18"/>
                <w:vertAlign w:val="superscript"/>
              </w:rPr>
              <w:t>3</w:t>
            </w:r>
            <w:r>
              <w:rPr>
                <w:kern w:val="0"/>
                <w:sz w:val="18"/>
                <w:szCs w:val="18"/>
              </w:rPr>
              <w:t>）</w:t>
            </w:r>
          </w:p>
        </w:tc>
        <w:tc>
          <w:tcPr>
            <w:tcW w:w="13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地表水资源量（亿m</w:t>
            </w:r>
            <w:r>
              <w:rPr>
                <w:kern w:val="0"/>
                <w:sz w:val="18"/>
                <w:szCs w:val="18"/>
                <w:vertAlign w:val="superscript"/>
              </w:rPr>
              <w:t>3</w:t>
            </w:r>
            <w:r>
              <w:rPr>
                <w:kern w:val="0"/>
                <w:sz w:val="18"/>
                <w:szCs w:val="18"/>
              </w:rPr>
              <w:t>）</w:t>
            </w:r>
          </w:p>
        </w:tc>
        <w:tc>
          <w:tcPr>
            <w:tcW w:w="13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exact"/>
              <w:jc w:val="center"/>
              <w:rPr>
                <w:kern w:val="0"/>
                <w:sz w:val="18"/>
                <w:szCs w:val="18"/>
              </w:rPr>
            </w:pPr>
            <w:r>
              <w:rPr>
                <w:kern w:val="0"/>
                <w:sz w:val="18"/>
                <w:szCs w:val="18"/>
              </w:rPr>
              <w:t>地表水与地下水资源不重复量（亿m</w:t>
            </w:r>
            <w:r>
              <w:rPr>
                <w:kern w:val="0"/>
                <w:sz w:val="18"/>
                <w:szCs w:val="18"/>
                <w:vertAlign w:val="superscript"/>
              </w:rPr>
              <w:t>3</w:t>
            </w:r>
            <w:r>
              <w:rPr>
                <w:kern w:val="0"/>
                <w:sz w:val="18"/>
                <w:szCs w:val="18"/>
              </w:rPr>
              <w:t>）</w:t>
            </w:r>
          </w:p>
        </w:tc>
        <w:tc>
          <w:tcPr>
            <w:tcW w:w="11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c>
          <w:tcPr>
            <w:tcW w:w="7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产水系数</w:t>
            </w:r>
          </w:p>
        </w:tc>
        <w:tc>
          <w:tcPr>
            <w:tcW w:w="1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产水模数（万m</w:t>
            </w:r>
            <w:r>
              <w:rPr>
                <w:kern w:val="0"/>
                <w:sz w:val="18"/>
                <w:szCs w:val="18"/>
                <w:vertAlign w:val="superscript"/>
              </w:rPr>
              <w:t>3</w:t>
            </w:r>
            <w:r>
              <w:rPr>
                <w:kern w:val="0"/>
                <w:sz w:val="18"/>
                <w:szCs w:val="18"/>
              </w:rPr>
              <w:t>/a.km</w:t>
            </w:r>
            <w:r>
              <w:rPr>
                <w:kern w:val="0"/>
                <w:sz w:val="18"/>
                <w:szCs w:val="18"/>
                <w:vertAlign w:val="superscript"/>
              </w:rPr>
              <w:t>2</w:t>
            </w:r>
            <w:r>
              <w:rPr>
                <w:kern w:val="0"/>
                <w:sz w:val="18"/>
                <w:szCs w:val="18"/>
              </w:rPr>
              <w:t>）</w:t>
            </w:r>
          </w:p>
        </w:tc>
      </w:tr>
      <w:tr>
        <w:tblPrEx>
          <w:tblCellMar>
            <w:top w:w="0" w:type="dxa"/>
            <w:left w:w="108" w:type="dxa"/>
            <w:bottom w:w="0" w:type="dxa"/>
            <w:right w:w="108" w:type="dxa"/>
          </w:tblCellMar>
        </w:tblPrEx>
        <w:trPr>
          <w:trHeight w:val="340" w:hRule="atLeast"/>
          <w:jc w:val="center"/>
        </w:trPr>
        <w:tc>
          <w:tcPr>
            <w:tcW w:w="12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3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kern w:val="0"/>
                <w:sz w:val="18"/>
                <w:szCs w:val="18"/>
              </w:rPr>
            </w:pPr>
          </w:p>
        </w:tc>
        <w:tc>
          <w:tcPr>
            <w:tcW w:w="117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kern w:val="0"/>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金安区</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18.78</w:t>
            </w:r>
          </w:p>
        </w:tc>
        <w:tc>
          <w:tcPr>
            <w:tcW w:w="13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6.86</w:t>
            </w:r>
          </w:p>
        </w:tc>
        <w:tc>
          <w:tcPr>
            <w:tcW w:w="13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0.31</w:t>
            </w:r>
          </w:p>
        </w:tc>
        <w:tc>
          <w:tcPr>
            <w:tcW w:w="117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7.16 </w:t>
            </w:r>
          </w:p>
        </w:tc>
        <w:tc>
          <w:tcPr>
            <w:tcW w:w="78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0.38</w:t>
            </w:r>
          </w:p>
        </w:tc>
        <w:tc>
          <w:tcPr>
            <w:tcW w:w="156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43.2</w:t>
            </w:r>
          </w:p>
        </w:tc>
      </w:tr>
      <w:tr>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裕安区</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22.72</w:t>
            </w:r>
          </w:p>
        </w:tc>
        <w:tc>
          <w:tcPr>
            <w:tcW w:w="13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9.80</w:t>
            </w:r>
          </w:p>
        </w:tc>
        <w:tc>
          <w:tcPr>
            <w:tcW w:w="13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0.59</w:t>
            </w:r>
          </w:p>
        </w:tc>
        <w:tc>
          <w:tcPr>
            <w:tcW w:w="117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10.39 </w:t>
            </w:r>
          </w:p>
        </w:tc>
        <w:tc>
          <w:tcPr>
            <w:tcW w:w="78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0.46</w:t>
            </w:r>
          </w:p>
        </w:tc>
        <w:tc>
          <w:tcPr>
            <w:tcW w:w="156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54.0</w:t>
            </w:r>
          </w:p>
        </w:tc>
      </w:tr>
      <w:tr>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叶集区</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6.76</w:t>
            </w:r>
          </w:p>
        </w:tc>
        <w:tc>
          <w:tcPr>
            <w:tcW w:w="13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2.77</w:t>
            </w:r>
          </w:p>
        </w:tc>
        <w:tc>
          <w:tcPr>
            <w:tcW w:w="13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0.09</w:t>
            </w:r>
          </w:p>
        </w:tc>
        <w:tc>
          <w:tcPr>
            <w:tcW w:w="117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2.86 </w:t>
            </w:r>
          </w:p>
        </w:tc>
        <w:tc>
          <w:tcPr>
            <w:tcW w:w="78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0.42</w:t>
            </w:r>
          </w:p>
        </w:tc>
        <w:tc>
          <w:tcPr>
            <w:tcW w:w="156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50.3</w:t>
            </w:r>
          </w:p>
        </w:tc>
      </w:tr>
      <w:tr>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霍邱县</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31.55</w:t>
            </w:r>
          </w:p>
        </w:tc>
        <w:tc>
          <w:tcPr>
            <w:tcW w:w="13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9.26</w:t>
            </w:r>
          </w:p>
        </w:tc>
        <w:tc>
          <w:tcPr>
            <w:tcW w:w="13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1.33</w:t>
            </w:r>
          </w:p>
        </w:tc>
        <w:tc>
          <w:tcPr>
            <w:tcW w:w="117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10.58 </w:t>
            </w:r>
          </w:p>
        </w:tc>
        <w:tc>
          <w:tcPr>
            <w:tcW w:w="78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0.34</w:t>
            </w:r>
          </w:p>
        </w:tc>
        <w:tc>
          <w:tcPr>
            <w:tcW w:w="156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32.6</w:t>
            </w:r>
          </w:p>
        </w:tc>
      </w:tr>
      <w:tr>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舒城县</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27.74</w:t>
            </w:r>
          </w:p>
        </w:tc>
        <w:tc>
          <w:tcPr>
            <w:tcW w:w="13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13.24</w:t>
            </w:r>
          </w:p>
        </w:tc>
        <w:tc>
          <w:tcPr>
            <w:tcW w:w="13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0.58</w:t>
            </w:r>
          </w:p>
        </w:tc>
        <w:tc>
          <w:tcPr>
            <w:tcW w:w="117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13.82 </w:t>
            </w:r>
          </w:p>
        </w:tc>
        <w:tc>
          <w:tcPr>
            <w:tcW w:w="78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0.50</w:t>
            </w:r>
          </w:p>
        </w:tc>
        <w:tc>
          <w:tcPr>
            <w:tcW w:w="156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65.8</w:t>
            </w:r>
          </w:p>
        </w:tc>
      </w:tr>
      <w:tr>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金寨县</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53.17</w:t>
            </w:r>
          </w:p>
        </w:tc>
        <w:tc>
          <w:tcPr>
            <w:tcW w:w="13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27.36</w:t>
            </w:r>
          </w:p>
        </w:tc>
        <w:tc>
          <w:tcPr>
            <w:tcW w:w="13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0.05</w:t>
            </w:r>
          </w:p>
        </w:tc>
        <w:tc>
          <w:tcPr>
            <w:tcW w:w="117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27.41 </w:t>
            </w:r>
          </w:p>
        </w:tc>
        <w:tc>
          <w:tcPr>
            <w:tcW w:w="78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0.52</w:t>
            </w:r>
          </w:p>
        </w:tc>
        <w:tc>
          <w:tcPr>
            <w:tcW w:w="156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71.9</w:t>
            </w:r>
          </w:p>
        </w:tc>
      </w:tr>
      <w:tr>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霍山县</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29.87</w:t>
            </w:r>
          </w:p>
        </w:tc>
        <w:tc>
          <w:tcPr>
            <w:tcW w:w="13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16.83</w:t>
            </w:r>
          </w:p>
        </w:tc>
        <w:tc>
          <w:tcPr>
            <w:tcW w:w="13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0.06</w:t>
            </w:r>
          </w:p>
        </w:tc>
        <w:tc>
          <w:tcPr>
            <w:tcW w:w="117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 xml:space="preserve">16.89 </w:t>
            </w:r>
          </w:p>
        </w:tc>
        <w:tc>
          <w:tcPr>
            <w:tcW w:w="78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0.57</w:t>
            </w:r>
          </w:p>
        </w:tc>
        <w:tc>
          <w:tcPr>
            <w:tcW w:w="156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82.7</w:t>
            </w:r>
          </w:p>
        </w:tc>
      </w:tr>
      <w:tr>
        <w:tblPrEx>
          <w:tblCellMar>
            <w:top w:w="0" w:type="dxa"/>
            <w:left w:w="108" w:type="dxa"/>
            <w:bottom w:w="0" w:type="dxa"/>
            <w:right w:w="108" w:type="dxa"/>
          </w:tblCellMar>
        </w:tblPrEx>
        <w:trPr>
          <w:trHeight w:val="340" w:hRule="atLeast"/>
          <w:jc w:val="center"/>
        </w:trPr>
        <w:tc>
          <w:tcPr>
            <w:tcW w:w="12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190.59</w:t>
            </w:r>
          </w:p>
        </w:tc>
        <w:tc>
          <w:tcPr>
            <w:tcW w:w="1358"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86.11</w:t>
            </w:r>
          </w:p>
        </w:tc>
        <w:tc>
          <w:tcPr>
            <w:tcW w:w="1364"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3.01</w:t>
            </w:r>
          </w:p>
        </w:tc>
        <w:tc>
          <w:tcPr>
            <w:tcW w:w="1179"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89.12</w:t>
            </w:r>
          </w:p>
        </w:tc>
        <w:tc>
          <w:tcPr>
            <w:tcW w:w="782"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0.47</w:t>
            </w:r>
          </w:p>
        </w:tc>
        <w:tc>
          <w:tcPr>
            <w:tcW w:w="1565" w:type="dxa"/>
            <w:tcBorders>
              <w:top w:val="nil"/>
              <w:left w:val="nil"/>
              <w:bottom w:val="single" w:color="auto" w:sz="4" w:space="0"/>
              <w:right w:val="single" w:color="auto" w:sz="4" w:space="0"/>
            </w:tcBorders>
            <w:shd w:val="clear" w:color="auto" w:fill="auto"/>
            <w:vAlign w:val="center"/>
          </w:tcPr>
          <w:p>
            <w:pPr>
              <w:spacing w:line="240" w:lineRule="exact"/>
              <w:jc w:val="center"/>
              <w:rPr>
                <w:sz w:val="18"/>
                <w:szCs w:val="18"/>
              </w:rPr>
            </w:pPr>
            <w:r>
              <w:rPr>
                <w:sz w:val="18"/>
                <w:szCs w:val="18"/>
              </w:rPr>
              <w:t>58.1</w:t>
            </w:r>
          </w:p>
        </w:tc>
      </w:tr>
    </w:tbl>
    <w:p>
      <w:pPr>
        <w:tabs>
          <w:tab w:val="left" w:pos="1485"/>
        </w:tabs>
        <w:spacing w:before="156" w:beforeLines="50" w:line="360" w:lineRule="auto"/>
        <w:ind w:firstLine="480" w:firstLineChars="200"/>
        <w:rPr>
          <w:b/>
          <w:sz w:val="24"/>
        </w:rPr>
      </w:pPr>
      <w:r>
        <w:rPr>
          <w:b/>
          <w:sz w:val="24"/>
        </w:rPr>
        <w:t>（三）不同年代水资源总量对比分析</w:t>
      </w:r>
    </w:p>
    <w:p>
      <w:pPr>
        <w:spacing w:line="360" w:lineRule="auto"/>
        <w:ind w:firstLine="480" w:firstLineChars="200"/>
        <w:rPr>
          <w:sz w:val="24"/>
        </w:rPr>
      </w:pPr>
      <w:r>
        <w:rPr>
          <w:sz w:val="24"/>
        </w:rPr>
        <w:t>六安市同步期水资源总量年际变化幅度较大，最大值为1991年的180.42亿m</w:t>
      </w:r>
      <w:r>
        <w:rPr>
          <w:sz w:val="24"/>
          <w:vertAlign w:val="superscript"/>
        </w:rPr>
        <w:t>3</w:t>
      </w:r>
      <w:r>
        <w:rPr>
          <w:sz w:val="24"/>
        </w:rPr>
        <w:t>，最小值为1978年的30.59亿m</w:t>
      </w:r>
      <w:r>
        <w:rPr>
          <w:sz w:val="24"/>
          <w:vertAlign w:val="superscript"/>
        </w:rPr>
        <w:t>3</w:t>
      </w:r>
      <w:r>
        <w:rPr>
          <w:sz w:val="24"/>
        </w:rPr>
        <w:t>，极值比为5.9，淮河流域和长江流域同步系列水资源总量年际变化基本与六安市变化保持一致。</w:t>
      </w:r>
    </w:p>
    <w:p>
      <w:pPr>
        <w:topLinePunct/>
        <w:spacing w:line="360" w:lineRule="auto"/>
        <w:ind w:firstLine="480" w:firstLineChars="200"/>
        <w:rPr>
          <w:sz w:val="24"/>
        </w:rPr>
      </w:pPr>
      <w:r>
        <w:rPr>
          <w:sz w:val="24"/>
        </w:rPr>
        <w:t>水资源总量的年代变化大体与降水基本一致。水资源总量的年代变化各年代均值与同步期均值相比变化不大，六十年代至七十年代略偏少，八十年代偏多、九十年代略偏少，2001～2010年和2011～2016年略偏多。各年代平均水资源量从五十年代至21世纪初基本呈上升态势。全市产水系数、产水模数均呈缓慢上升趋势。</w:t>
      </w:r>
    </w:p>
    <w:p>
      <w:pPr>
        <w:topLinePunct/>
        <w:spacing w:line="360" w:lineRule="auto"/>
        <w:ind w:firstLine="480" w:firstLineChars="200"/>
        <w:rPr>
          <w:sz w:val="24"/>
        </w:rPr>
      </w:pPr>
      <w:r>
        <w:rPr>
          <w:sz w:val="24"/>
        </w:rPr>
        <w:t>六安市各流域水资源总量年代变化见表3.1.18、图3.1.4。</w:t>
      </w:r>
    </w:p>
    <w:p>
      <w:pPr>
        <w:tabs>
          <w:tab w:val="left" w:pos="1485"/>
        </w:tabs>
        <w:spacing w:line="360" w:lineRule="auto"/>
        <w:jc w:val="center"/>
        <w:rPr>
          <w:b/>
          <w:sz w:val="24"/>
        </w:rPr>
      </w:pPr>
      <w:r>
        <w:rPr>
          <w:b/>
          <w:kern w:val="0"/>
          <w:sz w:val="24"/>
        </w:rPr>
        <w:t>表3.1.18  六安市各流域水资源总量年代变化表</w:t>
      </w:r>
    </w:p>
    <w:tbl>
      <w:tblPr>
        <w:tblStyle w:val="36"/>
        <w:tblW w:w="8607" w:type="dxa"/>
        <w:tblInd w:w="0" w:type="dxa"/>
        <w:tblLayout w:type="fixed"/>
        <w:tblCellMar>
          <w:top w:w="0" w:type="dxa"/>
          <w:left w:w="108" w:type="dxa"/>
          <w:bottom w:w="0" w:type="dxa"/>
          <w:right w:w="108" w:type="dxa"/>
        </w:tblCellMar>
      </w:tblPr>
      <w:tblGrid>
        <w:gridCol w:w="947"/>
        <w:gridCol w:w="1094"/>
        <w:gridCol w:w="1094"/>
        <w:gridCol w:w="1094"/>
        <w:gridCol w:w="1095"/>
        <w:gridCol w:w="1094"/>
        <w:gridCol w:w="1094"/>
        <w:gridCol w:w="1095"/>
      </w:tblGrid>
      <w:tr>
        <w:tblPrEx>
          <w:tblCellMar>
            <w:top w:w="0" w:type="dxa"/>
            <w:left w:w="108" w:type="dxa"/>
            <w:bottom w:w="0" w:type="dxa"/>
            <w:right w:w="108" w:type="dxa"/>
          </w:tblCellMar>
        </w:tblPrEx>
        <w:trPr>
          <w:trHeight w:val="340" w:hRule="atLeast"/>
        </w:trPr>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流域</w:t>
            </w:r>
          </w:p>
        </w:tc>
        <w:tc>
          <w:tcPr>
            <w:tcW w:w="76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水资源总量（亿m</w:t>
            </w:r>
            <w:r>
              <w:rPr>
                <w:kern w:val="0"/>
                <w:sz w:val="18"/>
                <w:szCs w:val="18"/>
                <w:vertAlign w:val="superscript"/>
              </w:rPr>
              <w:t>3</w:t>
            </w:r>
            <w:r>
              <w:rPr>
                <w:kern w:val="0"/>
                <w:sz w:val="18"/>
                <w:szCs w:val="18"/>
              </w:rPr>
              <w:t>）</w:t>
            </w:r>
          </w:p>
        </w:tc>
      </w:tr>
      <w:tr>
        <w:tblPrEx>
          <w:tblCellMar>
            <w:top w:w="0" w:type="dxa"/>
            <w:left w:w="108" w:type="dxa"/>
            <w:bottom w:w="0" w:type="dxa"/>
            <w:right w:w="108" w:type="dxa"/>
          </w:tblCellMar>
        </w:tblPrEx>
        <w:trPr>
          <w:trHeight w:val="340" w:hRule="atLeast"/>
        </w:trPr>
        <w:tc>
          <w:tcPr>
            <w:tcW w:w="9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50年代</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60年代</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70年代</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80年代</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90年代</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bookmarkStart w:id="186" w:name="_Hlk58489975"/>
            <w:r>
              <w:rPr>
                <w:kern w:val="0"/>
                <w:sz w:val="18"/>
                <w:szCs w:val="18"/>
              </w:rPr>
              <w:t>2001～2010年</w:t>
            </w:r>
            <w:bookmarkEnd w:id="186"/>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2011～2016年</w:t>
            </w:r>
          </w:p>
        </w:tc>
      </w:tr>
      <w:tr>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69.69</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65.85</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65.39</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80.27</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66.41</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74.48</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74.92</w:t>
            </w:r>
          </w:p>
        </w:tc>
      </w:tr>
      <w:tr>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16.46</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17.20</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17.15</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20.47</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18.25</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18.66</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19.07</w:t>
            </w:r>
          </w:p>
        </w:tc>
      </w:tr>
      <w:tr>
        <w:tblPrEx>
          <w:tblCellMar>
            <w:top w:w="0" w:type="dxa"/>
            <w:left w:w="108" w:type="dxa"/>
            <w:bottom w:w="0" w:type="dxa"/>
            <w:right w:w="108" w:type="dxa"/>
          </w:tblCellMar>
        </w:tblPrEx>
        <w:trPr>
          <w:trHeight w:val="340" w:hRule="atLeast"/>
        </w:trPr>
        <w:tc>
          <w:tcPr>
            <w:tcW w:w="9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全市</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86.15</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83.05</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82.54</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100.74</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84.66</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93.14</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93.99</w:t>
            </w:r>
          </w:p>
        </w:tc>
      </w:tr>
    </w:tbl>
    <w:p>
      <w:pPr>
        <w:topLinePunct/>
        <w:jc w:val="center"/>
        <w:rPr>
          <w:sz w:val="24"/>
        </w:rPr>
      </w:pPr>
    </w:p>
    <w:p>
      <w:pPr>
        <w:topLinePunct/>
        <w:spacing w:line="360" w:lineRule="auto"/>
        <w:jc w:val="center"/>
        <w:rPr>
          <w:sz w:val="24"/>
        </w:rPr>
      </w:pPr>
      <w:r>
        <w:drawing>
          <wp:inline distT="0" distB="0" distL="0" distR="0">
            <wp:extent cx="5471795" cy="2581910"/>
            <wp:effectExtent l="4445" t="4445" r="10160" b="2349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tabs>
          <w:tab w:val="left" w:pos="1485"/>
        </w:tabs>
        <w:spacing w:line="360" w:lineRule="auto"/>
        <w:jc w:val="center"/>
        <w:rPr>
          <w:b/>
          <w:sz w:val="24"/>
        </w:rPr>
      </w:pPr>
      <w:r>
        <w:rPr>
          <w:b/>
          <w:sz w:val="24"/>
        </w:rPr>
        <w:t xml:space="preserve">图3.1.4  </w:t>
      </w:r>
      <w:r>
        <w:rPr>
          <w:b/>
          <w:kern w:val="0"/>
          <w:sz w:val="24"/>
        </w:rPr>
        <w:t>六安市各流域水资源总量年代变化</w:t>
      </w:r>
      <w:r>
        <w:rPr>
          <w:b/>
          <w:sz w:val="24"/>
        </w:rPr>
        <w:t>图</w:t>
      </w:r>
    </w:p>
    <w:p>
      <w:pPr>
        <w:pStyle w:val="4"/>
        <w:spacing w:before="156" w:beforeLines="50" w:after="156" w:afterLines="50" w:line="360" w:lineRule="auto"/>
        <w:rPr>
          <w:sz w:val="28"/>
        </w:rPr>
      </w:pPr>
      <w:bookmarkStart w:id="187" w:name="_Toc382472199"/>
      <w:bookmarkStart w:id="188" w:name="_Toc95382463"/>
      <w:bookmarkStart w:id="189" w:name="_Toc324432035"/>
      <w:bookmarkStart w:id="190" w:name="_Toc432782527"/>
      <w:r>
        <w:rPr>
          <w:sz w:val="28"/>
        </w:rPr>
        <w:t>六、水资源可利用量</w:t>
      </w:r>
      <w:bookmarkEnd w:id="187"/>
      <w:bookmarkEnd w:id="188"/>
      <w:bookmarkEnd w:id="189"/>
      <w:bookmarkEnd w:id="190"/>
    </w:p>
    <w:p>
      <w:pPr>
        <w:spacing w:line="360" w:lineRule="auto"/>
        <w:ind w:firstLine="480" w:firstLineChars="200"/>
        <w:rPr>
          <w:b/>
          <w:sz w:val="24"/>
        </w:rPr>
      </w:pPr>
      <w:r>
        <w:rPr>
          <w:b/>
          <w:sz w:val="24"/>
        </w:rPr>
        <w:t>（一）地表水资源可利用量</w:t>
      </w:r>
    </w:p>
    <w:p>
      <w:pPr>
        <w:spacing w:line="360" w:lineRule="auto"/>
        <w:ind w:firstLine="480" w:firstLineChars="200"/>
        <w:rPr>
          <w:sz w:val="24"/>
        </w:rPr>
      </w:pPr>
      <w:r>
        <w:rPr>
          <w:sz w:val="24"/>
        </w:rPr>
        <w:t>1、地表水可利用量概念</w:t>
      </w:r>
    </w:p>
    <w:p>
      <w:pPr>
        <w:spacing w:line="360" w:lineRule="auto"/>
        <w:ind w:firstLine="480" w:firstLineChars="200"/>
        <w:rPr>
          <w:sz w:val="24"/>
        </w:rPr>
      </w:pPr>
      <w:r>
        <w:rPr>
          <w:sz w:val="24"/>
        </w:rPr>
        <w:t>地表水资源可利用量是指在可预见的时期内，在统筹考虑河道内生态环境和其它用水的基础上，通过经济合理、技术可行的措施，可供河道外生活、生产、生态用水的一次性最大水量（不包括回归水的重复利用）。是从资源的角度分析可能被消耗利用的水资源量。地表水可利用量是宏观数，以水系为计算单元，为一次性水量。虽考虑工程及用户需求情况但不具体，时间概念模糊，通常为中远期概念，并且在数量上不能超过地表水资源量。</w:t>
      </w:r>
    </w:p>
    <w:p>
      <w:pPr>
        <w:spacing w:line="360" w:lineRule="auto"/>
        <w:ind w:firstLine="480" w:firstLineChars="200"/>
        <w:rPr>
          <w:sz w:val="24"/>
        </w:rPr>
      </w:pPr>
      <w:bookmarkStart w:id="191" w:name="_Toc69900418"/>
      <w:bookmarkStart w:id="192" w:name="_Toc74194857"/>
      <w:r>
        <w:rPr>
          <w:bCs/>
          <w:sz w:val="24"/>
        </w:rPr>
        <w:t>可利用量</w:t>
      </w:r>
      <w:bookmarkEnd w:id="191"/>
      <w:bookmarkEnd w:id="192"/>
      <w:r>
        <w:rPr>
          <w:sz w:val="24"/>
        </w:rPr>
        <w:t>主要有以下五种</w:t>
      </w:r>
      <w:r>
        <w:rPr>
          <w:bCs/>
          <w:sz w:val="24"/>
        </w:rPr>
        <w:t>特性</w:t>
      </w:r>
      <w:r>
        <w:rPr>
          <w:sz w:val="24"/>
        </w:rPr>
        <w:t>：独立完整性、受制约性、相对极限性、模糊性和动态性。地表水资源可利用量的计算以流域和水系为单元，以保持成果的完整性，水资源的可利用量在不同时期计算时将会有所变化，但在可预见的时期内又具有相对稳定性。</w:t>
      </w:r>
    </w:p>
    <w:p>
      <w:pPr>
        <w:spacing w:line="360" w:lineRule="auto"/>
        <w:ind w:firstLine="480" w:firstLineChars="200"/>
        <w:rPr>
          <w:sz w:val="24"/>
        </w:rPr>
      </w:pPr>
      <w:r>
        <w:rPr>
          <w:sz w:val="24"/>
        </w:rPr>
        <w:t>可利用量的影响因素主要有自然地理条件、水资源特性和经济社会的发展水平，同时还受生态环境保护的约束。</w:t>
      </w:r>
    </w:p>
    <w:p>
      <w:pPr>
        <w:spacing w:line="360" w:lineRule="auto"/>
        <w:ind w:firstLine="480" w:firstLineChars="200"/>
        <w:rPr>
          <w:sz w:val="24"/>
        </w:rPr>
      </w:pPr>
      <w:r>
        <w:rPr>
          <w:sz w:val="24"/>
        </w:rPr>
        <w:t>2、地表水资源可利用量的计算方法和原则</w:t>
      </w:r>
    </w:p>
    <w:p>
      <w:pPr>
        <w:spacing w:line="360" w:lineRule="auto"/>
        <w:ind w:firstLine="480" w:firstLineChars="200"/>
        <w:rPr>
          <w:sz w:val="24"/>
        </w:rPr>
      </w:pPr>
      <w:r>
        <w:rPr>
          <w:b/>
          <w:sz w:val="24"/>
        </w:rPr>
        <w:t>计算原则：</w:t>
      </w:r>
      <w:r>
        <w:rPr>
          <w:sz w:val="24"/>
        </w:rPr>
        <w:t>水资源可持续利用的原则、统筹兼顾及优先保证最小生态环境需水的原则、以流域水系为系统的原则、因地制宜的原则。</w:t>
      </w:r>
      <w:bookmarkStart w:id="193" w:name="_Toc69900421"/>
      <w:bookmarkStart w:id="194" w:name="_Toc74194860"/>
    </w:p>
    <w:p>
      <w:pPr>
        <w:spacing w:line="360" w:lineRule="auto"/>
        <w:ind w:firstLine="480" w:firstLineChars="200"/>
        <w:rPr>
          <w:sz w:val="24"/>
        </w:rPr>
      </w:pPr>
      <w:r>
        <w:rPr>
          <w:b/>
          <w:sz w:val="24"/>
        </w:rPr>
        <w:t>计算方法</w:t>
      </w:r>
      <w:bookmarkEnd w:id="193"/>
      <w:bookmarkEnd w:id="194"/>
      <w:r>
        <w:rPr>
          <w:b/>
          <w:sz w:val="24"/>
        </w:rPr>
        <w:t>：</w:t>
      </w:r>
      <w:r>
        <w:rPr>
          <w:sz w:val="24"/>
        </w:rPr>
        <w:t>以流域和水系为单元分析计算，以保持成果的独立性、完整性；本次可利用量的计算只计算多年平均水资源量的可利用量。地表水可利用量的计算方法一般有正算法、倒算法两种。六安市本次采用正算法。</w:t>
      </w:r>
    </w:p>
    <w:p>
      <w:pPr>
        <w:spacing w:line="360" w:lineRule="auto"/>
        <w:ind w:firstLine="420" w:firstLineChars="175"/>
        <w:rPr>
          <w:sz w:val="24"/>
        </w:rPr>
      </w:pPr>
      <w:r>
        <w:rPr>
          <w:sz w:val="24"/>
        </w:rPr>
        <w:t>正算法（直接计算法）：正算法是根据工程最大供水能力或最大用水需求的分析成果，以用水消耗系数（耗水率）折算出相应的可供河道外一次性利用的水量。正算法用于南方水资源较丰沛的地区，其中大江大河上游或支流水资源开发利用难度较大的山区，采用计算工程最大供水能力的方法估算；大江大河下游地区采用最大用水需求的方法估算。因此，正算法所需的水量计算为：工程最大供水能力相应的供水量、最大用水需求量。</w:t>
      </w:r>
    </w:p>
    <w:p>
      <w:pPr>
        <w:spacing w:line="360" w:lineRule="auto"/>
        <w:ind w:firstLine="480" w:firstLineChars="200"/>
        <w:rPr>
          <w:sz w:val="24"/>
        </w:rPr>
      </w:pPr>
      <w:r>
        <w:rPr>
          <w:sz w:val="24"/>
        </w:rPr>
        <w:t>3、地表水资源可利用量</w:t>
      </w:r>
    </w:p>
    <w:p>
      <w:pPr>
        <w:spacing w:line="360" w:lineRule="auto"/>
        <w:ind w:firstLine="480"/>
        <w:rPr>
          <w:sz w:val="24"/>
        </w:rPr>
      </w:pPr>
      <w:r>
        <w:rPr>
          <w:sz w:val="24"/>
        </w:rPr>
        <w:t>通过上述方法计算，六安市地表水资源可利用量为</w:t>
      </w:r>
      <w:r>
        <w:rPr>
          <w:bCs/>
          <w:kern w:val="0"/>
          <w:sz w:val="24"/>
        </w:rPr>
        <w:t>51.4</w:t>
      </w:r>
      <w:r>
        <w:rPr>
          <w:sz w:val="24"/>
        </w:rPr>
        <w:t>亿m</w:t>
      </w:r>
      <w:r>
        <w:rPr>
          <w:sz w:val="24"/>
          <w:vertAlign w:val="superscript"/>
        </w:rPr>
        <w:t>3</w:t>
      </w:r>
      <w:r>
        <w:rPr>
          <w:sz w:val="24"/>
        </w:rPr>
        <w:t>，地表水资源可利用率为59.7%。</w:t>
      </w:r>
    </w:p>
    <w:p>
      <w:pPr>
        <w:spacing w:line="360" w:lineRule="auto"/>
        <w:ind w:firstLine="480" w:firstLineChars="200"/>
        <w:rPr>
          <w:b/>
          <w:sz w:val="24"/>
        </w:rPr>
      </w:pPr>
      <w:r>
        <w:rPr>
          <w:b/>
          <w:sz w:val="24"/>
        </w:rPr>
        <w:t>（二）平原区地下水可开采量</w:t>
      </w:r>
    </w:p>
    <w:p>
      <w:pPr>
        <w:spacing w:line="360" w:lineRule="auto"/>
        <w:ind w:firstLine="480"/>
        <w:rPr>
          <w:sz w:val="24"/>
        </w:rPr>
      </w:pPr>
      <w:r>
        <w:rPr>
          <w:sz w:val="24"/>
        </w:rPr>
        <w:t>本次评价的地下水可开采量是指在保护生态环境和地下水资源可持续利用的前提下，通过经济合理、技术可行的措施，在近期下垫面条件下可从含水层中获取的最大水量。要求对平原区矿化度M≤2g/L的浅层地下水可开采量进行评价。</w:t>
      </w:r>
    </w:p>
    <w:p>
      <w:pPr>
        <w:spacing w:line="360" w:lineRule="auto"/>
        <w:ind w:firstLine="480"/>
        <w:rPr>
          <w:sz w:val="24"/>
        </w:rPr>
      </w:pPr>
      <w:r>
        <w:rPr>
          <w:sz w:val="24"/>
        </w:rPr>
        <w:t>本次修编评价采用安徽省第三次水资源调查评价成果。可开采量计算一般以水均衡法为主要方法、以实际开采量调查法和可开采系数法为参考方法评价地下水可开采量，有条件地区也可以选取数值计算法、多年调节计算法等其他计算方法评价地下水可开采量，并按照“多种方法、综合分析、从严选用”的原则确定地下水可开采量评价成果。</w:t>
      </w:r>
    </w:p>
    <w:p>
      <w:pPr>
        <w:spacing w:line="360" w:lineRule="auto"/>
        <w:ind w:firstLine="480" w:firstLineChars="200"/>
        <w:rPr>
          <w:bCs/>
          <w:color w:val="FF0000"/>
          <w:sz w:val="24"/>
        </w:rPr>
      </w:pPr>
      <w:r>
        <w:rPr>
          <w:sz w:val="24"/>
        </w:rPr>
        <w:t>通过分析计算，六安市平原区2001～2016年多年平均地下水可开采量为2.18亿m³，多年平均可开采模数为8.31万m³/km</w:t>
      </w:r>
      <w:r>
        <w:rPr>
          <w:sz w:val="24"/>
          <w:vertAlign w:val="superscript"/>
        </w:rPr>
        <w:t>2</w:t>
      </w:r>
      <w:r>
        <w:rPr>
          <w:sz w:val="24"/>
        </w:rPr>
        <w:t>。</w:t>
      </w:r>
    </w:p>
    <w:p>
      <w:pPr>
        <w:pStyle w:val="4"/>
        <w:spacing w:before="156" w:beforeLines="50" w:after="156" w:afterLines="50" w:line="360" w:lineRule="auto"/>
        <w:rPr>
          <w:sz w:val="28"/>
        </w:rPr>
      </w:pPr>
      <w:bookmarkStart w:id="195" w:name="_Toc324432036"/>
      <w:bookmarkStart w:id="196" w:name="_Toc382472200"/>
      <w:bookmarkStart w:id="197" w:name="_Toc432782528"/>
      <w:bookmarkStart w:id="198" w:name="_Toc95382464"/>
      <w:r>
        <w:rPr>
          <w:sz w:val="28"/>
        </w:rPr>
        <w:t>七、出入境水量</w:t>
      </w:r>
      <w:bookmarkEnd w:id="195"/>
      <w:bookmarkEnd w:id="196"/>
      <w:bookmarkEnd w:id="197"/>
      <w:bookmarkEnd w:id="198"/>
    </w:p>
    <w:p>
      <w:pPr>
        <w:spacing w:line="360" w:lineRule="auto"/>
        <w:ind w:firstLine="480" w:firstLineChars="200"/>
        <w:rPr>
          <w:bCs/>
          <w:sz w:val="24"/>
        </w:rPr>
      </w:pPr>
      <w:r>
        <w:rPr>
          <w:bCs/>
          <w:sz w:val="24"/>
        </w:rPr>
        <w:t>六安市位于淮河中游、长江下游地区，与河南省信阳市及安徽省阜阳市、安庆市、合肥市、淮南市等市接壤；与它们有大量的水量交换。出入境水量主要根据各水文站的实测径流资料及还原水量并结合干流主要控制站的实测径流进行计算。</w:t>
      </w:r>
      <w:r>
        <w:rPr>
          <w:sz w:val="24"/>
        </w:rPr>
        <w:t>淮河干流作为六安市和阜阳市的边界河流，此次计算单独考虑，不作为六安市境内河流参与计算，六安市境内其他河流的入淮量也作为出境量处理。</w:t>
      </w:r>
    </w:p>
    <w:p>
      <w:pPr>
        <w:spacing w:line="360" w:lineRule="auto"/>
        <w:ind w:firstLine="480" w:firstLineChars="200"/>
        <w:rPr>
          <w:sz w:val="24"/>
        </w:rPr>
      </w:pPr>
      <w:r>
        <w:rPr>
          <w:sz w:val="24"/>
        </w:rPr>
        <w:t>六安市1956～2016年多年平均入境水量为25.94亿m</w:t>
      </w:r>
      <w:r>
        <w:rPr>
          <w:sz w:val="24"/>
          <w:vertAlign w:val="superscript"/>
        </w:rPr>
        <w:t>3</w:t>
      </w:r>
      <w:r>
        <w:rPr>
          <w:sz w:val="24"/>
        </w:rPr>
        <w:t>，出境水量为99.71亿m</w:t>
      </w:r>
      <w:r>
        <w:rPr>
          <w:sz w:val="24"/>
          <w:vertAlign w:val="superscript"/>
        </w:rPr>
        <w:t>3</w:t>
      </w:r>
      <w:r>
        <w:rPr>
          <w:sz w:val="24"/>
        </w:rPr>
        <w:t>，出入境水量之差73.77亿m</w:t>
      </w:r>
      <w:r>
        <w:rPr>
          <w:sz w:val="24"/>
          <w:vertAlign w:val="superscript"/>
        </w:rPr>
        <w:t>3</w:t>
      </w:r>
      <w:r>
        <w:rPr>
          <w:b/>
          <w:bCs/>
          <w:sz w:val="24"/>
        </w:rPr>
        <w:t>。</w:t>
      </w:r>
      <w:r>
        <w:rPr>
          <w:sz w:val="24"/>
        </w:rPr>
        <w:t>最大入境水量出现在1956年，入境水量为73.31亿m</w:t>
      </w:r>
      <w:r>
        <w:rPr>
          <w:sz w:val="24"/>
          <w:vertAlign w:val="superscript"/>
        </w:rPr>
        <w:t>3</w:t>
      </w:r>
      <w:r>
        <w:rPr>
          <w:sz w:val="24"/>
        </w:rPr>
        <w:t>；最小出现在1966年，入境水量5.02亿m</w:t>
      </w:r>
      <w:r>
        <w:rPr>
          <w:sz w:val="24"/>
          <w:vertAlign w:val="superscript"/>
        </w:rPr>
        <w:t>3</w:t>
      </w:r>
      <w:r>
        <w:rPr>
          <w:sz w:val="24"/>
        </w:rPr>
        <w:t>。最大出境水量出现在1991年，出境水量为249.68亿m</w:t>
      </w:r>
      <w:r>
        <w:rPr>
          <w:sz w:val="24"/>
          <w:vertAlign w:val="superscript"/>
        </w:rPr>
        <w:t>3</w:t>
      </w:r>
      <w:r>
        <w:rPr>
          <w:sz w:val="24"/>
        </w:rPr>
        <w:t>；最小出现在1966年，出境水量22.68亿m</w:t>
      </w:r>
      <w:r>
        <w:rPr>
          <w:sz w:val="24"/>
          <w:vertAlign w:val="superscript"/>
        </w:rPr>
        <w:t>3</w:t>
      </w:r>
      <w:r>
        <w:rPr>
          <w:sz w:val="24"/>
        </w:rPr>
        <w:t>。</w:t>
      </w:r>
    </w:p>
    <w:p>
      <w:pPr>
        <w:spacing w:before="156" w:beforeLines="50" w:after="156" w:afterLines="50" w:line="360" w:lineRule="auto"/>
        <w:outlineLvl w:val="2"/>
        <w:rPr>
          <w:b/>
          <w:bCs/>
          <w:sz w:val="28"/>
        </w:rPr>
      </w:pPr>
      <w:bookmarkStart w:id="199" w:name="_Toc382472201"/>
      <w:bookmarkStart w:id="200" w:name="_Toc432782529"/>
      <w:bookmarkStart w:id="201" w:name="_Toc95382465"/>
      <w:r>
        <w:rPr>
          <w:b/>
          <w:bCs/>
          <w:sz w:val="28"/>
        </w:rPr>
        <w:t>八、水资源质量</w:t>
      </w:r>
      <w:bookmarkEnd w:id="199"/>
      <w:bookmarkEnd w:id="200"/>
      <w:bookmarkEnd w:id="201"/>
    </w:p>
    <w:p>
      <w:pPr>
        <w:spacing w:line="360" w:lineRule="auto"/>
        <w:ind w:firstLine="480" w:firstLineChars="200"/>
        <w:rPr>
          <w:sz w:val="24"/>
        </w:rPr>
      </w:pPr>
      <w:bookmarkStart w:id="202" w:name="_Toc382472202"/>
      <w:r>
        <w:rPr>
          <w:rFonts w:hint="eastAsia"/>
          <w:sz w:val="24"/>
        </w:rPr>
        <w:t>2020年1</w:t>
      </w:r>
      <w:r>
        <w:rPr>
          <w:rFonts w:hint="eastAsia" w:ascii="宋体" w:hAnsi="宋体"/>
          <w:sz w:val="24"/>
        </w:rPr>
        <w:t>～</w:t>
      </w:r>
      <w:r>
        <w:rPr>
          <w:rFonts w:hint="eastAsia"/>
          <w:sz w:val="24"/>
        </w:rPr>
        <w:t>12月份，六安市境内六大水库水质总体保持良好，市县两级集中式饮用水水源地水质达标率为100%，全市11个地表水国控考核断面水质优良比例100%，达标率100%，超额完成“十三五”目标任务。全市纳入监测、考核的17个重要水功能水质达标率100%。</w:t>
      </w:r>
    </w:p>
    <w:p>
      <w:pPr>
        <w:spacing w:line="360" w:lineRule="auto"/>
        <w:rPr>
          <w:sz w:val="24"/>
        </w:rPr>
      </w:pPr>
    </w:p>
    <w:p>
      <w:pPr>
        <w:spacing w:line="360" w:lineRule="auto"/>
        <w:ind w:firstLine="480" w:firstLineChars="200"/>
        <w:rPr>
          <w:sz w:val="24"/>
        </w:rPr>
        <w:sectPr>
          <w:pgSz w:w="11906" w:h="16838"/>
          <w:pgMar w:top="1440" w:right="1797" w:bottom="1440" w:left="1797" w:header="851" w:footer="992" w:gutter="0"/>
          <w:cols w:space="425" w:num="1"/>
          <w:docGrid w:type="linesAndChars" w:linePitch="312" w:charSpace="0"/>
        </w:sectPr>
      </w:pPr>
    </w:p>
    <w:p>
      <w:pPr>
        <w:pStyle w:val="3"/>
        <w:adjustRightInd w:val="0"/>
        <w:snapToGrid w:val="0"/>
        <w:spacing w:before="312" w:beforeLines="100" w:after="312" w:afterLines="100" w:line="360" w:lineRule="auto"/>
        <w:jc w:val="center"/>
        <w:rPr>
          <w:rFonts w:ascii="Times New Roman" w:hAnsi="Times New Roman" w:eastAsia="宋体" w:cs="Times New Roman"/>
          <w:szCs w:val="36"/>
        </w:rPr>
      </w:pPr>
      <w:bookmarkStart w:id="203" w:name="_Toc32720"/>
      <w:bookmarkStart w:id="204" w:name="_Toc2659"/>
      <w:bookmarkStart w:id="205" w:name="_Toc14349"/>
      <w:bookmarkStart w:id="206" w:name="_Toc10463"/>
      <w:bookmarkStart w:id="207" w:name="_Toc432782530"/>
      <w:bookmarkStart w:id="208" w:name="_Toc26007"/>
      <w:bookmarkStart w:id="209" w:name="_Toc20682"/>
      <w:bookmarkStart w:id="210" w:name="_Toc25652"/>
      <w:bookmarkStart w:id="211" w:name="_Toc95382466"/>
      <w:r>
        <w:rPr>
          <w:rFonts w:ascii="Times New Roman" w:hAnsi="Times New Roman" w:eastAsia="宋体" w:cs="Times New Roman"/>
          <w:szCs w:val="36"/>
        </w:rPr>
        <w:t>第二节 水资源开发利用现状</w:t>
      </w:r>
      <w:bookmarkEnd w:id="202"/>
      <w:bookmarkEnd w:id="203"/>
      <w:bookmarkEnd w:id="204"/>
      <w:bookmarkEnd w:id="205"/>
      <w:bookmarkEnd w:id="206"/>
      <w:bookmarkEnd w:id="207"/>
      <w:bookmarkEnd w:id="208"/>
      <w:bookmarkEnd w:id="209"/>
      <w:bookmarkEnd w:id="210"/>
      <w:bookmarkEnd w:id="211"/>
    </w:p>
    <w:p>
      <w:pPr>
        <w:pStyle w:val="4"/>
        <w:spacing w:before="156" w:beforeLines="50" w:after="156" w:afterLines="50"/>
        <w:rPr>
          <w:sz w:val="28"/>
        </w:rPr>
      </w:pPr>
      <w:bookmarkStart w:id="212" w:name="_Toc95382467"/>
      <w:bookmarkStart w:id="213" w:name="_Toc432782533"/>
      <w:bookmarkStart w:id="214" w:name="_Toc382472205"/>
      <w:r>
        <w:rPr>
          <w:rFonts w:hint="eastAsia"/>
          <w:sz w:val="28"/>
        </w:rPr>
        <w:t>一、供水工程和供水水源</w:t>
      </w:r>
      <w:bookmarkEnd w:id="212"/>
    </w:p>
    <w:p>
      <w:pPr>
        <w:spacing w:line="360" w:lineRule="auto"/>
        <w:ind w:firstLine="480" w:firstLineChars="200"/>
        <w:rPr>
          <w:sz w:val="24"/>
        </w:rPr>
      </w:pPr>
      <w:r>
        <w:rPr>
          <w:rFonts w:hint="eastAsia"/>
          <w:sz w:val="24"/>
        </w:rPr>
        <w:t>六安市主要供水工程以蓄水工程（水库）为主，供水水源以蓄水工程供水水源为主。</w:t>
      </w:r>
    </w:p>
    <w:p>
      <w:pPr>
        <w:spacing w:line="360" w:lineRule="auto"/>
        <w:ind w:firstLine="480" w:firstLineChars="200"/>
        <w:rPr>
          <w:sz w:val="24"/>
        </w:rPr>
      </w:pPr>
      <w:r>
        <w:rPr>
          <w:rFonts w:hint="eastAsia"/>
          <w:sz w:val="24"/>
        </w:rPr>
        <w:t>六安市现状有大型水库6座，其中佛子岭、梅山、响洪甸、磨子潭建于2</w:t>
      </w:r>
      <w:r>
        <w:rPr>
          <w:sz w:val="24"/>
        </w:rPr>
        <w:t>0</w:t>
      </w:r>
      <w:r>
        <w:rPr>
          <w:rFonts w:hint="eastAsia"/>
          <w:sz w:val="24"/>
        </w:rPr>
        <w:t>世纪50年代治淮期间，分别位于淠河、史河上游；龙河口水库建于1958年，位于杭埠河上游；白莲崖水库建于2</w:t>
      </w:r>
      <w:r>
        <w:rPr>
          <w:sz w:val="24"/>
        </w:rPr>
        <w:t>006</w:t>
      </w:r>
      <w:r>
        <w:rPr>
          <w:rFonts w:hint="eastAsia"/>
          <w:sz w:val="24"/>
        </w:rPr>
        <w:t>年，位于淠河上游。全市现状有中型水库6座，其中龙潭、蝎子山、老圈行、水门塘水库位于霍邱县境内；流波水库、青山水库位于金寨县境内；全市现状有小型水库</w:t>
      </w:r>
      <w:r>
        <w:rPr>
          <w:sz w:val="24"/>
        </w:rPr>
        <w:t>1222</w:t>
      </w:r>
      <w:r>
        <w:rPr>
          <w:rFonts w:hint="eastAsia"/>
          <w:sz w:val="24"/>
        </w:rPr>
        <w:t>座。</w:t>
      </w:r>
    </w:p>
    <w:p>
      <w:pPr>
        <w:spacing w:line="360" w:lineRule="auto"/>
        <w:ind w:firstLine="482" w:firstLineChars="200"/>
        <w:rPr>
          <w:b/>
          <w:sz w:val="24"/>
        </w:rPr>
      </w:pPr>
      <w:r>
        <w:rPr>
          <w:rFonts w:hint="eastAsia"/>
          <w:b/>
          <w:sz w:val="24"/>
        </w:rPr>
        <w:t>（一）大型水库概况</w:t>
      </w:r>
    </w:p>
    <w:p>
      <w:pPr>
        <w:spacing w:line="360" w:lineRule="auto"/>
        <w:ind w:firstLine="480" w:firstLineChars="200"/>
        <w:rPr>
          <w:sz w:val="24"/>
        </w:rPr>
      </w:pPr>
      <w:r>
        <w:rPr>
          <w:rFonts w:hint="eastAsia"/>
          <w:sz w:val="24"/>
        </w:rPr>
        <w:t>1、佛子岭水库</w:t>
      </w:r>
    </w:p>
    <w:p>
      <w:pPr>
        <w:spacing w:line="360" w:lineRule="auto"/>
        <w:ind w:firstLine="480" w:firstLineChars="200"/>
        <w:rPr>
          <w:sz w:val="24"/>
        </w:rPr>
      </w:pPr>
      <w:r>
        <w:rPr>
          <w:rFonts w:hint="eastAsia"/>
          <w:sz w:val="24"/>
        </w:rPr>
        <w:t>佛子岭水库是一个以防洪为主，结合灌溉、发电、航运等多目标开发、综合利用的枢纽工程，总库容4.91亿m</w:t>
      </w:r>
      <w:r>
        <w:rPr>
          <w:rFonts w:hint="eastAsia"/>
          <w:sz w:val="24"/>
          <w:vertAlign w:val="superscript"/>
        </w:rPr>
        <w:t>3</w:t>
      </w:r>
      <w:r>
        <w:rPr>
          <w:rFonts w:hint="eastAsia"/>
          <w:sz w:val="24"/>
        </w:rPr>
        <w:t>，水库座落在淮河支流—淠河东源上，坝址在霍山县城西南17km处，漫水河、黄尾河径流入库。坝下东淠河北流至两河口与西淠河上的响洪甸水库出流汇合后北流，经横排头、六安至正阳关入淮河。库区流域面积1840km</w:t>
      </w:r>
      <w:r>
        <w:rPr>
          <w:rFonts w:hint="eastAsia"/>
          <w:sz w:val="24"/>
          <w:vertAlign w:val="superscript"/>
        </w:rPr>
        <w:t>2</w:t>
      </w:r>
      <w:r>
        <w:rPr>
          <w:rFonts w:hint="eastAsia"/>
          <w:sz w:val="24"/>
        </w:rPr>
        <w:t>，占淠河全流域面积6000 km</w:t>
      </w:r>
      <w:r>
        <w:rPr>
          <w:rFonts w:hint="eastAsia"/>
          <w:sz w:val="24"/>
          <w:vertAlign w:val="superscript"/>
        </w:rPr>
        <w:t>2</w:t>
      </w:r>
      <w:r>
        <w:rPr>
          <w:rFonts w:hint="eastAsia"/>
          <w:sz w:val="24"/>
        </w:rPr>
        <w:t>的30.7％，库区处于中低纬度地带，南北冷暖气流交汇经常有气旋波产生。雨量丰沛，多年平均降雨量1512.6mm。</w:t>
      </w:r>
    </w:p>
    <w:p>
      <w:pPr>
        <w:spacing w:line="360" w:lineRule="auto"/>
        <w:ind w:firstLine="480" w:firstLineChars="200"/>
        <w:rPr>
          <w:sz w:val="24"/>
        </w:rPr>
      </w:pPr>
      <w:r>
        <w:rPr>
          <w:rFonts w:hint="eastAsia"/>
          <w:sz w:val="24"/>
        </w:rPr>
        <w:t>2、梅山水库</w:t>
      </w:r>
    </w:p>
    <w:p>
      <w:pPr>
        <w:spacing w:line="360" w:lineRule="auto"/>
        <w:ind w:firstLine="480" w:firstLineChars="200"/>
        <w:rPr>
          <w:sz w:val="24"/>
        </w:rPr>
      </w:pPr>
      <w:r>
        <w:rPr>
          <w:rFonts w:hint="eastAsia"/>
          <w:sz w:val="24"/>
        </w:rPr>
        <w:t>梅山水库坐落在淮河支流—史河上游，总库容22.63亿m</w:t>
      </w:r>
      <w:r>
        <w:rPr>
          <w:rFonts w:hint="eastAsia"/>
          <w:sz w:val="24"/>
          <w:vertAlign w:val="superscript"/>
        </w:rPr>
        <w:t>3</w:t>
      </w:r>
      <w:r>
        <w:rPr>
          <w:rFonts w:hint="eastAsia"/>
          <w:sz w:val="24"/>
        </w:rPr>
        <w:t>，坝址在距金寨县城约1km处。水库上游有竹根河、白沙河、麻河、白水河等11条山溪河流，库流域面积1970 km</w:t>
      </w:r>
      <w:r>
        <w:rPr>
          <w:rFonts w:hint="eastAsia"/>
          <w:sz w:val="24"/>
          <w:vertAlign w:val="superscript"/>
        </w:rPr>
        <w:t>2</w:t>
      </w:r>
      <w:r>
        <w:rPr>
          <w:rFonts w:hint="eastAsia"/>
          <w:sz w:val="24"/>
        </w:rPr>
        <w:t>，占史河全流域面积6880 km</w:t>
      </w:r>
      <w:r>
        <w:rPr>
          <w:rFonts w:hint="eastAsia"/>
          <w:sz w:val="24"/>
          <w:vertAlign w:val="superscript"/>
        </w:rPr>
        <w:t>2</w:t>
      </w:r>
      <w:r>
        <w:rPr>
          <w:rFonts w:hint="eastAsia"/>
          <w:sz w:val="24"/>
        </w:rPr>
        <w:t>的28.6%。雨量丰沛，实测多年平均降雨量1362mm，平均径流量13.6亿m</w:t>
      </w:r>
      <w:r>
        <w:rPr>
          <w:rFonts w:hint="eastAsia"/>
          <w:sz w:val="24"/>
          <w:vertAlign w:val="superscript"/>
        </w:rPr>
        <w:t>3</w:t>
      </w:r>
      <w:r>
        <w:rPr>
          <w:rFonts w:hint="eastAsia"/>
          <w:sz w:val="24"/>
        </w:rPr>
        <w:t>。</w:t>
      </w:r>
    </w:p>
    <w:p>
      <w:pPr>
        <w:spacing w:line="360" w:lineRule="auto"/>
        <w:ind w:firstLine="480" w:firstLineChars="200"/>
        <w:rPr>
          <w:sz w:val="24"/>
        </w:rPr>
      </w:pPr>
      <w:r>
        <w:rPr>
          <w:rFonts w:hint="eastAsia"/>
          <w:sz w:val="24"/>
        </w:rPr>
        <w:t>3、响洪甸水库</w:t>
      </w:r>
    </w:p>
    <w:p>
      <w:pPr>
        <w:spacing w:line="360" w:lineRule="auto"/>
        <w:ind w:firstLine="480" w:firstLineChars="200"/>
        <w:rPr>
          <w:sz w:val="24"/>
        </w:rPr>
      </w:pPr>
      <w:r>
        <w:rPr>
          <w:rFonts w:hint="eastAsia"/>
          <w:sz w:val="24"/>
        </w:rPr>
        <w:t>响洪甸水库坐落在淠河西源上游，坝址在金寨县境内，下游距裕安区独山镇16km，总库容26.32亿m</w:t>
      </w:r>
      <w:r>
        <w:rPr>
          <w:rFonts w:hint="eastAsia"/>
          <w:sz w:val="24"/>
          <w:vertAlign w:val="superscript"/>
        </w:rPr>
        <w:t>3</w:t>
      </w:r>
      <w:r>
        <w:rPr>
          <w:rFonts w:hint="eastAsia"/>
          <w:sz w:val="24"/>
        </w:rPr>
        <w:t>，姜家河、宋家河、燕子河径流入库。库区流域面积1400 km</w:t>
      </w:r>
      <w:r>
        <w:rPr>
          <w:rFonts w:hint="eastAsia"/>
          <w:sz w:val="24"/>
          <w:vertAlign w:val="superscript"/>
        </w:rPr>
        <w:t>2</w:t>
      </w:r>
      <w:r>
        <w:rPr>
          <w:rFonts w:hint="eastAsia"/>
          <w:sz w:val="24"/>
        </w:rPr>
        <w:t>，占淠河全流域面积的23.3%,水库上游多年平均降雨量1475.4mm,多年平均径流量11.1亿m</w:t>
      </w:r>
      <w:r>
        <w:rPr>
          <w:rFonts w:hint="eastAsia"/>
          <w:sz w:val="24"/>
          <w:vertAlign w:val="superscript"/>
        </w:rPr>
        <w:t>3</w:t>
      </w:r>
      <w:r>
        <w:rPr>
          <w:rFonts w:hint="eastAsia"/>
          <w:sz w:val="24"/>
        </w:rPr>
        <w:t>。</w:t>
      </w:r>
    </w:p>
    <w:p>
      <w:pPr>
        <w:spacing w:line="360" w:lineRule="auto"/>
        <w:ind w:firstLine="480" w:firstLineChars="200"/>
        <w:rPr>
          <w:sz w:val="24"/>
        </w:rPr>
      </w:pPr>
      <w:r>
        <w:rPr>
          <w:rFonts w:hint="eastAsia"/>
          <w:sz w:val="24"/>
        </w:rPr>
        <w:t>4、磨子潭水库</w:t>
      </w:r>
    </w:p>
    <w:p>
      <w:pPr>
        <w:spacing w:line="360" w:lineRule="auto"/>
        <w:ind w:firstLine="480" w:firstLineChars="200"/>
        <w:rPr>
          <w:sz w:val="24"/>
        </w:rPr>
      </w:pPr>
      <w:r>
        <w:rPr>
          <w:rFonts w:hint="eastAsia"/>
          <w:sz w:val="24"/>
        </w:rPr>
        <w:t>磨子潭水库坐落在淠河东源的一条支流上,坝址距佛子岭水库大坝25km处,与佛子岭水库成为串联式梯级枢纽，总库容3.47亿m</w:t>
      </w:r>
      <w:r>
        <w:rPr>
          <w:rFonts w:hint="eastAsia"/>
          <w:sz w:val="24"/>
          <w:vertAlign w:val="superscript"/>
        </w:rPr>
        <w:t>3</w:t>
      </w:r>
      <w:r>
        <w:rPr>
          <w:rFonts w:hint="eastAsia"/>
          <w:sz w:val="24"/>
        </w:rPr>
        <w:t>。上游支流有黄尾河、清潭河入库，流域面积570 km</w:t>
      </w:r>
      <w:r>
        <w:rPr>
          <w:rFonts w:hint="eastAsia"/>
          <w:sz w:val="24"/>
          <w:vertAlign w:val="superscript"/>
        </w:rPr>
        <w:t>2</w:t>
      </w:r>
      <w:r>
        <w:rPr>
          <w:rFonts w:hint="eastAsia"/>
          <w:sz w:val="24"/>
        </w:rPr>
        <w:t>，占佛子岭流域面积1840 km</w:t>
      </w:r>
      <w:r>
        <w:rPr>
          <w:rFonts w:hint="eastAsia"/>
          <w:sz w:val="24"/>
          <w:vertAlign w:val="superscript"/>
        </w:rPr>
        <w:t>2</w:t>
      </w:r>
      <w:r>
        <w:rPr>
          <w:rFonts w:hint="eastAsia"/>
          <w:sz w:val="24"/>
        </w:rPr>
        <w:t>的31%。雨量丰沛,实测多年平均降雨量1526.1mm，平均径流量6.12亿m</w:t>
      </w:r>
      <w:r>
        <w:rPr>
          <w:rFonts w:hint="eastAsia"/>
          <w:sz w:val="24"/>
          <w:vertAlign w:val="superscript"/>
        </w:rPr>
        <w:t>3</w:t>
      </w:r>
      <w:r>
        <w:rPr>
          <w:rFonts w:hint="eastAsia"/>
          <w:sz w:val="24"/>
        </w:rPr>
        <w:t>。</w:t>
      </w:r>
    </w:p>
    <w:p>
      <w:pPr>
        <w:spacing w:line="360" w:lineRule="auto"/>
        <w:ind w:firstLine="480" w:firstLineChars="200"/>
        <w:rPr>
          <w:sz w:val="24"/>
        </w:rPr>
      </w:pPr>
      <w:r>
        <w:rPr>
          <w:rFonts w:hint="eastAsia"/>
          <w:sz w:val="24"/>
        </w:rPr>
        <w:t>5、龙河口水库</w:t>
      </w:r>
    </w:p>
    <w:p>
      <w:pPr>
        <w:spacing w:line="360" w:lineRule="auto"/>
        <w:ind w:firstLine="480" w:firstLineChars="200"/>
        <w:rPr>
          <w:sz w:val="24"/>
        </w:rPr>
      </w:pPr>
      <w:r>
        <w:rPr>
          <w:rFonts w:hint="eastAsia"/>
          <w:sz w:val="24"/>
        </w:rPr>
        <w:t>龙河口水库坐落在杭埠河上游，坝址在舒城县县城西南25km的栲栳山与牛头寨之间的龙河口，总库容9.03亿m</w:t>
      </w:r>
      <w:r>
        <w:rPr>
          <w:rFonts w:hint="eastAsia"/>
          <w:sz w:val="24"/>
          <w:vertAlign w:val="superscript"/>
        </w:rPr>
        <w:t>3</w:t>
      </w:r>
      <w:r>
        <w:rPr>
          <w:rFonts w:hint="eastAsia"/>
          <w:sz w:val="24"/>
        </w:rPr>
        <w:t>。晓天河与龙河、滑水河汇流入库，库区流域面积1100 km</w:t>
      </w:r>
      <w:r>
        <w:rPr>
          <w:rFonts w:hint="eastAsia"/>
          <w:sz w:val="24"/>
          <w:vertAlign w:val="superscript"/>
        </w:rPr>
        <w:t>2</w:t>
      </w:r>
      <w:r>
        <w:rPr>
          <w:rFonts w:hint="eastAsia"/>
          <w:sz w:val="24"/>
        </w:rPr>
        <w:t>，占杭埠河大潭湾以上总面积1970 km</w:t>
      </w:r>
      <w:r>
        <w:rPr>
          <w:rFonts w:hint="eastAsia"/>
          <w:sz w:val="24"/>
          <w:vertAlign w:val="superscript"/>
        </w:rPr>
        <w:t>2</w:t>
      </w:r>
      <w:r>
        <w:rPr>
          <w:rFonts w:hint="eastAsia"/>
          <w:sz w:val="24"/>
        </w:rPr>
        <w:t>的56.4%，气候温和，雨量丰沛，实测多年平均降雨量1429.3mm，多年平均径流量9.18亿m</w:t>
      </w:r>
      <w:r>
        <w:rPr>
          <w:rFonts w:hint="eastAsia"/>
          <w:sz w:val="24"/>
          <w:vertAlign w:val="superscript"/>
        </w:rPr>
        <w:t>3</w:t>
      </w:r>
      <w:r>
        <w:rPr>
          <w:rFonts w:hint="eastAsia"/>
          <w:sz w:val="24"/>
        </w:rPr>
        <w:t>。</w:t>
      </w:r>
    </w:p>
    <w:p>
      <w:pPr>
        <w:spacing w:line="360" w:lineRule="auto"/>
        <w:ind w:firstLine="480" w:firstLineChars="200"/>
        <w:rPr>
          <w:sz w:val="24"/>
        </w:rPr>
      </w:pPr>
      <w:r>
        <w:rPr>
          <w:rFonts w:hint="eastAsia"/>
          <w:sz w:val="24"/>
        </w:rPr>
        <w:t>6、白莲崖水库</w:t>
      </w:r>
    </w:p>
    <w:p>
      <w:pPr>
        <w:spacing w:line="360" w:lineRule="auto"/>
        <w:ind w:firstLine="480" w:firstLineChars="200"/>
        <w:rPr>
          <w:sz w:val="24"/>
        </w:rPr>
      </w:pPr>
      <w:r>
        <w:rPr>
          <w:rFonts w:hint="eastAsia"/>
          <w:sz w:val="24"/>
        </w:rPr>
        <w:t>白莲崖水库位于霍山县境内，佛子岭水库上游东淠河西支漫水河上，流域面积745 km</w:t>
      </w:r>
      <w:r>
        <w:rPr>
          <w:rFonts w:hint="eastAsia"/>
          <w:sz w:val="24"/>
          <w:vertAlign w:val="superscript"/>
        </w:rPr>
        <w:t>2</w:t>
      </w:r>
      <w:r>
        <w:rPr>
          <w:rFonts w:hint="eastAsia"/>
          <w:sz w:val="24"/>
        </w:rPr>
        <w:t>，总库容4.51亿m</w:t>
      </w:r>
      <w:r>
        <w:rPr>
          <w:rFonts w:hint="eastAsia"/>
          <w:sz w:val="24"/>
          <w:vertAlign w:val="superscript"/>
        </w:rPr>
        <w:t>3</w:t>
      </w:r>
      <w:r>
        <w:rPr>
          <w:rFonts w:hint="eastAsia"/>
          <w:sz w:val="24"/>
        </w:rPr>
        <w:t>，该工程以防洪为主，兼顾灌溉、城市供水和发电等综合利用。与佛子岭、磨子潭水库联合调度，为淮河干流滞洪错峰。并可为淠史杭灌区增加供水量1.1亿m</w:t>
      </w:r>
      <w:r>
        <w:rPr>
          <w:rFonts w:hint="eastAsia"/>
          <w:sz w:val="24"/>
          <w:vertAlign w:val="superscript"/>
        </w:rPr>
        <w:t>3</w:t>
      </w:r>
      <w:r>
        <w:rPr>
          <w:rFonts w:hint="eastAsia"/>
          <w:sz w:val="24"/>
        </w:rPr>
        <w:t>。</w:t>
      </w:r>
    </w:p>
    <w:p>
      <w:pPr>
        <w:spacing w:line="360" w:lineRule="auto"/>
        <w:ind w:firstLine="480" w:firstLineChars="200"/>
        <w:rPr>
          <w:sz w:val="24"/>
        </w:rPr>
      </w:pPr>
      <w:r>
        <w:rPr>
          <w:rFonts w:hint="eastAsia"/>
          <w:sz w:val="24"/>
        </w:rPr>
        <w:t>六安市大型水库概况见表3</w:t>
      </w:r>
      <w:r>
        <w:rPr>
          <w:sz w:val="24"/>
        </w:rPr>
        <w:t>.2.1</w:t>
      </w:r>
      <w:r>
        <w:rPr>
          <w:rFonts w:hint="eastAsia"/>
          <w:sz w:val="24"/>
        </w:rPr>
        <w:t>。</w:t>
      </w:r>
    </w:p>
    <w:p>
      <w:pPr>
        <w:spacing w:line="360" w:lineRule="auto"/>
        <w:ind w:right="196" w:rightChars="98"/>
        <w:jc w:val="center"/>
        <w:rPr>
          <w:sz w:val="18"/>
          <w:szCs w:val="18"/>
          <w:vertAlign w:val="superscript"/>
        </w:rPr>
      </w:pPr>
      <w:r>
        <w:rPr>
          <w:b/>
          <w:sz w:val="24"/>
        </w:rPr>
        <w:t>表3.2.1  六安市</w:t>
      </w:r>
      <w:r>
        <w:rPr>
          <w:rFonts w:hint="eastAsia"/>
          <w:b/>
          <w:sz w:val="24"/>
        </w:rPr>
        <w:t>大型水库概况一览表</w:t>
      </w:r>
    </w:p>
    <w:tbl>
      <w:tblPr>
        <w:tblStyle w:val="36"/>
        <w:tblW w:w="5089" w:type="pct"/>
        <w:tblInd w:w="0" w:type="dxa"/>
        <w:tblLayout w:type="autofit"/>
        <w:tblCellMar>
          <w:top w:w="0" w:type="dxa"/>
          <w:left w:w="108" w:type="dxa"/>
          <w:bottom w:w="0" w:type="dxa"/>
          <w:right w:w="108" w:type="dxa"/>
        </w:tblCellMar>
      </w:tblPr>
      <w:tblGrid>
        <w:gridCol w:w="1064"/>
        <w:gridCol w:w="1065"/>
        <w:gridCol w:w="1066"/>
        <w:gridCol w:w="1066"/>
        <w:gridCol w:w="1120"/>
        <w:gridCol w:w="1166"/>
        <w:gridCol w:w="1066"/>
        <w:gridCol w:w="1067"/>
      </w:tblGrid>
      <w:tr>
        <w:tblPrEx>
          <w:tblCellMar>
            <w:top w:w="0" w:type="dxa"/>
            <w:left w:w="108" w:type="dxa"/>
            <w:bottom w:w="0" w:type="dxa"/>
            <w:right w:w="108" w:type="dxa"/>
          </w:tblCellMar>
        </w:tblPrEx>
        <w:trPr>
          <w:trHeight w:val="63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水库名称</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所在县区</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所在水系</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集水面积</w:t>
            </w:r>
            <w:r>
              <w:rPr>
                <w:rFonts w:hint="eastAsia"/>
                <w:color w:val="000000"/>
                <w:kern w:val="0"/>
              </w:rPr>
              <w:t>（</w:t>
            </w:r>
            <w:r>
              <w:rPr>
                <w:color w:val="000000"/>
                <w:kern w:val="0"/>
              </w:rPr>
              <w:t>km</w:t>
            </w:r>
            <w:r>
              <w:rPr>
                <w:color w:val="000000"/>
                <w:kern w:val="0"/>
                <w:vertAlign w:val="superscript"/>
              </w:rPr>
              <w:t>2</w:t>
            </w:r>
            <w:r>
              <w:rPr>
                <w:rFonts w:hint="eastAsia"/>
                <w:color w:val="000000"/>
                <w:kern w:val="0"/>
              </w:rPr>
              <w:t>）</w:t>
            </w:r>
          </w:p>
        </w:tc>
        <w:tc>
          <w:tcPr>
            <w:tcW w:w="10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总库容（亿m</w:t>
            </w:r>
            <w:r>
              <w:rPr>
                <w:color w:val="000000"/>
                <w:kern w:val="0"/>
                <w:vertAlign w:val="superscript"/>
              </w:rPr>
              <w:t>3</w:t>
            </w:r>
            <w:r>
              <w:rPr>
                <w:color w:val="000000"/>
                <w:kern w:val="0"/>
              </w:rPr>
              <w:t>）</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兴利库容（亿m</w:t>
            </w:r>
            <w:r>
              <w:rPr>
                <w:color w:val="000000"/>
                <w:kern w:val="0"/>
                <w:vertAlign w:val="superscript"/>
              </w:rPr>
              <w:t>3</w:t>
            </w:r>
            <w:r>
              <w:rPr>
                <w:color w:val="000000"/>
                <w:kern w:val="0"/>
              </w:rPr>
              <w:t>）</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正常蓄水位</w:t>
            </w:r>
            <w:r>
              <w:rPr>
                <w:rFonts w:hint="eastAsia"/>
                <w:color w:val="000000"/>
                <w:kern w:val="0"/>
              </w:rPr>
              <w:t>（m）</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设计灌溉（万亩）</w:t>
            </w:r>
          </w:p>
        </w:tc>
      </w:tr>
      <w:tr>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佛子岭</w:t>
            </w:r>
          </w:p>
        </w:tc>
        <w:tc>
          <w:tcPr>
            <w:tcW w:w="10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1840</w:t>
            </w:r>
          </w:p>
        </w:tc>
        <w:tc>
          <w:tcPr>
            <w:tcW w:w="10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4.91</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2.39</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124</w:t>
            </w:r>
          </w:p>
        </w:tc>
        <w:tc>
          <w:tcPr>
            <w:tcW w:w="10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660</w:t>
            </w:r>
          </w:p>
        </w:tc>
      </w:tr>
      <w:tr>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磨子潭</w:t>
            </w:r>
          </w:p>
        </w:tc>
        <w:tc>
          <w:tcPr>
            <w:tcW w:w="10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570</w:t>
            </w:r>
          </w:p>
        </w:tc>
        <w:tc>
          <w:tcPr>
            <w:tcW w:w="10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3.47</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1.37</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187</w:t>
            </w: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color w:val="000000"/>
                <w:kern w:val="0"/>
              </w:rPr>
            </w:pPr>
          </w:p>
        </w:tc>
      </w:tr>
      <w:tr>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白莲崖</w:t>
            </w:r>
          </w:p>
        </w:tc>
        <w:tc>
          <w:tcPr>
            <w:tcW w:w="10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霍山县</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东淠河</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745</w:t>
            </w:r>
          </w:p>
        </w:tc>
        <w:tc>
          <w:tcPr>
            <w:tcW w:w="10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4.51</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1.42</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202</w:t>
            </w: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color w:val="000000"/>
                <w:kern w:val="0"/>
              </w:rPr>
            </w:pPr>
          </w:p>
        </w:tc>
      </w:tr>
      <w:tr>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响洪甸</w:t>
            </w:r>
          </w:p>
        </w:tc>
        <w:tc>
          <w:tcPr>
            <w:tcW w:w="10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金寨县</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西淠河</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1400</w:t>
            </w:r>
          </w:p>
        </w:tc>
        <w:tc>
          <w:tcPr>
            <w:tcW w:w="10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26.32</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9.56</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128</w:t>
            </w:r>
          </w:p>
        </w:tc>
        <w:tc>
          <w:tcPr>
            <w:tcW w:w="10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color w:val="000000"/>
                <w:kern w:val="0"/>
              </w:rPr>
            </w:pPr>
          </w:p>
        </w:tc>
      </w:tr>
      <w:tr>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梅  山</w:t>
            </w:r>
          </w:p>
        </w:tc>
        <w:tc>
          <w:tcPr>
            <w:tcW w:w="10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金寨县</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史  河</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1970</w:t>
            </w:r>
          </w:p>
        </w:tc>
        <w:tc>
          <w:tcPr>
            <w:tcW w:w="10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22.63</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7.96</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128</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383</w:t>
            </w:r>
          </w:p>
        </w:tc>
      </w:tr>
      <w:tr>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龙河口</w:t>
            </w:r>
          </w:p>
        </w:tc>
        <w:tc>
          <w:tcPr>
            <w:tcW w:w="10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舒城县</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杭埠河</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1111</w:t>
            </w:r>
          </w:p>
        </w:tc>
        <w:tc>
          <w:tcPr>
            <w:tcW w:w="10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9.03</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4.66</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68.3</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155</w:t>
            </w:r>
          </w:p>
        </w:tc>
      </w:tr>
      <w:tr>
        <w:tblPrEx>
          <w:tblCellMar>
            <w:top w:w="0" w:type="dxa"/>
            <w:left w:w="108" w:type="dxa"/>
            <w:bottom w:w="0" w:type="dxa"/>
            <w:right w:w="108" w:type="dxa"/>
          </w:tblCellMar>
        </w:tblPrEx>
        <w:trPr>
          <w:trHeight w:val="397" w:hRule="atLeast"/>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合计</w:t>
            </w:r>
          </w:p>
        </w:tc>
        <w:tc>
          <w:tcPr>
            <w:tcW w:w="10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7636</w:t>
            </w:r>
          </w:p>
        </w:tc>
        <w:tc>
          <w:tcPr>
            <w:tcW w:w="10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70.87</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27.36</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rPr>
            </w:pPr>
            <w:r>
              <w:rPr>
                <w:color w:val="000000"/>
                <w:kern w:val="0"/>
              </w:rPr>
              <w:t>1198</w:t>
            </w:r>
          </w:p>
        </w:tc>
      </w:tr>
    </w:tbl>
    <w:p>
      <w:pPr>
        <w:spacing w:line="360" w:lineRule="auto"/>
        <w:ind w:firstLine="482" w:firstLineChars="200"/>
        <w:rPr>
          <w:b/>
          <w:sz w:val="24"/>
        </w:rPr>
      </w:pPr>
      <w:r>
        <w:rPr>
          <w:rFonts w:hint="eastAsia"/>
          <w:b/>
          <w:sz w:val="24"/>
        </w:rPr>
        <w:t>（二）中型水库概况</w:t>
      </w:r>
    </w:p>
    <w:p>
      <w:pPr>
        <w:spacing w:line="360" w:lineRule="auto"/>
        <w:ind w:firstLine="480" w:firstLineChars="200"/>
        <w:rPr>
          <w:sz w:val="24"/>
        </w:rPr>
      </w:pPr>
      <w:r>
        <w:rPr>
          <w:rFonts w:hint="eastAsia"/>
          <w:sz w:val="24"/>
        </w:rPr>
        <w:t>1、龙潭水库</w:t>
      </w:r>
    </w:p>
    <w:p>
      <w:pPr>
        <w:spacing w:line="360" w:lineRule="auto"/>
        <w:ind w:firstLine="480" w:firstLineChars="200"/>
        <w:rPr>
          <w:sz w:val="24"/>
        </w:rPr>
      </w:pPr>
      <w:r>
        <w:rPr>
          <w:rFonts w:hint="eastAsia"/>
          <w:sz w:val="24"/>
        </w:rPr>
        <w:t>龙潭水库位于霍邱县西部龙潭乡境内，集水面积18 km</w:t>
      </w:r>
      <w:r>
        <w:rPr>
          <w:rFonts w:hint="eastAsia"/>
          <w:sz w:val="24"/>
          <w:vertAlign w:val="superscript"/>
        </w:rPr>
        <w:t>2</w:t>
      </w:r>
      <w:r>
        <w:rPr>
          <w:rFonts w:hint="eastAsia"/>
          <w:sz w:val="24"/>
        </w:rPr>
        <w:t>，是淠史杭灌区的沣西干渠上以灌溉为主，兼有防洪和水产养殖等综合利用的中型反调节水库，为均质土坝，总库容0.6758亿m</w:t>
      </w:r>
      <w:r>
        <w:rPr>
          <w:rFonts w:hint="eastAsia"/>
          <w:sz w:val="24"/>
          <w:vertAlign w:val="superscript"/>
        </w:rPr>
        <w:t>3</w:t>
      </w:r>
      <w:r>
        <w:rPr>
          <w:rFonts w:hint="eastAsia"/>
          <w:sz w:val="24"/>
        </w:rPr>
        <w:t>。水库原为一座小型水库，1957年10月兴建。1969年沣西干渠改线扩建成反调节中型水库。</w:t>
      </w:r>
    </w:p>
    <w:p>
      <w:pPr>
        <w:spacing w:line="360" w:lineRule="auto"/>
        <w:ind w:firstLine="480" w:firstLineChars="200"/>
        <w:rPr>
          <w:sz w:val="24"/>
        </w:rPr>
      </w:pPr>
      <w:r>
        <w:rPr>
          <w:rFonts w:hint="eastAsia"/>
          <w:sz w:val="24"/>
        </w:rPr>
        <w:t>龙潭水库于2008年按照100年一遇洪水设计、1000年一遇洪水校核开始除险加固，2010年12月主体工程投入使用，2013年11月通过省水利厅主持的竣工验收。水库设计灌溉面积25.7万亩，有效灌溉面积18万亩。</w:t>
      </w:r>
    </w:p>
    <w:p>
      <w:pPr>
        <w:spacing w:line="360" w:lineRule="auto"/>
        <w:ind w:firstLine="480" w:firstLineChars="200"/>
        <w:rPr>
          <w:sz w:val="24"/>
        </w:rPr>
      </w:pPr>
      <w:r>
        <w:rPr>
          <w:rFonts w:hint="eastAsia"/>
          <w:sz w:val="24"/>
        </w:rPr>
        <w:t>2、蝎子山水库</w:t>
      </w:r>
    </w:p>
    <w:p>
      <w:pPr>
        <w:spacing w:line="360" w:lineRule="auto"/>
        <w:ind w:firstLine="480" w:firstLineChars="200"/>
        <w:rPr>
          <w:sz w:val="24"/>
        </w:rPr>
      </w:pPr>
      <w:r>
        <w:rPr>
          <w:rFonts w:hint="eastAsia"/>
          <w:sz w:val="24"/>
        </w:rPr>
        <w:t>蝎子山水库位于霍邱县西部冯井乡境内，集水面积2.8 km</w:t>
      </w:r>
      <w:r>
        <w:rPr>
          <w:rFonts w:hint="eastAsia"/>
          <w:sz w:val="24"/>
          <w:vertAlign w:val="superscript"/>
        </w:rPr>
        <w:t>2</w:t>
      </w:r>
      <w:r>
        <w:rPr>
          <w:rFonts w:hint="eastAsia"/>
          <w:sz w:val="24"/>
        </w:rPr>
        <w:t>，属淮河流域史河水系，是淠史杭灌区的沣西干渠下游的以灌溉为主，兼有防洪和养殖等综合利用的中型反调节水库，从彭店跌水闸上引水充库，总库容0.1314亿m</w:t>
      </w:r>
      <w:r>
        <w:rPr>
          <w:rFonts w:hint="eastAsia"/>
          <w:sz w:val="24"/>
          <w:vertAlign w:val="superscript"/>
        </w:rPr>
        <w:t>3</w:t>
      </w:r>
      <w:r>
        <w:rPr>
          <w:rFonts w:hint="eastAsia"/>
          <w:sz w:val="24"/>
        </w:rPr>
        <w:t>。水库于1966年开始兴建，1967年建成，为均质土坝，枢纽工程主要包括主坝、副坝、进出水闸及低孔放水涵、南山洼放水涵等。</w:t>
      </w:r>
    </w:p>
    <w:p>
      <w:pPr>
        <w:spacing w:line="360" w:lineRule="auto"/>
        <w:ind w:firstLine="480" w:firstLineChars="200"/>
        <w:rPr>
          <w:sz w:val="24"/>
        </w:rPr>
      </w:pPr>
      <w:r>
        <w:rPr>
          <w:rFonts w:hint="eastAsia"/>
          <w:sz w:val="24"/>
        </w:rPr>
        <w:t>蝎子山水库于2009年按照100年一遇洪水设计、1000年一遇洪水校核开始实施除险加固工程，2010年12月主体工程通过投入使用验收，2013年5月31日通过六安市水利局组织的竣工验收。水库设计灌溉面积16.84万亩，有效灌溉面积12.5万亩。</w:t>
      </w:r>
    </w:p>
    <w:p>
      <w:pPr>
        <w:spacing w:line="360" w:lineRule="auto"/>
        <w:ind w:firstLine="480" w:firstLineChars="200"/>
        <w:rPr>
          <w:sz w:val="24"/>
        </w:rPr>
      </w:pPr>
      <w:r>
        <w:rPr>
          <w:rFonts w:hint="eastAsia"/>
          <w:sz w:val="24"/>
        </w:rPr>
        <w:t>3、老圈行水库</w:t>
      </w:r>
    </w:p>
    <w:p>
      <w:pPr>
        <w:spacing w:line="360" w:lineRule="auto"/>
        <w:ind w:firstLine="480" w:firstLineChars="200"/>
        <w:rPr>
          <w:sz w:val="24"/>
        </w:rPr>
      </w:pPr>
      <w:r>
        <w:rPr>
          <w:rFonts w:hint="eastAsia"/>
          <w:sz w:val="24"/>
        </w:rPr>
        <w:t>老圈行水库位于霍邱县城以南约15km宋店乡境内，集水面积3.2 km</w:t>
      </w:r>
      <w:r>
        <w:rPr>
          <w:rFonts w:hint="eastAsia"/>
          <w:sz w:val="24"/>
          <w:vertAlign w:val="superscript"/>
        </w:rPr>
        <w:t>2</w:t>
      </w:r>
      <w:r>
        <w:rPr>
          <w:rFonts w:hint="eastAsia"/>
          <w:sz w:val="24"/>
        </w:rPr>
        <w:t>，是淠史杭灌区的沣东干渠上以灌溉为主的中型反调节水库，总库容0.1345亿m</w:t>
      </w:r>
      <w:r>
        <w:rPr>
          <w:rFonts w:hint="eastAsia"/>
          <w:sz w:val="24"/>
          <w:vertAlign w:val="superscript"/>
        </w:rPr>
        <w:t>3</w:t>
      </w:r>
      <w:r>
        <w:rPr>
          <w:rFonts w:hint="eastAsia"/>
          <w:sz w:val="24"/>
        </w:rPr>
        <w:t>。水库于1966年开始兴建，1967年建成，为均质土坝，枢纽工程包括大坝、进水涵和放水涵等。</w:t>
      </w:r>
    </w:p>
    <w:p>
      <w:pPr>
        <w:spacing w:line="360" w:lineRule="auto"/>
        <w:ind w:firstLine="480" w:firstLineChars="200"/>
        <w:rPr>
          <w:sz w:val="24"/>
        </w:rPr>
      </w:pPr>
      <w:r>
        <w:rPr>
          <w:rFonts w:hint="eastAsia"/>
          <w:sz w:val="24"/>
        </w:rPr>
        <w:t>老圈行水库于2008年按照50年一遇洪水设计、1000年一遇洪水校核开始实施除险加固，2011年5月通过竣工验收。水库设计灌溉面积14.33万亩，有效灌溉面积5.5万亩。</w:t>
      </w:r>
    </w:p>
    <w:p>
      <w:pPr>
        <w:spacing w:line="360" w:lineRule="auto"/>
        <w:ind w:firstLine="480" w:firstLineChars="200"/>
        <w:rPr>
          <w:sz w:val="24"/>
        </w:rPr>
      </w:pPr>
      <w:r>
        <w:rPr>
          <w:rFonts w:hint="eastAsia"/>
          <w:sz w:val="24"/>
        </w:rPr>
        <w:t>4、水门塘水库</w:t>
      </w:r>
    </w:p>
    <w:p>
      <w:pPr>
        <w:spacing w:line="360" w:lineRule="auto"/>
        <w:ind w:firstLine="480" w:firstLineChars="200"/>
        <w:rPr>
          <w:sz w:val="24"/>
        </w:rPr>
      </w:pPr>
      <w:r>
        <w:rPr>
          <w:rFonts w:hint="eastAsia"/>
          <w:sz w:val="24"/>
        </w:rPr>
        <w:t>水门塘水库位于霍邱县城关北部约2km处，集水面积3 km</w:t>
      </w:r>
      <w:r>
        <w:rPr>
          <w:rFonts w:hint="eastAsia"/>
          <w:sz w:val="24"/>
          <w:vertAlign w:val="superscript"/>
        </w:rPr>
        <w:t>2</w:t>
      </w:r>
      <w:r>
        <w:rPr>
          <w:rFonts w:hint="eastAsia"/>
          <w:sz w:val="24"/>
        </w:rPr>
        <w:t>，是四面筑堤的平原水库，是淠史杭灌区的沣东干渠上以灌溉为主，兼有防洪、水产养殖和旅游功能综合利用的中型反调节水库，总库容0.1015亿m</w:t>
      </w:r>
      <w:r>
        <w:rPr>
          <w:rFonts w:hint="eastAsia"/>
          <w:sz w:val="24"/>
          <w:vertAlign w:val="superscript"/>
        </w:rPr>
        <w:t>3</w:t>
      </w:r>
      <w:r>
        <w:rPr>
          <w:rFonts w:hint="eastAsia"/>
          <w:sz w:val="24"/>
        </w:rPr>
        <w:t>。水库始建于公元前622年，为均质土坝，枢纽工程包括大坝、进水闸、泄水闸和放水涵等。</w:t>
      </w:r>
    </w:p>
    <w:p>
      <w:pPr>
        <w:spacing w:line="360" w:lineRule="auto"/>
        <w:ind w:firstLine="480" w:firstLineChars="200"/>
        <w:rPr>
          <w:sz w:val="24"/>
        </w:rPr>
      </w:pPr>
      <w:r>
        <w:rPr>
          <w:rFonts w:hint="eastAsia"/>
          <w:sz w:val="24"/>
        </w:rPr>
        <w:t>水门塘水库于2009年按照50年一遇洪水设计、1000年一遇洪水校核开始实施除险加固，2010年12月主体工程通过投入使用验收，2013年9月17日通过六安市水利局组织的竣工验收。水库设计灌溉面积9.08万亩，有效灌溉面积3.9万亩。</w:t>
      </w:r>
    </w:p>
    <w:p>
      <w:pPr>
        <w:spacing w:line="360" w:lineRule="auto"/>
        <w:ind w:firstLine="480" w:firstLineChars="200"/>
        <w:rPr>
          <w:sz w:val="24"/>
        </w:rPr>
      </w:pPr>
      <w:r>
        <w:rPr>
          <w:rFonts w:hint="eastAsia"/>
          <w:sz w:val="24"/>
        </w:rPr>
        <w:t>5、流波水库</w:t>
      </w:r>
    </w:p>
    <w:p>
      <w:pPr>
        <w:spacing w:line="360" w:lineRule="auto"/>
        <w:ind w:firstLine="480" w:firstLineChars="200"/>
        <w:rPr>
          <w:sz w:val="24"/>
        </w:rPr>
      </w:pPr>
      <w:r>
        <w:rPr>
          <w:rFonts w:hint="eastAsia"/>
          <w:sz w:val="24"/>
        </w:rPr>
        <w:t>流波水库位于金寨县张冲乡境内，集水面积475 km</w:t>
      </w:r>
      <w:r>
        <w:rPr>
          <w:rFonts w:hint="eastAsia"/>
          <w:sz w:val="24"/>
          <w:vertAlign w:val="superscript"/>
        </w:rPr>
        <w:t>2</w:t>
      </w:r>
      <w:r>
        <w:rPr>
          <w:rFonts w:hint="eastAsia"/>
          <w:sz w:val="24"/>
        </w:rPr>
        <w:t>，装机容量2.5万kw，总库容0.5148亿m</w:t>
      </w:r>
      <w:r>
        <w:rPr>
          <w:rFonts w:hint="eastAsia"/>
          <w:sz w:val="24"/>
          <w:vertAlign w:val="superscript"/>
        </w:rPr>
        <w:t>3</w:t>
      </w:r>
      <w:r>
        <w:rPr>
          <w:rFonts w:hint="eastAsia"/>
          <w:sz w:val="24"/>
        </w:rPr>
        <w:t>，为碾压混凝土单曲拱坝，以发电为主。</w:t>
      </w:r>
    </w:p>
    <w:p>
      <w:pPr>
        <w:spacing w:line="360" w:lineRule="auto"/>
        <w:ind w:firstLine="480" w:firstLineChars="200"/>
        <w:rPr>
          <w:sz w:val="24"/>
        </w:rPr>
      </w:pPr>
      <w:r>
        <w:rPr>
          <w:rFonts w:hint="eastAsia"/>
          <w:sz w:val="24"/>
        </w:rPr>
        <w:t>6、青山水库</w:t>
      </w:r>
    </w:p>
    <w:p>
      <w:pPr>
        <w:spacing w:line="360" w:lineRule="auto"/>
        <w:ind w:firstLine="480" w:firstLineChars="200"/>
        <w:rPr>
          <w:sz w:val="24"/>
        </w:rPr>
      </w:pPr>
      <w:r>
        <w:rPr>
          <w:rFonts w:hint="eastAsia"/>
          <w:sz w:val="24"/>
        </w:rPr>
        <w:t>青山水库位于金寨县青山乡境内，集水面积189 km</w:t>
      </w:r>
      <w:r>
        <w:rPr>
          <w:rFonts w:hint="eastAsia"/>
          <w:sz w:val="24"/>
          <w:vertAlign w:val="superscript"/>
        </w:rPr>
        <w:t>2</w:t>
      </w:r>
      <w:r>
        <w:rPr>
          <w:rFonts w:hint="eastAsia"/>
          <w:sz w:val="24"/>
        </w:rPr>
        <w:t>，总库容0.1015亿m</w:t>
      </w:r>
      <w:r>
        <w:rPr>
          <w:rFonts w:hint="eastAsia"/>
          <w:sz w:val="24"/>
          <w:vertAlign w:val="superscript"/>
        </w:rPr>
        <w:t>3</w:t>
      </w:r>
      <w:r>
        <w:rPr>
          <w:rFonts w:hint="eastAsia"/>
          <w:sz w:val="24"/>
        </w:rPr>
        <w:t>，为砌石双曲拱坝，以发电为主。</w:t>
      </w:r>
    </w:p>
    <w:p>
      <w:pPr>
        <w:spacing w:line="360" w:lineRule="auto"/>
        <w:ind w:firstLine="480" w:firstLineChars="200"/>
        <w:rPr>
          <w:sz w:val="24"/>
        </w:rPr>
      </w:pPr>
      <w:r>
        <w:rPr>
          <w:rFonts w:hint="eastAsia"/>
          <w:sz w:val="24"/>
        </w:rPr>
        <w:t>六安市中型水库概况见表3</w:t>
      </w:r>
      <w:r>
        <w:rPr>
          <w:sz w:val="24"/>
        </w:rPr>
        <w:t>.2.2</w:t>
      </w:r>
      <w:r>
        <w:rPr>
          <w:rFonts w:hint="eastAsia"/>
          <w:sz w:val="24"/>
        </w:rPr>
        <w:t>。</w:t>
      </w:r>
    </w:p>
    <w:p>
      <w:pPr>
        <w:spacing w:line="360" w:lineRule="auto"/>
        <w:ind w:right="196" w:rightChars="98"/>
        <w:jc w:val="center"/>
        <w:rPr>
          <w:sz w:val="18"/>
          <w:szCs w:val="18"/>
          <w:vertAlign w:val="superscript"/>
        </w:rPr>
      </w:pPr>
      <w:r>
        <w:rPr>
          <w:b/>
          <w:sz w:val="24"/>
        </w:rPr>
        <w:t>表3.2.2  六安市</w:t>
      </w:r>
      <w:r>
        <w:rPr>
          <w:rFonts w:hint="eastAsia"/>
          <w:b/>
          <w:sz w:val="24"/>
        </w:rPr>
        <w:t>中型水库概况一览表</w:t>
      </w:r>
    </w:p>
    <w:tbl>
      <w:tblPr>
        <w:tblStyle w:val="36"/>
        <w:tblW w:w="5000" w:type="pct"/>
        <w:tblInd w:w="0" w:type="dxa"/>
        <w:tblLayout w:type="autofit"/>
        <w:tblCellMar>
          <w:top w:w="0" w:type="dxa"/>
          <w:left w:w="108" w:type="dxa"/>
          <w:bottom w:w="0" w:type="dxa"/>
          <w:right w:w="108" w:type="dxa"/>
        </w:tblCellMar>
      </w:tblPr>
      <w:tblGrid>
        <w:gridCol w:w="1218"/>
        <w:gridCol w:w="1218"/>
        <w:gridCol w:w="1218"/>
        <w:gridCol w:w="1218"/>
        <w:gridCol w:w="1218"/>
        <w:gridCol w:w="1219"/>
        <w:gridCol w:w="1219"/>
      </w:tblGrid>
      <w:tr>
        <w:tblPrEx>
          <w:tblCellMar>
            <w:top w:w="0" w:type="dxa"/>
            <w:left w:w="108" w:type="dxa"/>
            <w:bottom w:w="0" w:type="dxa"/>
            <w:right w:w="108" w:type="dxa"/>
          </w:tblCellMar>
        </w:tblPrEx>
        <w:trPr>
          <w:trHeight w:val="397"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水库名称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所在县区</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所在水系</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集水面积（km</w:t>
            </w:r>
            <w:r>
              <w:rPr>
                <w:color w:val="000000"/>
                <w:kern w:val="0"/>
                <w:vertAlign w:val="superscript"/>
              </w:rPr>
              <w:t>2</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总库容（万m</w:t>
            </w:r>
            <w:r>
              <w:rPr>
                <w:color w:val="000000"/>
                <w:kern w:val="0"/>
                <w:vertAlign w:val="superscript"/>
              </w:rPr>
              <w:t>3</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兴利库容（万m</w:t>
            </w:r>
            <w:r>
              <w:rPr>
                <w:color w:val="000000"/>
                <w:kern w:val="0"/>
                <w:vertAlign w:val="superscript"/>
              </w:rPr>
              <w:t>3</w:t>
            </w:r>
            <w:r>
              <w:rPr>
                <w:color w:val="000000"/>
                <w:kern w:val="0"/>
              </w:rPr>
              <w:t>）</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设计灌溉</w:t>
            </w:r>
            <w:r>
              <w:rPr>
                <w:rFonts w:hint="eastAsia"/>
                <w:color w:val="000000"/>
                <w:kern w:val="0"/>
              </w:rPr>
              <w:t>（</w:t>
            </w:r>
            <w:r>
              <w:rPr>
                <w:color w:val="000000"/>
                <w:kern w:val="0"/>
              </w:rPr>
              <w:t>万亩</w:t>
            </w:r>
            <w:r>
              <w:rPr>
                <w:rFonts w:hint="eastAsia"/>
                <w:color w:val="000000"/>
                <w:kern w:val="0"/>
              </w:rPr>
              <w:t>）</w:t>
            </w:r>
          </w:p>
        </w:tc>
      </w:tr>
      <w:tr>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龙潭</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沣西干渠</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18</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6758</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5921</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25.7</w:t>
            </w:r>
          </w:p>
        </w:tc>
      </w:tr>
      <w:tr>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蝎子山</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沣西干渠</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2.8</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1314</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1224</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16.84</w:t>
            </w:r>
          </w:p>
        </w:tc>
      </w:tr>
      <w:tr>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老圈行</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沣东干渠</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3.2</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1345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1240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14.33</w:t>
            </w:r>
          </w:p>
        </w:tc>
      </w:tr>
      <w:tr>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水门塘</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霍邱县</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沣东干渠</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2</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1015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920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9.08</w:t>
            </w:r>
          </w:p>
        </w:tc>
      </w:tr>
      <w:tr>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流波</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金寨县</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燕子河</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475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5148</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3337</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w:t>
            </w:r>
          </w:p>
        </w:tc>
      </w:tr>
      <w:tr>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青山</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金寨县</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西淠河</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189</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1015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413</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0.2</w:t>
            </w:r>
          </w:p>
        </w:tc>
      </w:tr>
      <w:tr>
        <w:tblPrEx>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合计</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16591</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13055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color w:val="000000"/>
                <w:kern w:val="0"/>
              </w:rPr>
            </w:pPr>
            <w:r>
              <w:rPr>
                <w:color w:val="000000"/>
                <w:kern w:val="0"/>
              </w:rPr>
              <w:t>65.95</w:t>
            </w:r>
          </w:p>
        </w:tc>
      </w:tr>
    </w:tbl>
    <w:p>
      <w:pPr>
        <w:spacing w:line="360" w:lineRule="auto"/>
        <w:ind w:firstLine="482" w:firstLineChars="200"/>
        <w:rPr>
          <w:b/>
          <w:sz w:val="24"/>
        </w:rPr>
      </w:pPr>
      <w:r>
        <w:rPr>
          <w:rFonts w:hint="eastAsia"/>
          <w:b/>
          <w:sz w:val="24"/>
        </w:rPr>
        <w:t>（三）小型水库概况</w:t>
      </w:r>
    </w:p>
    <w:p>
      <w:pPr>
        <w:spacing w:line="360" w:lineRule="auto"/>
        <w:ind w:firstLine="480" w:firstLineChars="200"/>
        <w:rPr>
          <w:sz w:val="24"/>
        </w:rPr>
      </w:pPr>
      <w:r>
        <w:rPr>
          <w:rFonts w:hint="eastAsia"/>
          <w:sz w:val="24"/>
        </w:rPr>
        <w:t>根据水利普查统计，六安市共有小型水库</w:t>
      </w:r>
      <w:r>
        <w:rPr>
          <w:sz w:val="24"/>
        </w:rPr>
        <w:t>1222</w:t>
      </w:r>
      <w:r>
        <w:rPr>
          <w:rFonts w:hint="eastAsia"/>
          <w:sz w:val="24"/>
        </w:rPr>
        <w:t>座，总库容</w:t>
      </w:r>
      <w:r>
        <w:rPr>
          <w:sz w:val="24"/>
        </w:rPr>
        <w:t>4.57</w:t>
      </w:r>
      <w:r>
        <w:rPr>
          <w:rFonts w:hint="eastAsia"/>
          <w:sz w:val="24"/>
        </w:rPr>
        <w:t>亿m</w:t>
      </w:r>
      <w:r>
        <w:rPr>
          <w:sz w:val="24"/>
          <w:vertAlign w:val="superscript"/>
        </w:rPr>
        <w:t>3</w:t>
      </w:r>
      <w:r>
        <w:rPr>
          <w:rFonts w:hint="eastAsia"/>
          <w:sz w:val="24"/>
        </w:rPr>
        <w:t>。其中小（1）型水库</w:t>
      </w:r>
      <w:r>
        <w:rPr>
          <w:sz w:val="24"/>
        </w:rPr>
        <w:t>72</w:t>
      </w:r>
      <w:r>
        <w:rPr>
          <w:rFonts w:hint="eastAsia"/>
          <w:sz w:val="24"/>
        </w:rPr>
        <w:t>座，总库容</w:t>
      </w:r>
      <w:r>
        <w:rPr>
          <w:sz w:val="24"/>
        </w:rPr>
        <w:t>1.96</w:t>
      </w:r>
      <w:r>
        <w:rPr>
          <w:rFonts w:hint="eastAsia"/>
          <w:sz w:val="24"/>
        </w:rPr>
        <w:t>亿m</w:t>
      </w:r>
      <w:r>
        <w:rPr>
          <w:sz w:val="24"/>
          <w:vertAlign w:val="superscript"/>
        </w:rPr>
        <w:t>3</w:t>
      </w:r>
      <w:r>
        <w:rPr>
          <w:rFonts w:hint="eastAsia"/>
          <w:sz w:val="24"/>
        </w:rPr>
        <w:t>；小（2）型水库</w:t>
      </w:r>
      <w:r>
        <w:rPr>
          <w:sz w:val="24"/>
        </w:rPr>
        <w:t>1150</w:t>
      </w:r>
      <w:r>
        <w:rPr>
          <w:rFonts w:hint="eastAsia"/>
          <w:sz w:val="24"/>
        </w:rPr>
        <w:t>座，总库容</w:t>
      </w:r>
      <w:r>
        <w:rPr>
          <w:sz w:val="24"/>
        </w:rPr>
        <w:t>2.56</w:t>
      </w:r>
      <w:r>
        <w:rPr>
          <w:rFonts w:hint="eastAsia"/>
          <w:sz w:val="24"/>
        </w:rPr>
        <w:t>亿m</w:t>
      </w:r>
      <w:r>
        <w:rPr>
          <w:sz w:val="24"/>
          <w:vertAlign w:val="superscript"/>
        </w:rPr>
        <w:t>3</w:t>
      </w:r>
      <w:r>
        <w:rPr>
          <w:rFonts w:hint="eastAsia"/>
          <w:sz w:val="24"/>
        </w:rPr>
        <w:t>。以分布区域可分成山区和丘陵区两类，山区小水库多数为发电而建，其余多为灌溉而建；丘陵区小水库多在淠史杭灌区范围内，既拦蓄当地径流，也为灌区各级渠道调解供水。</w:t>
      </w:r>
    </w:p>
    <w:p>
      <w:pPr>
        <w:pStyle w:val="4"/>
        <w:spacing w:before="156" w:beforeLines="50" w:after="156" w:afterLines="50"/>
        <w:rPr>
          <w:sz w:val="28"/>
        </w:rPr>
      </w:pPr>
      <w:bookmarkStart w:id="215" w:name="_Toc95382468"/>
      <w:r>
        <w:rPr>
          <w:rFonts w:hint="eastAsia"/>
          <w:sz w:val="28"/>
        </w:rPr>
        <w:t>二</w:t>
      </w:r>
      <w:r>
        <w:rPr>
          <w:sz w:val="28"/>
        </w:rPr>
        <w:t>、供水量及其组成</w:t>
      </w:r>
      <w:bookmarkEnd w:id="213"/>
      <w:bookmarkEnd w:id="214"/>
      <w:bookmarkEnd w:id="215"/>
    </w:p>
    <w:p>
      <w:pPr>
        <w:spacing w:line="360" w:lineRule="auto"/>
        <w:ind w:firstLine="482" w:firstLineChars="200"/>
        <w:rPr>
          <w:b/>
          <w:sz w:val="24"/>
        </w:rPr>
      </w:pPr>
      <w:bookmarkStart w:id="216" w:name="_Toc316564269"/>
      <w:bookmarkStart w:id="217" w:name="_Toc307210225"/>
      <w:r>
        <w:rPr>
          <w:b/>
          <w:sz w:val="24"/>
        </w:rPr>
        <w:t>（一）供水量与构成</w:t>
      </w:r>
      <w:bookmarkEnd w:id="216"/>
      <w:bookmarkEnd w:id="217"/>
    </w:p>
    <w:p>
      <w:pPr>
        <w:spacing w:line="360" w:lineRule="auto"/>
        <w:ind w:firstLine="480" w:firstLineChars="200"/>
        <w:rPr>
          <w:sz w:val="24"/>
        </w:rPr>
      </w:pPr>
      <w:r>
        <w:rPr>
          <w:sz w:val="24"/>
        </w:rPr>
        <w:t>2020年六安市供水总量22.26</w:t>
      </w:r>
      <w:r>
        <w:rPr>
          <w:rFonts w:hint="eastAsia"/>
          <w:sz w:val="24"/>
        </w:rPr>
        <w:t>亿</w:t>
      </w:r>
      <w:r>
        <w:rPr>
          <w:sz w:val="24"/>
        </w:rPr>
        <w:t>m</w:t>
      </w:r>
      <w:r>
        <w:rPr>
          <w:sz w:val="24"/>
          <w:vertAlign w:val="superscript"/>
        </w:rPr>
        <w:t>3</w:t>
      </w:r>
      <w:r>
        <w:rPr>
          <w:rFonts w:hint="eastAsia"/>
          <w:sz w:val="24"/>
        </w:rPr>
        <w:t>，较2019年值减少0</w:t>
      </w:r>
      <w:r>
        <w:rPr>
          <w:sz w:val="24"/>
        </w:rPr>
        <w:t>.86</w:t>
      </w:r>
      <w:r>
        <w:rPr>
          <w:rFonts w:hint="eastAsia"/>
          <w:sz w:val="24"/>
        </w:rPr>
        <w:t>亿m</w:t>
      </w:r>
      <w:r>
        <w:rPr>
          <w:rFonts w:hint="eastAsia"/>
          <w:sz w:val="24"/>
          <w:vertAlign w:val="superscript"/>
        </w:rPr>
        <w:t>3</w:t>
      </w:r>
      <w:r>
        <w:rPr>
          <w:rFonts w:hint="eastAsia"/>
          <w:sz w:val="24"/>
        </w:rPr>
        <w:t>。</w:t>
      </w:r>
      <w:r>
        <w:rPr>
          <w:sz w:val="24"/>
        </w:rPr>
        <w:t>其中：地表水源供水量21.75亿m</w:t>
      </w:r>
      <w:r>
        <w:rPr>
          <w:sz w:val="24"/>
          <w:vertAlign w:val="superscript"/>
        </w:rPr>
        <w:t>3</w:t>
      </w:r>
      <w:r>
        <w:rPr>
          <w:sz w:val="24"/>
        </w:rPr>
        <w:t>，占供水总量97.7%；地下水源供水量0.07</w:t>
      </w:r>
      <w:r>
        <w:rPr>
          <w:rFonts w:hint="eastAsia"/>
          <w:sz w:val="24"/>
        </w:rPr>
        <w:t>6</w:t>
      </w:r>
      <w:r>
        <w:rPr>
          <w:sz w:val="24"/>
        </w:rPr>
        <w:t>亿m</w:t>
      </w:r>
      <w:r>
        <w:rPr>
          <w:sz w:val="24"/>
          <w:vertAlign w:val="superscript"/>
        </w:rPr>
        <w:t>3</w:t>
      </w:r>
      <w:r>
        <w:rPr>
          <w:sz w:val="24"/>
        </w:rPr>
        <w:t>，占供水总量0</w:t>
      </w:r>
      <w:r>
        <w:rPr>
          <w:rFonts w:hint="eastAsia"/>
          <w:sz w:val="24"/>
        </w:rPr>
        <w:t>.</w:t>
      </w:r>
      <w:r>
        <w:rPr>
          <w:sz w:val="24"/>
        </w:rPr>
        <w:t>3%</w:t>
      </w:r>
      <w:r>
        <w:rPr>
          <w:rFonts w:hint="eastAsia"/>
          <w:sz w:val="24"/>
        </w:rPr>
        <w:t>；其他</w:t>
      </w:r>
      <w:r>
        <w:rPr>
          <w:sz w:val="24"/>
        </w:rPr>
        <w:t>水源供水量0.44亿m</w:t>
      </w:r>
      <w:r>
        <w:rPr>
          <w:sz w:val="24"/>
          <w:vertAlign w:val="superscript"/>
        </w:rPr>
        <w:t>3</w:t>
      </w:r>
      <w:r>
        <w:rPr>
          <w:sz w:val="24"/>
        </w:rPr>
        <w:t>，占供水总量2.0%。</w:t>
      </w:r>
    </w:p>
    <w:p>
      <w:pPr>
        <w:spacing w:line="360" w:lineRule="auto"/>
        <w:ind w:firstLine="480" w:firstLineChars="200"/>
        <w:rPr>
          <w:sz w:val="24"/>
        </w:rPr>
      </w:pPr>
      <w:r>
        <w:rPr>
          <w:sz w:val="24"/>
        </w:rPr>
        <w:t>地表水源供水量中</w:t>
      </w:r>
      <w:r>
        <w:rPr>
          <w:rFonts w:hint="eastAsia"/>
          <w:sz w:val="24"/>
        </w:rPr>
        <w:t>，</w:t>
      </w:r>
      <w:r>
        <w:rPr>
          <w:sz w:val="24"/>
        </w:rPr>
        <w:t>蓄水工程供水量</w:t>
      </w:r>
      <w:r>
        <w:rPr>
          <w:rFonts w:hint="eastAsia"/>
          <w:sz w:val="24"/>
        </w:rPr>
        <w:t>18.</w:t>
      </w:r>
      <w:r>
        <w:rPr>
          <w:sz w:val="24"/>
        </w:rPr>
        <w:t>15亿m</w:t>
      </w:r>
      <w:r>
        <w:rPr>
          <w:sz w:val="24"/>
          <w:vertAlign w:val="superscript"/>
        </w:rPr>
        <w:t>3</w:t>
      </w:r>
      <w:r>
        <w:rPr>
          <w:rFonts w:hint="eastAsia"/>
          <w:sz w:val="24"/>
        </w:rPr>
        <w:t>（不包括向外市供水量）</w:t>
      </w:r>
      <w:r>
        <w:rPr>
          <w:sz w:val="24"/>
        </w:rPr>
        <w:t>，占地表水源供水量的83.5%</w:t>
      </w:r>
      <w:r>
        <w:rPr>
          <w:rFonts w:hint="eastAsia"/>
          <w:sz w:val="24"/>
        </w:rPr>
        <w:t>，主要包含六安市境内大、中、小型水库和塘坝供水量</w:t>
      </w:r>
      <w:r>
        <w:rPr>
          <w:sz w:val="24"/>
        </w:rPr>
        <w:t>；引水工程供水量</w:t>
      </w:r>
      <w:r>
        <w:rPr>
          <w:rFonts w:hint="eastAsia"/>
          <w:sz w:val="24"/>
        </w:rPr>
        <w:t>1.</w:t>
      </w:r>
      <w:r>
        <w:rPr>
          <w:sz w:val="24"/>
        </w:rPr>
        <w:t>48亿m</w:t>
      </w:r>
      <w:r>
        <w:rPr>
          <w:sz w:val="24"/>
          <w:vertAlign w:val="superscript"/>
        </w:rPr>
        <w:t>3</w:t>
      </w:r>
      <w:r>
        <w:rPr>
          <w:sz w:val="24"/>
        </w:rPr>
        <w:t>，占地表水源供水量的</w:t>
      </w:r>
      <w:r>
        <w:rPr>
          <w:rFonts w:hint="eastAsia"/>
          <w:sz w:val="24"/>
        </w:rPr>
        <w:t>6</w:t>
      </w:r>
      <w:r>
        <w:rPr>
          <w:sz w:val="24"/>
        </w:rPr>
        <w:t>.8%</w:t>
      </w:r>
      <w:r>
        <w:rPr>
          <w:rFonts w:hint="eastAsia"/>
          <w:sz w:val="24"/>
        </w:rPr>
        <w:t>，主要包含横排头、淠源渠、七门堰等工程的部分引水量</w:t>
      </w:r>
      <w:r>
        <w:rPr>
          <w:sz w:val="24"/>
        </w:rPr>
        <w:t>；提水工程供水量</w:t>
      </w:r>
      <w:r>
        <w:rPr>
          <w:rFonts w:hint="eastAsia"/>
          <w:sz w:val="24"/>
        </w:rPr>
        <w:t>2.</w:t>
      </w:r>
      <w:r>
        <w:rPr>
          <w:sz w:val="24"/>
        </w:rPr>
        <w:t>12亿m</w:t>
      </w:r>
      <w:r>
        <w:rPr>
          <w:sz w:val="24"/>
          <w:vertAlign w:val="superscript"/>
        </w:rPr>
        <w:t>3</w:t>
      </w:r>
      <w:r>
        <w:rPr>
          <w:sz w:val="24"/>
        </w:rPr>
        <w:t>，占地表水源供水量的9</w:t>
      </w:r>
      <w:r>
        <w:rPr>
          <w:rFonts w:hint="eastAsia"/>
          <w:sz w:val="24"/>
        </w:rPr>
        <w:t>.</w:t>
      </w:r>
      <w:r>
        <w:rPr>
          <w:sz w:val="24"/>
        </w:rPr>
        <w:t>7%</w:t>
      </w:r>
      <w:r>
        <w:rPr>
          <w:rFonts w:hint="eastAsia"/>
          <w:sz w:val="24"/>
        </w:rPr>
        <w:t>，主要包含淠史杭灌区末端河湖泵站的提水量和主要城镇公共供水企业的河湖取水量</w:t>
      </w:r>
      <w:r>
        <w:rPr>
          <w:sz w:val="24"/>
        </w:rPr>
        <w:t>。</w:t>
      </w:r>
    </w:p>
    <w:p>
      <w:pPr>
        <w:spacing w:line="360" w:lineRule="auto"/>
        <w:jc w:val="center"/>
        <w:rPr>
          <w:color w:val="FF0000"/>
        </w:rPr>
      </w:pPr>
      <w:r>
        <w:drawing>
          <wp:inline distT="0" distB="0" distL="0" distR="0">
            <wp:extent cx="5097780" cy="2602230"/>
            <wp:effectExtent l="0" t="0" r="762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jc w:val="center"/>
        <w:rPr>
          <w:b/>
          <w:sz w:val="24"/>
          <w:szCs w:val="24"/>
        </w:rPr>
      </w:pPr>
      <w:r>
        <w:rPr>
          <w:b/>
          <w:sz w:val="24"/>
          <w:szCs w:val="24"/>
        </w:rPr>
        <w:t>图3.2.1  2020年六安市供水构成</w:t>
      </w:r>
    </w:p>
    <w:p>
      <w:pPr>
        <w:spacing w:line="360" w:lineRule="auto"/>
        <w:ind w:firstLine="480" w:firstLineChars="200"/>
        <w:rPr>
          <w:sz w:val="24"/>
        </w:rPr>
      </w:pPr>
      <w:r>
        <w:rPr>
          <w:sz w:val="24"/>
        </w:rPr>
        <w:t>从行政分区来看，2020年六安市供水量最大的县区为霍邱县，供水量为7.18亿m</w:t>
      </w:r>
      <w:r>
        <w:rPr>
          <w:sz w:val="24"/>
          <w:vertAlign w:val="superscript"/>
        </w:rPr>
        <w:t>3</w:t>
      </w:r>
      <w:r>
        <w:rPr>
          <w:sz w:val="24"/>
        </w:rPr>
        <w:t>，占全市地表水源供水总量的32.2%。从流域分区来看，2020年六安市淮河、长江流域地表水源供水量分别为17.27亿m</w:t>
      </w:r>
      <w:r>
        <w:rPr>
          <w:sz w:val="24"/>
          <w:vertAlign w:val="superscript"/>
        </w:rPr>
        <w:t>3</w:t>
      </w:r>
      <w:r>
        <w:rPr>
          <w:sz w:val="24"/>
        </w:rPr>
        <w:t>和4.99亿m</w:t>
      </w:r>
      <w:r>
        <w:rPr>
          <w:sz w:val="24"/>
          <w:vertAlign w:val="superscript"/>
        </w:rPr>
        <w:t>3</w:t>
      </w:r>
      <w:r>
        <w:rPr>
          <w:sz w:val="24"/>
        </w:rPr>
        <w:t>，分别占全市地表水源供水总量的77.6%和22.4%。</w:t>
      </w:r>
    </w:p>
    <w:p>
      <w:pPr>
        <w:spacing w:line="360" w:lineRule="auto"/>
        <w:ind w:firstLine="480" w:firstLineChars="200"/>
        <w:rPr>
          <w:sz w:val="24"/>
        </w:rPr>
      </w:pPr>
      <w:r>
        <w:rPr>
          <w:sz w:val="24"/>
        </w:rPr>
        <w:t>2020年六安市行政分区供水量调查汇总见表3.2.3，流域分区供水量调查汇总见表3.2.4。</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wordWrap w:val="0"/>
        <w:spacing w:line="360" w:lineRule="auto"/>
        <w:ind w:right="196" w:rightChars="98" w:firstLine="482" w:firstLineChars="200"/>
        <w:jc w:val="right"/>
        <w:rPr>
          <w:sz w:val="18"/>
          <w:szCs w:val="18"/>
          <w:vertAlign w:val="superscript"/>
        </w:rPr>
      </w:pPr>
      <w:r>
        <w:rPr>
          <w:b/>
          <w:sz w:val="24"/>
        </w:rPr>
        <w:t xml:space="preserve">表3.2.3  2020年六安市行政分区供水量调查统计   </w:t>
      </w:r>
      <w:r>
        <w:rPr>
          <w:sz w:val="24"/>
        </w:rPr>
        <w:t xml:space="preserve"> </w:t>
      </w:r>
      <w:r>
        <w:rPr>
          <w:sz w:val="18"/>
          <w:szCs w:val="18"/>
        </w:rPr>
        <w:t xml:space="preserve"> 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1017"/>
        <w:gridCol w:w="1017"/>
        <w:gridCol w:w="1016"/>
        <w:gridCol w:w="1016"/>
        <w:gridCol w:w="1016"/>
        <w:gridCol w:w="1016"/>
        <w:gridCol w:w="1016"/>
        <w:gridCol w:w="1016"/>
      </w:tblGrid>
      <w:tr>
        <w:tblPrEx>
          <w:tblCellMar>
            <w:top w:w="0" w:type="dxa"/>
            <w:left w:w="108" w:type="dxa"/>
            <w:bottom w:w="0" w:type="dxa"/>
            <w:right w:w="108" w:type="dxa"/>
          </w:tblCellMar>
        </w:tblPrEx>
        <w:trPr>
          <w:trHeight w:val="340" w:hRule="atLeast"/>
          <w:jc w:val="center"/>
        </w:trPr>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行政分区</w:t>
            </w:r>
          </w:p>
        </w:tc>
        <w:tc>
          <w:tcPr>
            <w:tcW w:w="406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地表水源供水量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地下水源供水量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其他水源供水量</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总供水量</w:t>
            </w:r>
          </w:p>
        </w:tc>
      </w:tr>
      <w:tr>
        <w:tblPrEx>
          <w:tblCellMar>
            <w:top w:w="0" w:type="dxa"/>
            <w:left w:w="108" w:type="dxa"/>
            <w:bottom w:w="0" w:type="dxa"/>
            <w:right w:w="108" w:type="dxa"/>
          </w:tblCellMar>
        </w:tblPrEx>
        <w:trPr>
          <w:trHeight w:val="340" w:hRule="atLeast"/>
          <w:jc w:val="center"/>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18"/>
                <w:szCs w:val="18"/>
              </w:rPr>
            </w:pPr>
          </w:p>
        </w:tc>
        <w:tc>
          <w:tcPr>
            <w:tcW w:w="10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蓄水</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引水</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提水</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小计</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18"/>
                <w:szCs w:val="18"/>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18"/>
                <w:szCs w:val="18"/>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金安区</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3.647 </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0.397 </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0.288 </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4.332 </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0.001 </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0.146 </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4.48 </w:t>
            </w:r>
          </w:p>
        </w:tc>
      </w:tr>
      <w:tr>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裕安区</w:t>
            </w:r>
          </w:p>
        </w:tc>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2.775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0.165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0.104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3.044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0.176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3.22 </w:t>
            </w:r>
          </w:p>
        </w:tc>
      </w:tr>
      <w:tr>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叶集区</w:t>
            </w:r>
          </w:p>
        </w:tc>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0.944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0.017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0.090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1.051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0.005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0.010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1.07 </w:t>
            </w:r>
          </w:p>
        </w:tc>
      </w:tr>
      <w:tr>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霍邱县</w:t>
            </w:r>
          </w:p>
        </w:tc>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6.025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0.029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1.032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7.086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0.067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0.023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7.18 </w:t>
            </w:r>
          </w:p>
        </w:tc>
      </w:tr>
      <w:tr>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舒城县</w:t>
            </w:r>
          </w:p>
        </w:tc>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3.184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0.069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0.293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3.547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3.55 </w:t>
            </w:r>
          </w:p>
        </w:tc>
      </w:tr>
      <w:tr>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金寨县</w:t>
            </w:r>
          </w:p>
        </w:tc>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0.697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0.526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0.195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1.418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0.001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0.083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1.50 </w:t>
            </w:r>
          </w:p>
        </w:tc>
      </w:tr>
      <w:tr>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霍山县</w:t>
            </w:r>
          </w:p>
        </w:tc>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0.877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0.278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0.117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1.272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0.002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0.000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1.27 </w:t>
            </w:r>
          </w:p>
        </w:tc>
      </w:tr>
      <w:tr>
        <w:tblPrEx>
          <w:tblCellMar>
            <w:top w:w="0" w:type="dxa"/>
            <w:left w:w="108" w:type="dxa"/>
            <w:bottom w:w="0" w:type="dxa"/>
            <w:right w:w="108" w:type="dxa"/>
          </w:tblCellMar>
        </w:tblPrEx>
        <w:trPr>
          <w:trHeight w:val="34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全  市</w:t>
            </w:r>
          </w:p>
        </w:tc>
        <w:tc>
          <w:tcPr>
            <w:tcW w:w="101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18.149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1.481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2.119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21.749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0.076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0.438 </w:t>
            </w:r>
          </w:p>
        </w:tc>
        <w:tc>
          <w:tcPr>
            <w:tcW w:w="10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22.26 </w:t>
            </w:r>
          </w:p>
        </w:tc>
      </w:tr>
    </w:tbl>
    <w:p>
      <w:pPr>
        <w:spacing w:before="156" w:beforeLines="50" w:line="360" w:lineRule="auto"/>
        <w:ind w:right="196" w:rightChars="98" w:firstLine="482" w:firstLineChars="200"/>
        <w:jc w:val="right"/>
        <w:rPr>
          <w:sz w:val="18"/>
          <w:szCs w:val="18"/>
          <w:vertAlign w:val="superscript"/>
        </w:rPr>
      </w:pPr>
      <w:r>
        <w:rPr>
          <w:b/>
          <w:sz w:val="24"/>
        </w:rPr>
        <w:t xml:space="preserve">表3.2.4  2020年六安市流域分区供水量调查统计    </w:t>
      </w:r>
      <w:r>
        <w:rPr>
          <w:sz w:val="24"/>
        </w:rPr>
        <w:t xml:space="preserve"> </w:t>
      </w:r>
      <w:r>
        <w:rPr>
          <w:sz w:val="18"/>
          <w:szCs w:val="18"/>
        </w:rPr>
        <w:t>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861"/>
        <w:gridCol w:w="979"/>
        <w:gridCol w:w="851"/>
        <w:gridCol w:w="852"/>
        <w:gridCol w:w="852"/>
        <w:gridCol w:w="852"/>
        <w:gridCol w:w="961"/>
        <w:gridCol w:w="961"/>
        <w:gridCol w:w="961"/>
      </w:tblGrid>
      <w:tr>
        <w:tblPrEx>
          <w:tblCellMar>
            <w:top w:w="0" w:type="dxa"/>
            <w:left w:w="108" w:type="dxa"/>
            <w:bottom w:w="0" w:type="dxa"/>
            <w:right w:w="108" w:type="dxa"/>
          </w:tblCellMar>
        </w:tblPrEx>
        <w:trPr>
          <w:trHeight w:val="340" w:hRule="atLeast"/>
          <w:jc w:val="center"/>
        </w:trPr>
        <w:tc>
          <w:tcPr>
            <w:tcW w:w="8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一级区</w:t>
            </w:r>
          </w:p>
        </w:tc>
        <w:tc>
          <w:tcPr>
            <w:tcW w:w="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四级区</w:t>
            </w:r>
          </w:p>
        </w:tc>
        <w:tc>
          <w:tcPr>
            <w:tcW w:w="3407"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地表水源供水量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地下水源供水量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其他水源供水量</w:t>
            </w:r>
          </w:p>
        </w:tc>
        <w:tc>
          <w:tcPr>
            <w:tcW w:w="961"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总供水量</w:t>
            </w:r>
          </w:p>
        </w:tc>
      </w:tr>
      <w:tr>
        <w:tblPrEx>
          <w:tblCellMar>
            <w:top w:w="0" w:type="dxa"/>
            <w:left w:w="108" w:type="dxa"/>
            <w:bottom w:w="0" w:type="dxa"/>
            <w:right w:w="108" w:type="dxa"/>
          </w:tblCellMar>
        </w:tblPrEx>
        <w:trPr>
          <w:trHeight w:val="340" w:hRule="atLeast"/>
          <w:jc w:val="center"/>
        </w:trPr>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蓄水</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引水</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提水</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小计</w:t>
            </w:r>
          </w:p>
        </w:tc>
        <w:tc>
          <w:tcPr>
            <w:tcW w:w="961" w:type="dxa"/>
            <w:vMerge w:val="continue"/>
            <w:tcBorders>
              <w:left w:val="single" w:color="auto" w:sz="4" w:space="0"/>
              <w:bottom w:val="single" w:color="auto" w:sz="4" w:space="0"/>
              <w:right w:val="single" w:color="auto" w:sz="4" w:space="0"/>
            </w:tcBorders>
            <w:vAlign w:val="center"/>
          </w:tcPr>
          <w:p>
            <w:pPr>
              <w:widowControl/>
              <w:spacing w:line="240" w:lineRule="exact"/>
              <w:jc w:val="left"/>
              <w:rPr>
                <w:color w:val="000000"/>
                <w:kern w:val="0"/>
                <w:sz w:val="18"/>
                <w:szCs w:val="18"/>
              </w:rPr>
            </w:pPr>
          </w:p>
        </w:tc>
        <w:tc>
          <w:tcPr>
            <w:tcW w:w="961" w:type="dxa"/>
            <w:vMerge w:val="continue"/>
            <w:tcBorders>
              <w:left w:val="single" w:color="auto" w:sz="4" w:space="0"/>
              <w:bottom w:val="single" w:color="auto" w:sz="4" w:space="0"/>
              <w:right w:val="single" w:color="auto" w:sz="4" w:space="0"/>
            </w:tcBorders>
            <w:vAlign w:val="center"/>
          </w:tcPr>
          <w:p>
            <w:pPr>
              <w:widowControl/>
              <w:spacing w:line="240" w:lineRule="exact"/>
              <w:jc w:val="left"/>
              <w:rPr>
                <w:color w:val="000000"/>
                <w:kern w:val="0"/>
                <w:sz w:val="18"/>
                <w:szCs w:val="18"/>
              </w:rPr>
            </w:pPr>
          </w:p>
        </w:tc>
        <w:tc>
          <w:tcPr>
            <w:tcW w:w="961" w:type="dxa"/>
            <w:vMerge w:val="continue"/>
            <w:tcBorders>
              <w:left w:val="single" w:color="auto" w:sz="4" w:space="0"/>
              <w:bottom w:val="single" w:color="auto" w:sz="4" w:space="0"/>
              <w:right w:val="single" w:color="auto" w:sz="4" w:space="0"/>
            </w:tcBorders>
            <w:vAlign w:val="center"/>
          </w:tcPr>
          <w:p>
            <w:pPr>
              <w:widowControl/>
              <w:spacing w:line="240" w:lineRule="exact"/>
              <w:jc w:val="left"/>
              <w:rPr>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8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淠史河上游区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1.732 </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0.804 </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0.312 </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2.848 </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0.002 </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2.85 </w:t>
            </w:r>
          </w:p>
        </w:tc>
      </w:tr>
      <w:tr>
        <w:tblPrEx>
          <w:tblCellMar>
            <w:top w:w="0" w:type="dxa"/>
            <w:left w:w="108" w:type="dxa"/>
            <w:bottom w:w="0" w:type="dxa"/>
            <w:right w:w="108" w:type="dxa"/>
          </w:tblCellMar>
        </w:tblPrEx>
        <w:trPr>
          <w:trHeight w:val="340" w:hRule="atLeast"/>
          <w:jc w:val="center"/>
        </w:trPr>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王蚌南岸沿淮区</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12.082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0.484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1.345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13.910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0.073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14.42 </w:t>
            </w:r>
          </w:p>
        </w:tc>
      </w:tr>
      <w:tr>
        <w:tblPrEx>
          <w:tblCellMar>
            <w:top w:w="0" w:type="dxa"/>
            <w:left w:w="108" w:type="dxa"/>
            <w:bottom w:w="0" w:type="dxa"/>
            <w:right w:w="108" w:type="dxa"/>
          </w:tblCellMar>
        </w:tblPrEx>
        <w:trPr>
          <w:trHeight w:val="340" w:hRule="atLeast"/>
          <w:jc w:val="center"/>
        </w:trPr>
        <w:tc>
          <w:tcPr>
            <w:tcW w:w="8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小计</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13.814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1.288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1.657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16.758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0.075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17.27 </w:t>
            </w:r>
          </w:p>
        </w:tc>
      </w:tr>
      <w:tr>
        <w:tblPrEx>
          <w:tblCellMar>
            <w:top w:w="0" w:type="dxa"/>
            <w:left w:w="108" w:type="dxa"/>
            <w:bottom w:w="0" w:type="dxa"/>
            <w:right w:w="108" w:type="dxa"/>
          </w:tblCellMar>
        </w:tblPrEx>
        <w:trPr>
          <w:trHeight w:val="340" w:hRule="atLeast"/>
          <w:jc w:val="center"/>
        </w:trPr>
        <w:tc>
          <w:tcPr>
            <w:tcW w:w="86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97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杭埠河区</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4.335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0.193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0.462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4.991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0.000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4.99 </w:t>
            </w:r>
          </w:p>
        </w:tc>
      </w:tr>
      <w:tr>
        <w:tblPrEx>
          <w:tblCellMar>
            <w:top w:w="0" w:type="dxa"/>
            <w:left w:w="108" w:type="dxa"/>
            <w:bottom w:w="0" w:type="dxa"/>
            <w:right w:w="108" w:type="dxa"/>
          </w:tblCellMar>
        </w:tblPrEx>
        <w:trPr>
          <w:trHeight w:val="340" w:hRule="atLeast"/>
          <w:jc w:val="center"/>
        </w:trPr>
        <w:tc>
          <w:tcPr>
            <w:tcW w:w="1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  市</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18.149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1.481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2.119 </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21.749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0.07</w:t>
            </w:r>
            <w:r>
              <w:rPr>
                <w:color w:val="000000"/>
                <w:sz w:val="18"/>
                <w:szCs w:val="18"/>
              </w:rPr>
              <w:t>5</w:t>
            </w:r>
            <w:r>
              <w:rPr>
                <w:rFonts w:hint="eastAsia"/>
                <w:color w:val="000000"/>
                <w:sz w:val="18"/>
                <w:szCs w:val="18"/>
              </w:rPr>
              <w:t xml:space="preserve">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0.438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22.26 </w:t>
            </w:r>
          </w:p>
        </w:tc>
      </w:tr>
    </w:tbl>
    <w:p>
      <w:pPr>
        <w:ind w:right="196" w:rightChars="98" w:firstLine="482" w:firstLineChars="200"/>
        <w:jc w:val="left"/>
        <w:rPr>
          <w:b/>
          <w:color w:val="FF0000"/>
          <w:sz w:val="24"/>
          <w:vertAlign w:val="superscript"/>
        </w:rPr>
      </w:pPr>
    </w:p>
    <w:p>
      <w:pPr>
        <w:spacing w:before="156" w:beforeLines="50" w:line="360" w:lineRule="auto"/>
        <w:ind w:firstLine="482" w:firstLineChars="200"/>
        <w:rPr>
          <w:b/>
          <w:sz w:val="24"/>
        </w:rPr>
      </w:pPr>
      <w:r>
        <w:rPr>
          <w:b/>
          <w:sz w:val="24"/>
        </w:rPr>
        <w:t>（二）供水变化趋势分析</w:t>
      </w:r>
    </w:p>
    <w:p>
      <w:pPr>
        <w:spacing w:line="360" w:lineRule="auto"/>
        <w:ind w:right="196" w:rightChars="98" w:firstLine="480" w:firstLineChars="200"/>
        <w:jc w:val="left"/>
        <w:rPr>
          <w:sz w:val="24"/>
        </w:rPr>
      </w:pPr>
      <w:r>
        <w:rPr>
          <w:sz w:val="24"/>
        </w:rPr>
        <w:t>2010～2020年间，伴随着经济社会发展、人口增加、生活水平以及节水水平的不断提高，全市供水总量基本维持在22~24.3亿m³之间。供水总量的变化主要体现在其他水源工程供水量，其他水源工程供水量由0亿m³增加至0.44亿m³。</w:t>
      </w:r>
    </w:p>
    <w:p>
      <w:pPr>
        <w:spacing w:line="360" w:lineRule="auto"/>
        <w:ind w:right="196" w:rightChars="98" w:firstLine="480" w:firstLineChars="200"/>
        <w:jc w:val="left"/>
        <w:rPr>
          <w:sz w:val="24"/>
        </w:rPr>
      </w:pPr>
      <w:r>
        <w:rPr>
          <w:sz w:val="24"/>
        </w:rPr>
        <w:t>六安市2010～2020年供水量变化趋势见表3.2.5。</w:t>
      </w:r>
    </w:p>
    <w:p>
      <w:pPr>
        <w:spacing w:before="156" w:beforeLines="50" w:line="360" w:lineRule="auto"/>
        <w:ind w:right="196" w:rightChars="98" w:firstLine="482" w:firstLineChars="200"/>
        <w:jc w:val="right"/>
        <w:rPr>
          <w:sz w:val="18"/>
          <w:szCs w:val="18"/>
          <w:vertAlign w:val="superscript"/>
        </w:rPr>
      </w:pPr>
      <w:r>
        <w:rPr>
          <w:b/>
          <w:sz w:val="24"/>
        </w:rPr>
        <w:t xml:space="preserve">表3.2.5  2010～2020年六安市供水量变化趋势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17"/>
        <w:gridCol w:w="1016"/>
        <w:gridCol w:w="1016"/>
        <w:gridCol w:w="1016"/>
        <w:gridCol w:w="1016"/>
        <w:gridCol w:w="101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7" w:type="dxa"/>
            <w:vMerge w:val="restart"/>
            <w:shd w:val="clear" w:color="auto" w:fill="auto"/>
            <w:vAlign w:val="center"/>
          </w:tcPr>
          <w:p>
            <w:pPr>
              <w:widowControl/>
              <w:spacing w:line="240" w:lineRule="exact"/>
              <w:jc w:val="center"/>
              <w:rPr>
                <w:kern w:val="0"/>
                <w:sz w:val="18"/>
                <w:szCs w:val="18"/>
              </w:rPr>
            </w:pPr>
            <w:r>
              <w:rPr>
                <w:kern w:val="0"/>
                <w:sz w:val="18"/>
                <w:szCs w:val="18"/>
              </w:rPr>
              <w:t>年份</w:t>
            </w:r>
          </w:p>
        </w:tc>
        <w:tc>
          <w:tcPr>
            <w:tcW w:w="4065" w:type="dxa"/>
            <w:gridSpan w:val="4"/>
            <w:shd w:val="clear" w:color="auto" w:fill="auto"/>
            <w:vAlign w:val="center"/>
          </w:tcPr>
          <w:p>
            <w:pPr>
              <w:widowControl/>
              <w:spacing w:line="240" w:lineRule="exact"/>
              <w:jc w:val="center"/>
              <w:rPr>
                <w:kern w:val="0"/>
                <w:sz w:val="18"/>
                <w:szCs w:val="18"/>
              </w:rPr>
            </w:pPr>
            <w:r>
              <w:rPr>
                <w:kern w:val="0"/>
                <w:sz w:val="18"/>
                <w:szCs w:val="18"/>
              </w:rPr>
              <w:t>地表水源供水量</w:t>
            </w:r>
          </w:p>
        </w:tc>
        <w:tc>
          <w:tcPr>
            <w:tcW w:w="1016" w:type="dxa"/>
            <w:vMerge w:val="restart"/>
            <w:shd w:val="clear" w:color="auto" w:fill="auto"/>
            <w:vAlign w:val="center"/>
          </w:tcPr>
          <w:p>
            <w:pPr>
              <w:widowControl/>
              <w:spacing w:line="240" w:lineRule="exact"/>
              <w:jc w:val="center"/>
              <w:rPr>
                <w:kern w:val="0"/>
                <w:sz w:val="18"/>
                <w:szCs w:val="18"/>
              </w:rPr>
            </w:pPr>
            <w:r>
              <w:rPr>
                <w:kern w:val="0"/>
                <w:sz w:val="18"/>
                <w:szCs w:val="18"/>
              </w:rPr>
              <w:t>地下水源供水量</w:t>
            </w:r>
          </w:p>
        </w:tc>
        <w:tc>
          <w:tcPr>
            <w:tcW w:w="1016" w:type="dxa"/>
            <w:vMerge w:val="restart"/>
            <w:shd w:val="clear" w:color="auto" w:fill="auto"/>
            <w:vAlign w:val="center"/>
          </w:tcPr>
          <w:p>
            <w:pPr>
              <w:widowControl/>
              <w:spacing w:line="240" w:lineRule="exact"/>
              <w:jc w:val="center"/>
              <w:rPr>
                <w:kern w:val="0"/>
                <w:sz w:val="18"/>
                <w:szCs w:val="18"/>
              </w:rPr>
            </w:pPr>
            <w:r>
              <w:rPr>
                <w:kern w:val="0"/>
                <w:sz w:val="18"/>
                <w:szCs w:val="18"/>
              </w:rPr>
              <w:t>其他水源供水量</w:t>
            </w:r>
          </w:p>
        </w:tc>
        <w:tc>
          <w:tcPr>
            <w:tcW w:w="1016" w:type="dxa"/>
            <w:vMerge w:val="restart"/>
            <w:shd w:val="clear" w:color="auto" w:fill="auto"/>
            <w:vAlign w:val="center"/>
          </w:tcPr>
          <w:p>
            <w:pPr>
              <w:widowControl/>
              <w:spacing w:line="240" w:lineRule="exact"/>
              <w:jc w:val="center"/>
              <w:rPr>
                <w:kern w:val="0"/>
                <w:sz w:val="18"/>
                <w:szCs w:val="18"/>
              </w:rPr>
            </w:pPr>
            <w:r>
              <w:rPr>
                <w:kern w:val="0"/>
                <w:sz w:val="18"/>
                <w:szCs w:val="18"/>
              </w:rPr>
              <w:t>总供水量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7" w:type="dxa"/>
            <w:vMerge w:val="continue"/>
            <w:vAlign w:val="center"/>
          </w:tcPr>
          <w:p>
            <w:pPr>
              <w:widowControl/>
              <w:spacing w:line="240" w:lineRule="exact"/>
              <w:jc w:val="center"/>
              <w:rPr>
                <w:kern w:val="0"/>
                <w:sz w:val="18"/>
                <w:szCs w:val="18"/>
              </w:rPr>
            </w:pPr>
          </w:p>
        </w:tc>
        <w:tc>
          <w:tcPr>
            <w:tcW w:w="1017" w:type="dxa"/>
            <w:shd w:val="clear" w:color="auto" w:fill="auto"/>
            <w:vAlign w:val="center"/>
          </w:tcPr>
          <w:p>
            <w:pPr>
              <w:widowControl/>
              <w:spacing w:line="240" w:lineRule="exact"/>
              <w:jc w:val="center"/>
              <w:rPr>
                <w:kern w:val="0"/>
                <w:sz w:val="18"/>
                <w:szCs w:val="18"/>
              </w:rPr>
            </w:pPr>
            <w:r>
              <w:rPr>
                <w:kern w:val="0"/>
                <w:sz w:val="18"/>
                <w:szCs w:val="18"/>
              </w:rPr>
              <w:t>蓄水</w:t>
            </w:r>
          </w:p>
        </w:tc>
        <w:tc>
          <w:tcPr>
            <w:tcW w:w="1016" w:type="dxa"/>
            <w:shd w:val="clear" w:color="auto" w:fill="auto"/>
            <w:vAlign w:val="center"/>
          </w:tcPr>
          <w:p>
            <w:pPr>
              <w:widowControl/>
              <w:spacing w:line="240" w:lineRule="exact"/>
              <w:jc w:val="center"/>
              <w:rPr>
                <w:kern w:val="0"/>
                <w:sz w:val="18"/>
                <w:szCs w:val="18"/>
              </w:rPr>
            </w:pPr>
            <w:r>
              <w:rPr>
                <w:kern w:val="0"/>
                <w:sz w:val="18"/>
                <w:szCs w:val="18"/>
              </w:rPr>
              <w:t>引水</w:t>
            </w:r>
          </w:p>
        </w:tc>
        <w:tc>
          <w:tcPr>
            <w:tcW w:w="1016" w:type="dxa"/>
            <w:shd w:val="clear" w:color="auto" w:fill="auto"/>
            <w:vAlign w:val="center"/>
          </w:tcPr>
          <w:p>
            <w:pPr>
              <w:widowControl/>
              <w:spacing w:line="240" w:lineRule="exact"/>
              <w:jc w:val="center"/>
              <w:rPr>
                <w:kern w:val="0"/>
                <w:sz w:val="18"/>
                <w:szCs w:val="18"/>
              </w:rPr>
            </w:pPr>
            <w:r>
              <w:rPr>
                <w:kern w:val="0"/>
                <w:sz w:val="18"/>
                <w:szCs w:val="18"/>
              </w:rPr>
              <w:t>提水</w:t>
            </w:r>
          </w:p>
        </w:tc>
        <w:tc>
          <w:tcPr>
            <w:tcW w:w="1016" w:type="dxa"/>
            <w:shd w:val="clear" w:color="auto" w:fill="auto"/>
            <w:vAlign w:val="center"/>
          </w:tcPr>
          <w:p>
            <w:pPr>
              <w:widowControl/>
              <w:spacing w:line="240" w:lineRule="exact"/>
              <w:jc w:val="center"/>
              <w:rPr>
                <w:kern w:val="0"/>
                <w:sz w:val="18"/>
                <w:szCs w:val="18"/>
              </w:rPr>
            </w:pPr>
            <w:r>
              <w:rPr>
                <w:kern w:val="0"/>
                <w:sz w:val="18"/>
                <w:szCs w:val="18"/>
              </w:rPr>
              <w:t>小计</w:t>
            </w:r>
          </w:p>
        </w:tc>
        <w:tc>
          <w:tcPr>
            <w:tcW w:w="1016" w:type="dxa"/>
            <w:vMerge w:val="continue"/>
            <w:vAlign w:val="center"/>
          </w:tcPr>
          <w:p>
            <w:pPr>
              <w:widowControl/>
              <w:spacing w:line="240" w:lineRule="exact"/>
              <w:jc w:val="center"/>
              <w:rPr>
                <w:kern w:val="0"/>
                <w:sz w:val="18"/>
                <w:szCs w:val="18"/>
              </w:rPr>
            </w:pPr>
          </w:p>
        </w:tc>
        <w:tc>
          <w:tcPr>
            <w:tcW w:w="1016" w:type="dxa"/>
            <w:vMerge w:val="continue"/>
            <w:vAlign w:val="center"/>
          </w:tcPr>
          <w:p>
            <w:pPr>
              <w:widowControl/>
              <w:spacing w:line="240" w:lineRule="exact"/>
              <w:jc w:val="center"/>
              <w:rPr>
                <w:kern w:val="0"/>
                <w:sz w:val="18"/>
                <w:szCs w:val="18"/>
              </w:rPr>
            </w:pPr>
          </w:p>
        </w:tc>
        <w:tc>
          <w:tcPr>
            <w:tcW w:w="1016" w:type="dxa"/>
            <w:vMerge w:val="continue"/>
            <w:vAlign w:val="center"/>
          </w:tcPr>
          <w:p>
            <w:pPr>
              <w:widowControl/>
              <w:spacing w:line="240" w:lineRule="exact"/>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2010</w:t>
            </w:r>
          </w:p>
        </w:tc>
        <w:tc>
          <w:tcPr>
            <w:tcW w:w="1017" w:type="dxa"/>
            <w:shd w:val="clear" w:color="auto" w:fill="auto"/>
            <w:vAlign w:val="center"/>
          </w:tcPr>
          <w:p>
            <w:pPr>
              <w:widowControl/>
              <w:spacing w:line="240" w:lineRule="exact"/>
              <w:jc w:val="center"/>
              <w:rPr>
                <w:kern w:val="0"/>
                <w:sz w:val="18"/>
                <w:szCs w:val="18"/>
              </w:rPr>
            </w:pPr>
            <w:r>
              <w:rPr>
                <w:kern w:val="0"/>
                <w:sz w:val="18"/>
                <w:szCs w:val="18"/>
              </w:rPr>
              <w:t>17.62</w:t>
            </w:r>
          </w:p>
        </w:tc>
        <w:tc>
          <w:tcPr>
            <w:tcW w:w="1016" w:type="dxa"/>
            <w:shd w:val="clear" w:color="auto" w:fill="auto"/>
            <w:vAlign w:val="center"/>
          </w:tcPr>
          <w:p>
            <w:pPr>
              <w:widowControl/>
              <w:spacing w:line="240" w:lineRule="exact"/>
              <w:jc w:val="center"/>
              <w:rPr>
                <w:kern w:val="0"/>
                <w:sz w:val="18"/>
                <w:szCs w:val="18"/>
              </w:rPr>
            </w:pPr>
            <w:r>
              <w:rPr>
                <w:kern w:val="0"/>
                <w:sz w:val="18"/>
                <w:szCs w:val="18"/>
              </w:rPr>
              <w:t>2.74</w:t>
            </w:r>
          </w:p>
        </w:tc>
        <w:tc>
          <w:tcPr>
            <w:tcW w:w="1016" w:type="dxa"/>
            <w:shd w:val="clear" w:color="auto" w:fill="auto"/>
            <w:vAlign w:val="center"/>
          </w:tcPr>
          <w:p>
            <w:pPr>
              <w:widowControl/>
              <w:spacing w:line="240" w:lineRule="exact"/>
              <w:jc w:val="center"/>
              <w:rPr>
                <w:kern w:val="0"/>
                <w:sz w:val="18"/>
                <w:szCs w:val="18"/>
              </w:rPr>
            </w:pPr>
            <w:r>
              <w:rPr>
                <w:kern w:val="0"/>
                <w:sz w:val="18"/>
                <w:szCs w:val="18"/>
              </w:rPr>
              <w:t>1.34</w:t>
            </w:r>
          </w:p>
        </w:tc>
        <w:tc>
          <w:tcPr>
            <w:tcW w:w="1016" w:type="dxa"/>
            <w:shd w:val="clear" w:color="auto" w:fill="auto"/>
            <w:vAlign w:val="center"/>
          </w:tcPr>
          <w:p>
            <w:pPr>
              <w:widowControl/>
              <w:spacing w:line="240" w:lineRule="exact"/>
              <w:jc w:val="center"/>
              <w:rPr>
                <w:kern w:val="0"/>
                <w:sz w:val="18"/>
                <w:szCs w:val="18"/>
              </w:rPr>
            </w:pPr>
            <w:r>
              <w:rPr>
                <w:kern w:val="0"/>
                <w:sz w:val="18"/>
                <w:szCs w:val="18"/>
              </w:rPr>
              <w:t>21.70</w:t>
            </w:r>
          </w:p>
        </w:tc>
        <w:tc>
          <w:tcPr>
            <w:tcW w:w="1016" w:type="dxa"/>
            <w:shd w:val="clear" w:color="auto" w:fill="auto"/>
            <w:vAlign w:val="center"/>
          </w:tcPr>
          <w:p>
            <w:pPr>
              <w:widowControl/>
              <w:spacing w:line="240" w:lineRule="exact"/>
              <w:jc w:val="center"/>
              <w:rPr>
                <w:kern w:val="0"/>
                <w:sz w:val="18"/>
                <w:szCs w:val="18"/>
              </w:rPr>
            </w:pPr>
            <w:r>
              <w:rPr>
                <w:kern w:val="0"/>
                <w:sz w:val="18"/>
                <w:szCs w:val="18"/>
              </w:rPr>
              <w:t>0.34</w:t>
            </w:r>
          </w:p>
        </w:tc>
        <w:tc>
          <w:tcPr>
            <w:tcW w:w="1016" w:type="dxa"/>
            <w:shd w:val="clear" w:color="auto" w:fill="auto"/>
            <w:vAlign w:val="center"/>
          </w:tcPr>
          <w:p>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pPr>
              <w:widowControl/>
              <w:spacing w:line="240" w:lineRule="exact"/>
              <w:jc w:val="center"/>
              <w:rPr>
                <w:kern w:val="0"/>
                <w:sz w:val="18"/>
                <w:szCs w:val="18"/>
              </w:rPr>
            </w:pPr>
            <w:r>
              <w:rPr>
                <w:kern w:val="0"/>
                <w:sz w:val="18"/>
                <w:szCs w:val="18"/>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2011</w:t>
            </w:r>
          </w:p>
        </w:tc>
        <w:tc>
          <w:tcPr>
            <w:tcW w:w="1017" w:type="dxa"/>
            <w:shd w:val="clear" w:color="auto" w:fill="auto"/>
            <w:vAlign w:val="center"/>
          </w:tcPr>
          <w:p>
            <w:pPr>
              <w:widowControl/>
              <w:spacing w:line="240" w:lineRule="exact"/>
              <w:jc w:val="center"/>
              <w:rPr>
                <w:kern w:val="0"/>
                <w:sz w:val="18"/>
                <w:szCs w:val="18"/>
              </w:rPr>
            </w:pPr>
            <w:r>
              <w:rPr>
                <w:kern w:val="0"/>
                <w:sz w:val="18"/>
                <w:szCs w:val="18"/>
              </w:rPr>
              <w:t>18.87</w:t>
            </w:r>
          </w:p>
        </w:tc>
        <w:tc>
          <w:tcPr>
            <w:tcW w:w="1016" w:type="dxa"/>
            <w:shd w:val="clear" w:color="auto" w:fill="auto"/>
            <w:vAlign w:val="center"/>
          </w:tcPr>
          <w:p>
            <w:pPr>
              <w:widowControl/>
              <w:spacing w:line="240" w:lineRule="exact"/>
              <w:jc w:val="center"/>
              <w:rPr>
                <w:kern w:val="0"/>
                <w:sz w:val="18"/>
                <w:szCs w:val="18"/>
              </w:rPr>
            </w:pPr>
            <w:r>
              <w:rPr>
                <w:kern w:val="0"/>
                <w:sz w:val="18"/>
                <w:szCs w:val="18"/>
              </w:rPr>
              <w:t>2.80</w:t>
            </w:r>
          </w:p>
        </w:tc>
        <w:tc>
          <w:tcPr>
            <w:tcW w:w="1016" w:type="dxa"/>
            <w:shd w:val="clear" w:color="auto" w:fill="auto"/>
            <w:vAlign w:val="center"/>
          </w:tcPr>
          <w:p>
            <w:pPr>
              <w:widowControl/>
              <w:spacing w:line="240" w:lineRule="exact"/>
              <w:jc w:val="center"/>
              <w:rPr>
                <w:kern w:val="0"/>
                <w:sz w:val="18"/>
                <w:szCs w:val="18"/>
              </w:rPr>
            </w:pPr>
            <w:r>
              <w:rPr>
                <w:kern w:val="0"/>
                <w:sz w:val="18"/>
                <w:szCs w:val="18"/>
              </w:rPr>
              <w:t>1.84</w:t>
            </w:r>
          </w:p>
        </w:tc>
        <w:tc>
          <w:tcPr>
            <w:tcW w:w="1016" w:type="dxa"/>
            <w:shd w:val="clear" w:color="auto" w:fill="auto"/>
            <w:vAlign w:val="center"/>
          </w:tcPr>
          <w:p>
            <w:pPr>
              <w:widowControl/>
              <w:spacing w:line="240" w:lineRule="exact"/>
              <w:jc w:val="center"/>
              <w:rPr>
                <w:kern w:val="0"/>
                <w:sz w:val="18"/>
                <w:szCs w:val="18"/>
              </w:rPr>
            </w:pPr>
            <w:r>
              <w:rPr>
                <w:kern w:val="0"/>
                <w:sz w:val="18"/>
                <w:szCs w:val="18"/>
              </w:rPr>
              <w:t>23.50</w:t>
            </w:r>
          </w:p>
        </w:tc>
        <w:tc>
          <w:tcPr>
            <w:tcW w:w="1016" w:type="dxa"/>
            <w:shd w:val="clear" w:color="auto" w:fill="auto"/>
            <w:vAlign w:val="center"/>
          </w:tcPr>
          <w:p>
            <w:pPr>
              <w:widowControl/>
              <w:spacing w:line="240" w:lineRule="exact"/>
              <w:jc w:val="center"/>
              <w:rPr>
                <w:kern w:val="0"/>
                <w:sz w:val="18"/>
                <w:szCs w:val="18"/>
              </w:rPr>
            </w:pPr>
            <w:r>
              <w:rPr>
                <w:kern w:val="0"/>
                <w:sz w:val="18"/>
                <w:szCs w:val="18"/>
              </w:rPr>
              <w:t>0.58</w:t>
            </w:r>
          </w:p>
        </w:tc>
        <w:tc>
          <w:tcPr>
            <w:tcW w:w="1016" w:type="dxa"/>
            <w:shd w:val="clear" w:color="auto" w:fill="auto"/>
            <w:vAlign w:val="center"/>
          </w:tcPr>
          <w:p>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pPr>
              <w:widowControl/>
              <w:spacing w:line="240" w:lineRule="exact"/>
              <w:jc w:val="center"/>
              <w:rPr>
                <w:kern w:val="0"/>
                <w:sz w:val="18"/>
                <w:szCs w:val="18"/>
              </w:rPr>
            </w:pPr>
            <w:r>
              <w:rPr>
                <w:kern w:val="0"/>
                <w:sz w:val="18"/>
                <w:szCs w:val="18"/>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2012</w:t>
            </w:r>
          </w:p>
        </w:tc>
        <w:tc>
          <w:tcPr>
            <w:tcW w:w="1017" w:type="dxa"/>
            <w:shd w:val="clear" w:color="auto" w:fill="auto"/>
            <w:vAlign w:val="center"/>
          </w:tcPr>
          <w:p>
            <w:pPr>
              <w:widowControl/>
              <w:spacing w:line="240" w:lineRule="exact"/>
              <w:jc w:val="center"/>
              <w:rPr>
                <w:kern w:val="0"/>
                <w:sz w:val="18"/>
                <w:szCs w:val="18"/>
              </w:rPr>
            </w:pPr>
            <w:r>
              <w:rPr>
                <w:kern w:val="0"/>
                <w:sz w:val="18"/>
                <w:szCs w:val="18"/>
              </w:rPr>
              <w:t>18.42</w:t>
            </w:r>
          </w:p>
        </w:tc>
        <w:tc>
          <w:tcPr>
            <w:tcW w:w="1016" w:type="dxa"/>
            <w:shd w:val="clear" w:color="auto" w:fill="auto"/>
            <w:vAlign w:val="center"/>
          </w:tcPr>
          <w:p>
            <w:pPr>
              <w:widowControl/>
              <w:spacing w:line="240" w:lineRule="exact"/>
              <w:jc w:val="center"/>
              <w:rPr>
                <w:kern w:val="0"/>
                <w:sz w:val="18"/>
                <w:szCs w:val="18"/>
              </w:rPr>
            </w:pPr>
            <w:r>
              <w:rPr>
                <w:kern w:val="0"/>
                <w:sz w:val="18"/>
                <w:szCs w:val="18"/>
              </w:rPr>
              <w:t>2.57</w:t>
            </w:r>
          </w:p>
        </w:tc>
        <w:tc>
          <w:tcPr>
            <w:tcW w:w="1016" w:type="dxa"/>
            <w:shd w:val="clear" w:color="auto" w:fill="auto"/>
            <w:vAlign w:val="center"/>
          </w:tcPr>
          <w:p>
            <w:pPr>
              <w:widowControl/>
              <w:spacing w:line="240" w:lineRule="exact"/>
              <w:jc w:val="center"/>
              <w:rPr>
                <w:kern w:val="0"/>
                <w:sz w:val="18"/>
                <w:szCs w:val="18"/>
              </w:rPr>
            </w:pPr>
            <w:r>
              <w:rPr>
                <w:kern w:val="0"/>
                <w:sz w:val="18"/>
                <w:szCs w:val="18"/>
              </w:rPr>
              <w:t>1.78</w:t>
            </w:r>
          </w:p>
        </w:tc>
        <w:tc>
          <w:tcPr>
            <w:tcW w:w="1016" w:type="dxa"/>
            <w:shd w:val="clear" w:color="auto" w:fill="auto"/>
            <w:vAlign w:val="center"/>
          </w:tcPr>
          <w:p>
            <w:pPr>
              <w:widowControl/>
              <w:spacing w:line="240" w:lineRule="exact"/>
              <w:jc w:val="center"/>
              <w:rPr>
                <w:kern w:val="0"/>
                <w:sz w:val="18"/>
                <w:szCs w:val="18"/>
              </w:rPr>
            </w:pPr>
            <w:r>
              <w:rPr>
                <w:kern w:val="0"/>
                <w:sz w:val="18"/>
                <w:szCs w:val="18"/>
              </w:rPr>
              <w:t>22.77</w:t>
            </w:r>
          </w:p>
        </w:tc>
        <w:tc>
          <w:tcPr>
            <w:tcW w:w="1016" w:type="dxa"/>
            <w:shd w:val="clear" w:color="auto" w:fill="auto"/>
            <w:vAlign w:val="center"/>
          </w:tcPr>
          <w:p>
            <w:pPr>
              <w:widowControl/>
              <w:spacing w:line="240" w:lineRule="exact"/>
              <w:jc w:val="center"/>
              <w:rPr>
                <w:kern w:val="0"/>
                <w:sz w:val="18"/>
                <w:szCs w:val="18"/>
              </w:rPr>
            </w:pPr>
            <w:r>
              <w:rPr>
                <w:kern w:val="0"/>
                <w:sz w:val="18"/>
                <w:szCs w:val="18"/>
              </w:rPr>
              <w:t>0.58</w:t>
            </w:r>
          </w:p>
        </w:tc>
        <w:tc>
          <w:tcPr>
            <w:tcW w:w="1016" w:type="dxa"/>
            <w:shd w:val="clear" w:color="auto" w:fill="auto"/>
            <w:vAlign w:val="center"/>
          </w:tcPr>
          <w:p>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pPr>
              <w:widowControl/>
              <w:spacing w:line="240" w:lineRule="exact"/>
              <w:jc w:val="center"/>
              <w:rPr>
                <w:kern w:val="0"/>
                <w:sz w:val="18"/>
                <w:szCs w:val="18"/>
              </w:rPr>
            </w:pPr>
            <w:r>
              <w:rPr>
                <w:kern w:val="0"/>
                <w:sz w:val="18"/>
                <w:szCs w:val="18"/>
              </w:rPr>
              <w:t>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2013</w:t>
            </w:r>
          </w:p>
        </w:tc>
        <w:tc>
          <w:tcPr>
            <w:tcW w:w="1017" w:type="dxa"/>
            <w:shd w:val="clear" w:color="auto" w:fill="auto"/>
            <w:vAlign w:val="center"/>
          </w:tcPr>
          <w:p>
            <w:pPr>
              <w:widowControl/>
              <w:spacing w:line="240" w:lineRule="exact"/>
              <w:jc w:val="center"/>
              <w:rPr>
                <w:kern w:val="0"/>
                <w:sz w:val="18"/>
                <w:szCs w:val="18"/>
              </w:rPr>
            </w:pPr>
            <w:r>
              <w:rPr>
                <w:kern w:val="0"/>
                <w:sz w:val="18"/>
                <w:szCs w:val="18"/>
              </w:rPr>
              <w:t>19.72</w:t>
            </w:r>
          </w:p>
        </w:tc>
        <w:tc>
          <w:tcPr>
            <w:tcW w:w="1016" w:type="dxa"/>
            <w:shd w:val="clear" w:color="auto" w:fill="auto"/>
            <w:vAlign w:val="center"/>
          </w:tcPr>
          <w:p>
            <w:pPr>
              <w:widowControl/>
              <w:spacing w:line="240" w:lineRule="exact"/>
              <w:jc w:val="center"/>
              <w:rPr>
                <w:kern w:val="0"/>
                <w:sz w:val="18"/>
                <w:szCs w:val="18"/>
              </w:rPr>
            </w:pPr>
            <w:r>
              <w:rPr>
                <w:kern w:val="0"/>
                <w:sz w:val="18"/>
                <w:szCs w:val="18"/>
              </w:rPr>
              <w:t>2.06</w:t>
            </w:r>
          </w:p>
        </w:tc>
        <w:tc>
          <w:tcPr>
            <w:tcW w:w="1016" w:type="dxa"/>
            <w:shd w:val="clear" w:color="auto" w:fill="auto"/>
            <w:vAlign w:val="center"/>
          </w:tcPr>
          <w:p>
            <w:pPr>
              <w:widowControl/>
              <w:spacing w:line="240" w:lineRule="exact"/>
              <w:jc w:val="center"/>
              <w:rPr>
                <w:kern w:val="0"/>
                <w:sz w:val="18"/>
                <w:szCs w:val="18"/>
              </w:rPr>
            </w:pPr>
            <w:r>
              <w:rPr>
                <w:kern w:val="0"/>
                <w:sz w:val="18"/>
                <w:szCs w:val="18"/>
              </w:rPr>
              <w:t>1.91</w:t>
            </w:r>
          </w:p>
        </w:tc>
        <w:tc>
          <w:tcPr>
            <w:tcW w:w="1016" w:type="dxa"/>
            <w:shd w:val="clear" w:color="auto" w:fill="auto"/>
            <w:vAlign w:val="center"/>
          </w:tcPr>
          <w:p>
            <w:pPr>
              <w:widowControl/>
              <w:spacing w:line="240" w:lineRule="exact"/>
              <w:jc w:val="center"/>
              <w:rPr>
                <w:kern w:val="0"/>
                <w:sz w:val="18"/>
                <w:szCs w:val="18"/>
              </w:rPr>
            </w:pPr>
            <w:r>
              <w:rPr>
                <w:kern w:val="0"/>
                <w:sz w:val="18"/>
                <w:szCs w:val="18"/>
              </w:rPr>
              <w:t>23.69</w:t>
            </w:r>
          </w:p>
        </w:tc>
        <w:tc>
          <w:tcPr>
            <w:tcW w:w="1016" w:type="dxa"/>
            <w:shd w:val="clear" w:color="auto" w:fill="auto"/>
            <w:vAlign w:val="center"/>
          </w:tcPr>
          <w:p>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pPr>
              <w:widowControl/>
              <w:spacing w:line="240" w:lineRule="exact"/>
              <w:jc w:val="center"/>
              <w:rPr>
                <w:kern w:val="0"/>
                <w:sz w:val="18"/>
                <w:szCs w:val="18"/>
              </w:rPr>
            </w:pPr>
            <w:r>
              <w:rPr>
                <w:kern w:val="0"/>
                <w:sz w:val="18"/>
                <w:szCs w:val="18"/>
              </w:rPr>
              <w:t>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2014</w:t>
            </w:r>
          </w:p>
        </w:tc>
        <w:tc>
          <w:tcPr>
            <w:tcW w:w="1017" w:type="dxa"/>
            <w:shd w:val="clear" w:color="auto" w:fill="auto"/>
            <w:vAlign w:val="center"/>
          </w:tcPr>
          <w:p>
            <w:pPr>
              <w:widowControl/>
              <w:spacing w:line="240" w:lineRule="exact"/>
              <w:jc w:val="center"/>
              <w:rPr>
                <w:kern w:val="0"/>
                <w:sz w:val="18"/>
                <w:szCs w:val="18"/>
              </w:rPr>
            </w:pPr>
            <w:r>
              <w:rPr>
                <w:kern w:val="0"/>
                <w:sz w:val="18"/>
                <w:szCs w:val="18"/>
              </w:rPr>
              <w:t>19.56</w:t>
            </w:r>
          </w:p>
        </w:tc>
        <w:tc>
          <w:tcPr>
            <w:tcW w:w="1016" w:type="dxa"/>
            <w:shd w:val="clear" w:color="auto" w:fill="auto"/>
            <w:vAlign w:val="center"/>
          </w:tcPr>
          <w:p>
            <w:pPr>
              <w:widowControl/>
              <w:spacing w:line="240" w:lineRule="exact"/>
              <w:jc w:val="center"/>
              <w:rPr>
                <w:kern w:val="0"/>
                <w:sz w:val="18"/>
                <w:szCs w:val="18"/>
              </w:rPr>
            </w:pPr>
            <w:r>
              <w:rPr>
                <w:kern w:val="0"/>
                <w:sz w:val="18"/>
                <w:szCs w:val="18"/>
              </w:rPr>
              <w:t>1.61</w:t>
            </w:r>
          </w:p>
        </w:tc>
        <w:tc>
          <w:tcPr>
            <w:tcW w:w="1016" w:type="dxa"/>
            <w:shd w:val="clear" w:color="auto" w:fill="auto"/>
            <w:vAlign w:val="center"/>
          </w:tcPr>
          <w:p>
            <w:pPr>
              <w:widowControl/>
              <w:spacing w:line="240" w:lineRule="exact"/>
              <w:jc w:val="center"/>
              <w:rPr>
                <w:kern w:val="0"/>
                <w:sz w:val="18"/>
                <w:szCs w:val="18"/>
              </w:rPr>
            </w:pPr>
            <w:r>
              <w:rPr>
                <w:kern w:val="0"/>
                <w:sz w:val="18"/>
                <w:szCs w:val="18"/>
              </w:rPr>
              <w:t>1.79</w:t>
            </w:r>
          </w:p>
        </w:tc>
        <w:tc>
          <w:tcPr>
            <w:tcW w:w="1016" w:type="dxa"/>
            <w:shd w:val="clear" w:color="auto" w:fill="auto"/>
            <w:vAlign w:val="center"/>
          </w:tcPr>
          <w:p>
            <w:pPr>
              <w:widowControl/>
              <w:spacing w:line="240" w:lineRule="exact"/>
              <w:jc w:val="center"/>
              <w:rPr>
                <w:kern w:val="0"/>
                <w:sz w:val="18"/>
                <w:szCs w:val="18"/>
              </w:rPr>
            </w:pPr>
            <w:r>
              <w:rPr>
                <w:kern w:val="0"/>
                <w:sz w:val="18"/>
                <w:szCs w:val="18"/>
              </w:rPr>
              <w:t>22.96</w:t>
            </w:r>
          </w:p>
        </w:tc>
        <w:tc>
          <w:tcPr>
            <w:tcW w:w="1016" w:type="dxa"/>
            <w:shd w:val="clear" w:color="auto" w:fill="auto"/>
            <w:vAlign w:val="center"/>
          </w:tcPr>
          <w:p>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pPr>
              <w:widowControl/>
              <w:spacing w:line="240" w:lineRule="exact"/>
              <w:jc w:val="center"/>
              <w:rPr>
                <w:kern w:val="0"/>
                <w:sz w:val="18"/>
                <w:szCs w:val="18"/>
              </w:rPr>
            </w:pPr>
            <w:r>
              <w:rPr>
                <w:kern w:val="0"/>
                <w:sz w:val="18"/>
                <w:szCs w:val="18"/>
              </w:rPr>
              <w:t>0</w:t>
            </w:r>
          </w:p>
        </w:tc>
        <w:tc>
          <w:tcPr>
            <w:tcW w:w="1016" w:type="dxa"/>
            <w:shd w:val="clear" w:color="auto" w:fill="auto"/>
            <w:vAlign w:val="center"/>
          </w:tcPr>
          <w:p>
            <w:pPr>
              <w:widowControl/>
              <w:spacing w:line="240" w:lineRule="exact"/>
              <w:jc w:val="center"/>
              <w:rPr>
                <w:kern w:val="0"/>
                <w:sz w:val="18"/>
                <w:szCs w:val="18"/>
              </w:rPr>
            </w:pPr>
            <w:r>
              <w:rPr>
                <w:kern w:val="0"/>
                <w:sz w:val="18"/>
                <w:szCs w:val="18"/>
              </w:rPr>
              <w:t>23.51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2015</w:t>
            </w:r>
          </w:p>
        </w:tc>
        <w:tc>
          <w:tcPr>
            <w:tcW w:w="1017" w:type="dxa"/>
            <w:shd w:val="clear" w:color="auto" w:fill="auto"/>
            <w:vAlign w:val="center"/>
          </w:tcPr>
          <w:p>
            <w:pPr>
              <w:widowControl/>
              <w:spacing w:line="240" w:lineRule="exact"/>
              <w:jc w:val="center"/>
              <w:rPr>
                <w:kern w:val="0"/>
                <w:sz w:val="18"/>
                <w:szCs w:val="18"/>
              </w:rPr>
            </w:pPr>
            <w:r>
              <w:rPr>
                <w:kern w:val="0"/>
                <w:sz w:val="18"/>
                <w:szCs w:val="18"/>
              </w:rPr>
              <w:t>19.41</w:t>
            </w:r>
          </w:p>
        </w:tc>
        <w:tc>
          <w:tcPr>
            <w:tcW w:w="1016" w:type="dxa"/>
            <w:shd w:val="clear" w:color="auto" w:fill="auto"/>
            <w:vAlign w:val="center"/>
          </w:tcPr>
          <w:p>
            <w:pPr>
              <w:widowControl/>
              <w:spacing w:line="240" w:lineRule="exact"/>
              <w:jc w:val="center"/>
              <w:rPr>
                <w:kern w:val="0"/>
                <w:sz w:val="18"/>
                <w:szCs w:val="18"/>
              </w:rPr>
            </w:pPr>
            <w:r>
              <w:rPr>
                <w:kern w:val="0"/>
                <w:sz w:val="18"/>
                <w:szCs w:val="18"/>
              </w:rPr>
              <w:t>1.27</w:t>
            </w:r>
          </w:p>
        </w:tc>
        <w:tc>
          <w:tcPr>
            <w:tcW w:w="1016" w:type="dxa"/>
            <w:shd w:val="clear" w:color="auto" w:fill="auto"/>
            <w:vAlign w:val="center"/>
          </w:tcPr>
          <w:p>
            <w:pPr>
              <w:widowControl/>
              <w:spacing w:line="240" w:lineRule="exact"/>
              <w:jc w:val="center"/>
              <w:rPr>
                <w:kern w:val="0"/>
                <w:sz w:val="18"/>
                <w:szCs w:val="18"/>
              </w:rPr>
            </w:pPr>
            <w:r>
              <w:rPr>
                <w:kern w:val="0"/>
                <w:sz w:val="18"/>
                <w:szCs w:val="18"/>
              </w:rPr>
              <w:t>1.88</w:t>
            </w:r>
          </w:p>
        </w:tc>
        <w:tc>
          <w:tcPr>
            <w:tcW w:w="1016" w:type="dxa"/>
            <w:shd w:val="clear" w:color="auto" w:fill="auto"/>
            <w:vAlign w:val="center"/>
          </w:tcPr>
          <w:p>
            <w:pPr>
              <w:widowControl/>
              <w:spacing w:line="240" w:lineRule="exact"/>
              <w:jc w:val="center"/>
              <w:rPr>
                <w:kern w:val="0"/>
                <w:sz w:val="18"/>
                <w:szCs w:val="18"/>
              </w:rPr>
            </w:pPr>
            <w:r>
              <w:rPr>
                <w:kern w:val="0"/>
                <w:sz w:val="18"/>
                <w:szCs w:val="18"/>
              </w:rPr>
              <w:t>22.56</w:t>
            </w:r>
          </w:p>
        </w:tc>
        <w:tc>
          <w:tcPr>
            <w:tcW w:w="1016" w:type="dxa"/>
            <w:shd w:val="clear" w:color="auto" w:fill="auto"/>
            <w:vAlign w:val="center"/>
          </w:tcPr>
          <w:p>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pPr>
              <w:widowControl/>
              <w:spacing w:line="240" w:lineRule="exact"/>
              <w:jc w:val="center"/>
              <w:rPr>
                <w:kern w:val="0"/>
                <w:sz w:val="18"/>
                <w:szCs w:val="18"/>
              </w:rPr>
            </w:pPr>
            <w:r>
              <w:rPr>
                <w:kern w:val="0"/>
                <w:sz w:val="18"/>
                <w:szCs w:val="18"/>
              </w:rPr>
              <w:t>0.49</w:t>
            </w:r>
          </w:p>
        </w:tc>
        <w:tc>
          <w:tcPr>
            <w:tcW w:w="1016" w:type="dxa"/>
            <w:shd w:val="clear" w:color="auto" w:fill="auto"/>
            <w:vAlign w:val="center"/>
          </w:tcPr>
          <w:p>
            <w:pPr>
              <w:widowControl/>
              <w:spacing w:line="240" w:lineRule="exact"/>
              <w:jc w:val="center"/>
              <w:rPr>
                <w:kern w:val="0"/>
                <w:sz w:val="18"/>
                <w:szCs w:val="18"/>
              </w:rPr>
            </w:pPr>
            <w:r>
              <w:rPr>
                <w:kern w:val="0"/>
                <w:sz w:val="18"/>
                <w:szCs w:val="18"/>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2016</w:t>
            </w:r>
          </w:p>
        </w:tc>
        <w:tc>
          <w:tcPr>
            <w:tcW w:w="1017" w:type="dxa"/>
            <w:shd w:val="clear" w:color="auto" w:fill="auto"/>
            <w:vAlign w:val="center"/>
          </w:tcPr>
          <w:p>
            <w:pPr>
              <w:widowControl/>
              <w:spacing w:line="240" w:lineRule="exact"/>
              <w:jc w:val="center"/>
              <w:rPr>
                <w:kern w:val="0"/>
                <w:sz w:val="18"/>
                <w:szCs w:val="18"/>
              </w:rPr>
            </w:pPr>
            <w:r>
              <w:rPr>
                <w:kern w:val="0"/>
                <w:sz w:val="18"/>
                <w:szCs w:val="18"/>
              </w:rPr>
              <w:t>19.09</w:t>
            </w:r>
          </w:p>
        </w:tc>
        <w:tc>
          <w:tcPr>
            <w:tcW w:w="1016" w:type="dxa"/>
            <w:shd w:val="clear" w:color="auto" w:fill="auto"/>
            <w:vAlign w:val="center"/>
          </w:tcPr>
          <w:p>
            <w:pPr>
              <w:widowControl/>
              <w:spacing w:line="240" w:lineRule="exact"/>
              <w:jc w:val="center"/>
              <w:rPr>
                <w:kern w:val="0"/>
                <w:sz w:val="18"/>
                <w:szCs w:val="18"/>
              </w:rPr>
            </w:pPr>
            <w:r>
              <w:rPr>
                <w:kern w:val="0"/>
                <w:sz w:val="18"/>
                <w:szCs w:val="18"/>
              </w:rPr>
              <w:t>1.33</w:t>
            </w:r>
          </w:p>
        </w:tc>
        <w:tc>
          <w:tcPr>
            <w:tcW w:w="1016" w:type="dxa"/>
            <w:shd w:val="clear" w:color="auto" w:fill="auto"/>
            <w:vAlign w:val="center"/>
          </w:tcPr>
          <w:p>
            <w:pPr>
              <w:widowControl/>
              <w:spacing w:line="240" w:lineRule="exact"/>
              <w:jc w:val="center"/>
              <w:rPr>
                <w:kern w:val="0"/>
                <w:sz w:val="18"/>
                <w:szCs w:val="18"/>
              </w:rPr>
            </w:pPr>
            <w:r>
              <w:rPr>
                <w:kern w:val="0"/>
                <w:sz w:val="18"/>
                <w:szCs w:val="18"/>
              </w:rPr>
              <w:t>2.13</w:t>
            </w:r>
          </w:p>
        </w:tc>
        <w:tc>
          <w:tcPr>
            <w:tcW w:w="1016" w:type="dxa"/>
            <w:shd w:val="clear" w:color="auto" w:fill="auto"/>
            <w:vAlign w:val="center"/>
          </w:tcPr>
          <w:p>
            <w:pPr>
              <w:widowControl/>
              <w:spacing w:line="240" w:lineRule="exact"/>
              <w:jc w:val="center"/>
              <w:rPr>
                <w:kern w:val="0"/>
                <w:sz w:val="18"/>
                <w:szCs w:val="18"/>
              </w:rPr>
            </w:pPr>
            <w:r>
              <w:rPr>
                <w:kern w:val="0"/>
                <w:sz w:val="18"/>
                <w:szCs w:val="18"/>
              </w:rPr>
              <w:t>22.54</w:t>
            </w:r>
          </w:p>
        </w:tc>
        <w:tc>
          <w:tcPr>
            <w:tcW w:w="1016" w:type="dxa"/>
            <w:shd w:val="clear" w:color="auto" w:fill="auto"/>
            <w:vAlign w:val="center"/>
          </w:tcPr>
          <w:p>
            <w:pPr>
              <w:widowControl/>
              <w:spacing w:line="240" w:lineRule="exact"/>
              <w:jc w:val="center"/>
              <w:rPr>
                <w:kern w:val="0"/>
                <w:sz w:val="18"/>
                <w:szCs w:val="18"/>
              </w:rPr>
            </w:pPr>
            <w:r>
              <w:rPr>
                <w:kern w:val="0"/>
                <w:sz w:val="18"/>
                <w:szCs w:val="18"/>
              </w:rPr>
              <w:t>0.56</w:t>
            </w:r>
          </w:p>
        </w:tc>
        <w:tc>
          <w:tcPr>
            <w:tcW w:w="1016" w:type="dxa"/>
            <w:shd w:val="clear" w:color="auto" w:fill="auto"/>
            <w:vAlign w:val="center"/>
          </w:tcPr>
          <w:p>
            <w:pPr>
              <w:widowControl/>
              <w:spacing w:line="240" w:lineRule="exact"/>
              <w:jc w:val="center"/>
              <w:rPr>
                <w:kern w:val="0"/>
                <w:sz w:val="18"/>
                <w:szCs w:val="18"/>
              </w:rPr>
            </w:pPr>
            <w:r>
              <w:rPr>
                <w:kern w:val="0"/>
                <w:sz w:val="18"/>
                <w:szCs w:val="18"/>
              </w:rPr>
              <w:t>0.42</w:t>
            </w:r>
          </w:p>
        </w:tc>
        <w:tc>
          <w:tcPr>
            <w:tcW w:w="1016" w:type="dxa"/>
            <w:shd w:val="clear" w:color="auto" w:fill="auto"/>
            <w:vAlign w:val="center"/>
          </w:tcPr>
          <w:p>
            <w:pPr>
              <w:widowControl/>
              <w:spacing w:line="240" w:lineRule="exact"/>
              <w:jc w:val="center"/>
              <w:rPr>
                <w:kern w:val="0"/>
                <w:sz w:val="18"/>
                <w:szCs w:val="18"/>
              </w:rPr>
            </w:pPr>
            <w:r>
              <w:rPr>
                <w:kern w:val="0"/>
                <w:sz w:val="18"/>
                <w:szCs w:val="18"/>
              </w:rPr>
              <w:t>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2017</w:t>
            </w:r>
          </w:p>
        </w:tc>
        <w:tc>
          <w:tcPr>
            <w:tcW w:w="1017" w:type="dxa"/>
            <w:shd w:val="clear" w:color="auto" w:fill="auto"/>
            <w:vAlign w:val="center"/>
          </w:tcPr>
          <w:p>
            <w:pPr>
              <w:widowControl/>
              <w:spacing w:line="240" w:lineRule="exact"/>
              <w:jc w:val="center"/>
              <w:rPr>
                <w:kern w:val="0"/>
                <w:sz w:val="18"/>
                <w:szCs w:val="18"/>
              </w:rPr>
            </w:pPr>
            <w:r>
              <w:rPr>
                <w:kern w:val="0"/>
                <w:sz w:val="18"/>
                <w:szCs w:val="18"/>
              </w:rPr>
              <w:t>18.79</w:t>
            </w:r>
          </w:p>
        </w:tc>
        <w:tc>
          <w:tcPr>
            <w:tcW w:w="1016" w:type="dxa"/>
            <w:shd w:val="clear" w:color="auto" w:fill="auto"/>
            <w:vAlign w:val="center"/>
          </w:tcPr>
          <w:p>
            <w:pPr>
              <w:widowControl/>
              <w:spacing w:line="240" w:lineRule="exact"/>
              <w:jc w:val="center"/>
              <w:rPr>
                <w:kern w:val="0"/>
                <w:sz w:val="18"/>
                <w:szCs w:val="18"/>
              </w:rPr>
            </w:pPr>
            <w:r>
              <w:rPr>
                <w:kern w:val="0"/>
                <w:sz w:val="18"/>
                <w:szCs w:val="18"/>
              </w:rPr>
              <w:t>1.49</w:t>
            </w:r>
          </w:p>
        </w:tc>
        <w:tc>
          <w:tcPr>
            <w:tcW w:w="1016" w:type="dxa"/>
            <w:shd w:val="clear" w:color="auto" w:fill="auto"/>
            <w:vAlign w:val="center"/>
          </w:tcPr>
          <w:p>
            <w:pPr>
              <w:widowControl/>
              <w:spacing w:line="240" w:lineRule="exact"/>
              <w:jc w:val="center"/>
              <w:rPr>
                <w:kern w:val="0"/>
                <w:sz w:val="18"/>
                <w:szCs w:val="18"/>
              </w:rPr>
            </w:pPr>
            <w:r>
              <w:rPr>
                <w:kern w:val="0"/>
                <w:sz w:val="18"/>
                <w:szCs w:val="18"/>
              </w:rPr>
              <w:t>2.29</w:t>
            </w:r>
          </w:p>
        </w:tc>
        <w:tc>
          <w:tcPr>
            <w:tcW w:w="1016" w:type="dxa"/>
            <w:shd w:val="clear" w:color="auto" w:fill="auto"/>
            <w:vAlign w:val="center"/>
          </w:tcPr>
          <w:p>
            <w:pPr>
              <w:widowControl/>
              <w:spacing w:line="240" w:lineRule="exact"/>
              <w:jc w:val="center"/>
              <w:rPr>
                <w:kern w:val="0"/>
                <w:sz w:val="18"/>
                <w:szCs w:val="18"/>
              </w:rPr>
            </w:pPr>
            <w:r>
              <w:rPr>
                <w:kern w:val="0"/>
                <w:sz w:val="18"/>
                <w:szCs w:val="18"/>
              </w:rPr>
              <w:t>22.57</w:t>
            </w:r>
          </w:p>
        </w:tc>
        <w:tc>
          <w:tcPr>
            <w:tcW w:w="1016" w:type="dxa"/>
            <w:shd w:val="clear" w:color="auto" w:fill="auto"/>
            <w:vAlign w:val="center"/>
          </w:tcPr>
          <w:p>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pPr>
              <w:widowControl/>
              <w:spacing w:line="240" w:lineRule="exact"/>
              <w:jc w:val="center"/>
              <w:rPr>
                <w:kern w:val="0"/>
                <w:sz w:val="18"/>
                <w:szCs w:val="18"/>
              </w:rPr>
            </w:pPr>
            <w:r>
              <w:rPr>
                <w:kern w:val="0"/>
                <w:sz w:val="18"/>
                <w:szCs w:val="18"/>
              </w:rPr>
              <w:t>0.41</w:t>
            </w:r>
          </w:p>
        </w:tc>
        <w:tc>
          <w:tcPr>
            <w:tcW w:w="1016" w:type="dxa"/>
            <w:shd w:val="clear" w:color="auto" w:fill="auto"/>
            <w:vAlign w:val="center"/>
          </w:tcPr>
          <w:p>
            <w:pPr>
              <w:widowControl/>
              <w:spacing w:line="240" w:lineRule="exact"/>
              <w:jc w:val="center"/>
              <w:rPr>
                <w:kern w:val="0"/>
                <w:sz w:val="18"/>
                <w:szCs w:val="18"/>
              </w:rPr>
            </w:pPr>
            <w:r>
              <w:rPr>
                <w:kern w:val="0"/>
                <w:sz w:val="18"/>
                <w:szCs w:val="18"/>
              </w:rPr>
              <w:t>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kern w:val="0"/>
                <w:sz w:val="18"/>
                <w:szCs w:val="18"/>
              </w:rPr>
              <w:t>2018</w:t>
            </w:r>
          </w:p>
        </w:tc>
        <w:tc>
          <w:tcPr>
            <w:tcW w:w="1017" w:type="dxa"/>
            <w:shd w:val="clear" w:color="auto" w:fill="auto"/>
            <w:vAlign w:val="center"/>
          </w:tcPr>
          <w:p>
            <w:pPr>
              <w:widowControl/>
              <w:spacing w:line="240" w:lineRule="exact"/>
              <w:jc w:val="center"/>
              <w:rPr>
                <w:kern w:val="0"/>
                <w:sz w:val="18"/>
                <w:szCs w:val="18"/>
              </w:rPr>
            </w:pPr>
            <w:r>
              <w:rPr>
                <w:kern w:val="0"/>
                <w:sz w:val="18"/>
                <w:szCs w:val="18"/>
              </w:rPr>
              <w:t>18.36</w:t>
            </w:r>
          </w:p>
        </w:tc>
        <w:tc>
          <w:tcPr>
            <w:tcW w:w="1016" w:type="dxa"/>
            <w:shd w:val="clear" w:color="auto" w:fill="auto"/>
            <w:vAlign w:val="center"/>
          </w:tcPr>
          <w:p>
            <w:pPr>
              <w:widowControl/>
              <w:spacing w:line="240" w:lineRule="exact"/>
              <w:jc w:val="center"/>
              <w:rPr>
                <w:kern w:val="0"/>
                <w:sz w:val="18"/>
                <w:szCs w:val="18"/>
              </w:rPr>
            </w:pPr>
            <w:r>
              <w:rPr>
                <w:kern w:val="0"/>
                <w:sz w:val="18"/>
                <w:szCs w:val="18"/>
              </w:rPr>
              <w:t>1.68</w:t>
            </w:r>
          </w:p>
        </w:tc>
        <w:tc>
          <w:tcPr>
            <w:tcW w:w="1016" w:type="dxa"/>
            <w:shd w:val="clear" w:color="auto" w:fill="auto"/>
            <w:vAlign w:val="center"/>
          </w:tcPr>
          <w:p>
            <w:pPr>
              <w:widowControl/>
              <w:spacing w:line="240" w:lineRule="exact"/>
              <w:jc w:val="center"/>
              <w:rPr>
                <w:kern w:val="0"/>
                <w:sz w:val="18"/>
                <w:szCs w:val="18"/>
              </w:rPr>
            </w:pPr>
            <w:r>
              <w:rPr>
                <w:kern w:val="0"/>
                <w:sz w:val="18"/>
                <w:szCs w:val="18"/>
              </w:rPr>
              <w:t>2.29</w:t>
            </w:r>
          </w:p>
        </w:tc>
        <w:tc>
          <w:tcPr>
            <w:tcW w:w="1016" w:type="dxa"/>
            <w:shd w:val="clear" w:color="auto" w:fill="auto"/>
            <w:vAlign w:val="center"/>
          </w:tcPr>
          <w:p>
            <w:pPr>
              <w:widowControl/>
              <w:spacing w:line="240" w:lineRule="exact"/>
              <w:jc w:val="center"/>
              <w:rPr>
                <w:kern w:val="0"/>
                <w:sz w:val="18"/>
                <w:szCs w:val="18"/>
              </w:rPr>
            </w:pPr>
            <w:r>
              <w:rPr>
                <w:kern w:val="0"/>
                <w:sz w:val="18"/>
                <w:szCs w:val="18"/>
              </w:rPr>
              <w:t>22.33</w:t>
            </w:r>
          </w:p>
        </w:tc>
        <w:tc>
          <w:tcPr>
            <w:tcW w:w="1016" w:type="dxa"/>
            <w:shd w:val="clear" w:color="auto" w:fill="auto"/>
            <w:vAlign w:val="center"/>
          </w:tcPr>
          <w:p>
            <w:pPr>
              <w:widowControl/>
              <w:spacing w:line="240" w:lineRule="exact"/>
              <w:jc w:val="center"/>
              <w:rPr>
                <w:kern w:val="0"/>
                <w:sz w:val="18"/>
                <w:szCs w:val="18"/>
              </w:rPr>
            </w:pPr>
            <w:r>
              <w:rPr>
                <w:kern w:val="0"/>
                <w:sz w:val="18"/>
                <w:szCs w:val="18"/>
              </w:rPr>
              <w:t>0.55</w:t>
            </w:r>
          </w:p>
        </w:tc>
        <w:tc>
          <w:tcPr>
            <w:tcW w:w="1016" w:type="dxa"/>
            <w:shd w:val="clear" w:color="auto" w:fill="auto"/>
            <w:vAlign w:val="center"/>
          </w:tcPr>
          <w:p>
            <w:pPr>
              <w:widowControl/>
              <w:spacing w:line="240" w:lineRule="exact"/>
              <w:jc w:val="center"/>
              <w:rPr>
                <w:kern w:val="0"/>
                <w:sz w:val="18"/>
                <w:szCs w:val="18"/>
              </w:rPr>
            </w:pPr>
            <w:r>
              <w:rPr>
                <w:kern w:val="0"/>
                <w:sz w:val="18"/>
                <w:szCs w:val="18"/>
              </w:rPr>
              <w:t>0.19</w:t>
            </w:r>
          </w:p>
        </w:tc>
        <w:tc>
          <w:tcPr>
            <w:tcW w:w="1016" w:type="dxa"/>
            <w:shd w:val="clear" w:color="auto" w:fill="auto"/>
            <w:vAlign w:val="center"/>
          </w:tcPr>
          <w:p>
            <w:pPr>
              <w:widowControl/>
              <w:spacing w:line="240" w:lineRule="exact"/>
              <w:jc w:val="center"/>
              <w:rPr>
                <w:kern w:val="0"/>
                <w:sz w:val="18"/>
                <w:szCs w:val="18"/>
              </w:rPr>
            </w:pPr>
            <w:r>
              <w:rPr>
                <w:kern w:val="0"/>
                <w:sz w:val="18"/>
                <w:szCs w:val="18"/>
              </w:rPr>
              <w:t>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rFonts w:hint="eastAsia"/>
                <w:sz w:val="18"/>
                <w:szCs w:val="18"/>
              </w:rPr>
              <w:t>2019</w:t>
            </w:r>
          </w:p>
        </w:tc>
        <w:tc>
          <w:tcPr>
            <w:tcW w:w="1017" w:type="dxa"/>
            <w:shd w:val="clear" w:color="auto" w:fill="auto"/>
            <w:vAlign w:val="center"/>
          </w:tcPr>
          <w:p>
            <w:pPr>
              <w:widowControl/>
              <w:spacing w:line="240" w:lineRule="exact"/>
              <w:jc w:val="center"/>
              <w:rPr>
                <w:kern w:val="0"/>
                <w:sz w:val="18"/>
                <w:szCs w:val="18"/>
              </w:rPr>
            </w:pPr>
            <w:r>
              <w:rPr>
                <w:rFonts w:hint="eastAsia"/>
                <w:sz w:val="18"/>
                <w:szCs w:val="18"/>
              </w:rPr>
              <w:t>18.80</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1.05</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2.38</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22.23</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0.52</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0.37</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7" w:type="dxa"/>
            <w:shd w:val="clear" w:color="auto" w:fill="auto"/>
            <w:vAlign w:val="center"/>
          </w:tcPr>
          <w:p>
            <w:pPr>
              <w:widowControl/>
              <w:spacing w:line="240" w:lineRule="exact"/>
              <w:jc w:val="center"/>
              <w:rPr>
                <w:kern w:val="0"/>
                <w:sz w:val="18"/>
                <w:szCs w:val="18"/>
              </w:rPr>
            </w:pPr>
            <w:r>
              <w:rPr>
                <w:rFonts w:hint="eastAsia"/>
                <w:sz w:val="18"/>
                <w:szCs w:val="18"/>
              </w:rPr>
              <w:t>20</w:t>
            </w:r>
            <w:r>
              <w:rPr>
                <w:sz w:val="18"/>
                <w:szCs w:val="18"/>
              </w:rPr>
              <w:t>20</w:t>
            </w:r>
          </w:p>
        </w:tc>
        <w:tc>
          <w:tcPr>
            <w:tcW w:w="1017" w:type="dxa"/>
            <w:shd w:val="clear" w:color="auto" w:fill="auto"/>
            <w:vAlign w:val="center"/>
          </w:tcPr>
          <w:p>
            <w:pPr>
              <w:widowControl/>
              <w:spacing w:line="240" w:lineRule="exact"/>
              <w:jc w:val="center"/>
              <w:rPr>
                <w:kern w:val="0"/>
                <w:sz w:val="18"/>
                <w:szCs w:val="18"/>
              </w:rPr>
            </w:pPr>
            <w:r>
              <w:rPr>
                <w:rFonts w:hint="eastAsia"/>
                <w:sz w:val="18"/>
                <w:szCs w:val="18"/>
              </w:rPr>
              <w:t>18.15</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1.48</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2.12</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21.75</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0.08</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0.44</w:t>
            </w:r>
          </w:p>
        </w:tc>
        <w:tc>
          <w:tcPr>
            <w:tcW w:w="1016" w:type="dxa"/>
            <w:shd w:val="clear" w:color="auto" w:fill="auto"/>
            <w:vAlign w:val="center"/>
          </w:tcPr>
          <w:p>
            <w:pPr>
              <w:widowControl/>
              <w:spacing w:line="240" w:lineRule="exact"/>
              <w:jc w:val="center"/>
              <w:rPr>
                <w:kern w:val="0"/>
                <w:sz w:val="18"/>
                <w:szCs w:val="18"/>
              </w:rPr>
            </w:pPr>
            <w:r>
              <w:rPr>
                <w:rFonts w:hint="eastAsia"/>
                <w:sz w:val="18"/>
                <w:szCs w:val="18"/>
              </w:rPr>
              <w:t>22.26</w:t>
            </w:r>
          </w:p>
        </w:tc>
      </w:tr>
    </w:tbl>
    <w:p>
      <w:pPr>
        <w:pStyle w:val="4"/>
        <w:spacing w:before="156" w:beforeLines="50" w:after="156" w:afterLines="50" w:line="360" w:lineRule="auto"/>
        <w:rPr>
          <w:sz w:val="28"/>
        </w:rPr>
      </w:pPr>
      <w:bookmarkStart w:id="218" w:name="_Toc382472206"/>
      <w:bookmarkStart w:id="219" w:name="_Toc432782534"/>
      <w:bookmarkStart w:id="220" w:name="_Toc95382469"/>
      <w:r>
        <w:rPr>
          <w:rFonts w:hint="eastAsia"/>
          <w:sz w:val="28"/>
        </w:rPr>
        <w:t>三</w:t>
      </w:r>
      <w:r>
        <w:rPr>
          <w:sz w:val="28"/>
        </w:rPr>
        <w:t>、用水量及其构成</w:t>
      </w:r>
      <w:bookmarkEnd w:id="218"/>
      <w:bookmarkEnd w:id="219"/>
      <w:bookmarkEnd w:id="220"/>
    </w:p>
    <w:p>
      <w:pPr>
        <w:spacing w:line="360" w:lineRule="auto"/>
        <w:ind w:firstLine="482" w:firstLineChars="200"/>
        <w:rPr>
          <w:b/>
          <w:sz w:val="24"/>
        </w:rPr>
      </w:pPr>
      <w:bookmarkStart w:id="221" w:name="_Toc316564277"/>
      <w:bookmarkStart w:id="222" w:name="_Toc307210233"/>
      <w:r>
        <w:rPr>
          <w:b/>
          <w:sz w:val="24"/>
        </w:rPr>
        <w:t>（一）用水</w:t>
      </w:r>
      <w:bookmarkEnd w:id="221"/>
      <w:bookmarkEnd w:id="222"/>
      <w:r>
        <w:rPr>
          <w:b/>
          <w:sz w:val="24"/>
        </w:rPr>
        <w:t>构成</w:t>
      </w:r>
    </w:p>
    <w:p>
      <w:pPr>
        <w:spacing w:line="360" w:lineRule="auto"/>
        <w:ind w:firstLine="480" w:firstLineChars="200"/>
        <w:rPr>
          <w:sz w:val="24"/>
        </w:rPr>
      </w:pPr>
      <w:r>
        <w:rPr>
          <w:sz w:val="24"/>
        </w:rPr>
        <w:t>2020年六安市用水总量为22.26亿m</w:t>
      </w:r>
      <w:r>
        <w:rPr>
          <w:sz w:val="24"/>
          <w:vertAlign w:val="superscript"/>
        </w:rPr>
        <w:t>3</w:t>
      </w:r>
      <w:r>
        <w:rPr>
          <w:sz w:val="24"/>
        </w:rPr>
        <w:t>，其中农业用水量为17.23亿m</w:t>
      </w:r>
      <w:r>
        <w:rPr>
          <w:sz w:val="24"/>
          <w:vertAlign w:val="superscript"/>
        </w:rPr>
        <w:t>3</w:t>
      </w:r>
      <w:r>
        <w:rPr>
          <w:sz w:val="24"/>
        </w:rPr>
        <w:t>，占全市用水总量的77.4%，是第一用水大户；工业用水量为1.94亿m</w:t>
      </w:r>
      <w:r>
        <w:rPr>
          <w:sz w:val="24"/>
          <w:vertAlign w:val="superscript"/>
        </w:rPr>
        <w:t>3</w:t>
      </w:r>
      <w:r>
        <w:rPr>
          <w:sz w:val="24"/>
        </w:rPr>
        <w:t>，占全市用水总量的8.7%；生活用水量为2.40亿m</w:t>
      </w:r>
      <w:r>
        <w:rPr>
          <w:sz w:val="24"/>
          <w:vertAlign w:val="superscript"/>
        </w:rPr>
        <w:t>3</w:t>
      </w:r>
      <w:r>
        <w:rPr>
          <w:sz w:val="24"/>
        </w:rPr>
        <w:t>，占全市用水总量的10.8%；生态环境用水量为0.69亿m</w:t>
      </w:r>
      <w:r>
        <w:rPr>
          <w:sz w:val="24"/>
          <w:vertAlign w:val="superscript"/>
        </w:rPr>
        <w:t>3</w:t>
      </w:r>
      <w:r>
        <w:rPr>
          <w:sz w:val="24"/>
        </w:rPr>
        <w:t>，占全市用水总量的3.1%。</w:t>
      </w:r>
    </w:p>
    <w:p>
      <w:pPr>
        <w:spacing w:line="360" w:lineRule="auto"/>
        <w:ind w:firstLine="480" w:firstLineChars="200"/>
        <w:rPr>
          <w:sz w:val="24"/>
        </w:rPr>
      </w:pPr>
      <w:r>
        <w:rPr>
          <w:sz w:val="24"/>
        </w:rPr>
        <w:t>农业用水由农田灌溉和林牧渔畜两部分用水组成，其中农田灌溉用水16.77亿m</w:t>
      </w:r>
      <w:r>
        <w:rPr>
          <w:sz w:val="24"/>
          <w:vertAlign w:val="superscript"/>
        </w:rPr>
        <w:t>3</w:t>
      </w:r>
      <w:r>
        <w:rPr>
          <w:sz w:val="24"/>
        </w:rPr>
        <w:t>，占97.3%，林牧渔畜用水0.47亿m</w:t>
      </w:r>
      <w:r>
        <w:rPr>
          <w:sz w:val="24"/>
          <w:vertAlign w:val="superscript"/>
        </w:rPr>
        <w:t>3</w:t>
      </w:r>
      <w:r>
        <w:rPr>
          <w:sz w:val="24"/>
        </w:rPr>
        <w:t>，占2.7%。</w:t>
      </w:r>
    </w:p>
    <w:p>
      <w:pPr>
        <w:spacing w:line="360" w:lineRule="auto"/>
        <w:ind w:firstLine="480" w:firstLineChars="200"/>
        <w:rPr>
          <w:sz w:val="24"/>
        </w:rPr>
      </w:pPr>
      <w:r>
        <w:rPr>
          <w:sz w:val="24"/>
        </w:rPr>
        <w:t>工业用水量为1.94亿m</w:t>
      </w:r>
      <w:r>
        <w:rPr>
          <w:sz w:val="24"/>
          <w:vertAlign w:val="superscript"/>
        </w:rPr>
        <w:t>3</w:t>
      </w:r>
      <w:r>
        <w:rPr>
          <w:sz w:val="24"/>
        </w:rPr>
        <w:t>，包括火电和一般工业。火电工业用水量为0.13亿m</w:t>
      </w:r>
      <w:r>
        <w:rPr>
          <w:sz w:val="24"/>
          <w:vertAlign w:val="superscript"/>
        </w:rPr>
        <w:t>3</w:t>
      </w:r>
      <w:r>
        <w:rPr>
          <w:sz w:val="24"/>
        </w:rPr>
        <w:t>，占6.6%，一般工业用水量为1.81亿m</w:t>
      </w:r>
      <w:r>
        <w:rPr>
          <w:sz w:val="24"/>
          <w:vertAlign w:val="superscript"/>
        </w:rPr>
        <w:t>3</w:t>
      </w:r>
      <w:r>
        <w:rPr>
          <w:sz w:val="24"/>
        </w:rPr>
        <w:t>，占93.4%。</w:t>
      </w:r>
    </w:p>
    <w:p>
      <w:pPr>
        <w:spacing w:line="360" w:lineRule="auto"/>
        <w:ind w:firstLine="480" w:firstLineChars="200"/>
        <w:rPr>
          <w:sz w:val="24"/>
        </w:rPr>
      </w:pPr>
      <w:r>
        <w:rPr>
          <w:sz w:val="24"/>
        </w:rPr>
        <w:t>生活用水量为2.40亿m</w:t>
      </w:r>
      <w:r>
        <w:rPr>
          <w:sz w:val="24"/>
          <w:vertAlign w:val="superscript"/>
        </w:rPr>
        <w:t>3</w:t>
      </w:r>
      <w:r>
        <w:rPr>
          <w:sz w:val="24"/>
        </w:rPr>
        <w:t>，包括居民生活用水和城镇公共用水两部分。居民生活用水量为1.93亿m</w:t>
      </w:r>
      <w:r>
        <w:rPr>
          <w:sz w:val="24"/>
          <w:vertAlign w:val="superscript"/>
        </w:rPr>
        <w:t>3</w:t>
      </w:r>
      <w:r>
        <w:rPr>
          <w:sz w:val="24"/>
        </w:rPr>
        <w:t>，其中城镇居民生活用水量1.04亿m</w:t>
      </w:r>
      <w:r>
        <w:rPr>
          <w:sz w:val="24"/>
          <w:vertAlign w:val="superscript"/>
        </w:rPr>
        <w:t>3</w:t>
      </w:r>
      <w:r>
        <w:rPr>
          <w:sz w:val="24"/>
        </w:rPr>
        <w:t>，占54.0%；农村居民生活用水量0.89亿m</w:t>
      </w:r>
      <w:r>
        <w:rPr>
          <w:sz w:val="24"/>
          <w:vertAlign w:val="superscript"/>
        </w:rPr>
        <w:t>3</w:t>
      </w:r>
      <w:r>
        <w:rPr>
          <w:sz w:val="24"/>
        </w:rPr>
        <w:t>，占46.0%；城镇公共用水量0.47亿m</w:t>
      </w:r>
      <w:r>
        <w:rPr>
          <w:sz w:val="24"/>
          <w:vertAlign w:val="superscript"/>
        </w:rPr>
        <w:t>3</w:t>
      </w:r>
      <w:r>
        <w:rPr>
          <w:sz w:val="24"/>
        </w:rPr>
        <w:t>，其中建筑业用水量0.07亿m</w:t>
      </w:r>
      <w:r>
        <w:rPr>
          <w:sz w:val="24"/>
          <w:vertAlign w:val="superscript"/>
        </w:rPr>
        <w:t>3</w:t>
      </w:r>
      <w:r>
        <w:rPr>
          <w:sz w:val="24"/>
        </w:rPr>
        <w:t>，占15.8%，服务业用水量为0.40亿m</w:t>
      </w:r>
      <w:r>
        <w:rPr>
          <w:sz w:val="24"/>
          <w:vertAlign w:val="superscript"/>
        </w:rPr>
        <w:t>3</w:t>
      </w:r>
      <w:r>
        <w:rPr>
          <w:sz w:val="24"/>
        </w:rPr>
        <w:t>，占84.2%。</w:t>
      </w:r>
    </w:p>
    <w:p>
      <w:pPr>
        <w:spacing w:line="360" w:lineRule="auto"/>
        <w:ind w:firstLine="480" w:firstLineChars="200"/>
        <w:rPr>
          <w:sz w:val="24"/>
        </w:rPr>
      </w:pPr>
      <w:r>
        <w:rPr>
          <w:sz w:val="24"/>
        </w:rPr>
        <w:t>2020年六安市用水构成见图3.2.2。</w:t>
      </w:r>
    </w:p>
    <w:p>
      <w:pPr>
        <w:spacing w:line="360" w:lineRule="auto"/>
        <w:ind w:firstLine="482" w:firstLineChars="200"/>
        <w:rPr>
          <w:b/>
          <w:sz w:val="24"/>
        </w:rPr>
      </w:pPr>
      <w:bookmarkStart w:id="223" w:name="_Toc316564278"/>
      <w:r>
        <w:rPr>
          <w:b/>
          <w:sz w:val="24"/>
        </w:rPr>
        <w:t>（二）用水</w:t>
      </w:r>
      <w:bookmarkEnd w:id="223"/>
      <w:r>
        <w:rPr>
          <w:b/>
          <w:sz w:val="24"/>
        </w:rPr>
        <w:t>分布</w:t>
      </w:r>
    </w:p>
    <w:p>
      <w:pPr>
        <w:spacing w:line="360" w:lineRule="auto"/>
        <w:ind w:firstLine="480" w:firstLineChars="200"/>
        <w:rPr>
          <w:sz w:val="24"/>
        </w:rPr>
      </w:pPr>
      <w:r>
        <w:rPr>
          <w:sz w:val="24"/>
        </w:rPr>
        <w:t>2020年六安市总用水量22.26亿m</w:t>
      </w:r>
      <w:r>
        <w:rPr>
          <w:sz w:val="24"/>
          <w:vertAlign w:val="superscript"/>
        </w:rPr>
        <w:t>3</w:t>
      </w:r>
      <w:r>
        <w:rPr>
          <w:sz w:val="24"/>
        </w:rPr>
        <w:t>，其中淮河、长江流域分别为17.27亿m</w:t>
      </w:r>
      <w:r>
        <w:rPr>
          <w:sz w:val="24"/>
          <w:vertAlign w:val="superscript"/>
        </w:rPr>
        <w:t>3</w:t>
      </w:r>
      <w:r>
        <w:rPr>
          <w:sz w:val="24"/>
        </w:rPr>
        <w:t>和4.99亿m</w:t>
      </w:r>
      <w:r>
        <w:rPr>
          <w:sz w:val="24"/>
          <w:vertAlign w:val="superscript"/>
        </w:rPr>
        <w:t>3</w:t>
      </w:r>
      <w:r>
        <w:rPr>
          <w:sz w:val="24"/>
        </w:rPr>
        <w:t>，分别占全市总供水量的77.6%和22.4%。</w:t>
      </w:r>
    </w:p>
    <w:p>
      <w:pPr>
        <w:spacing w:line="360" w:lineRule="auto"/>
        <w:ind w:firstLine="480" w:firstLineChars="200"/>
        <w:rPr>
          <w:color w:val="FF0000"/>
          <w:sz w:val="24"/>
        </w:rPr>
      </w:pPr>
      <w:r>
        <w:rPr>
          <w:sz w:val="24"/>
        </w:rPr>
        <w:t>2020年六安市</w:t>
      </w:r>
      <w:r>
        <w:rPr>
          <w:rFonts w:hint="eastAsia"/>
          <w:sz w:val="24"/>
        </w:rPr>
        <w:t>用水构成见图3</w:t>
      </w:r>
      <w:r>
        <w:rPr>
          <w:sz w:val="24"/>
        </w:rPr>
        <w:t>.2</w:t>
      </w:r>
      <w:r>
        <w:rPr>
          <w:rFonts w:hint="eastAsia"/>
          <w:sz w:val="24"/>
        </w:rPr>
        <w:t>.</w:t>
      </w:r>
      <w:r>
        <w:rPr>
          <w:sz w:val="24"/>
        </w:rPr>
        <w:t>2</w:t>
      </w:r>
      <w:r>
        <w:rPr>
          <w:rFonts w:hint="eastAsia"/>
          <w:sz w:val="24"/>
        </w:rPr>
        <w:t>；</w:t>
      </w:r>
      <w:r>
        <w:rPr>
          <w:sz w:val="24"/>
        </w:rPr>
        <w:t>行政分区用水量分布见图3.2.3。2020年六安市行政分区和流域分区用水调查统计见表3.2.6和表3.2.7。</w:t>
      </w:r>
    </w:p>
    <w:p>
      <w:pPr>
        <w:spacing w:line="360" w:lineRule="auto"/>
        <w:ind w:firstLine="480" w:firstLineChars="200"/>
        <w:rPr>
          <w:sz w:val="24"/>
        </w:rPr>
      </w:pPr>
    </w:p>
    <w:p>
      <w:pPr>
        <w:spacing w:line="360" w:lineRule="auto"/>
        <w:jc w:val="center"/>
        <w:rPr>
          <w:color w:val="FF0000"/>
          <w:sz w:val="24"/>
        </w:rPr>
      </w:pPr>
    </w:p>
    <w:p>
      <w:pPr>
        <w:spacing w:line="360" w:lineRule="auto"/>
        <w:jc w:val="center"/>
        <w:rPr>
          <w:color w:val="FF0000"/>
          <w:sz w:val="24"/>
        </w:rPr>
      </w:pPr>
      <w:r>
        <w:drawing>
          <wp:inline distT="0" distB="0" distL="0" distR="0">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jc w:val="center"/>
        <w:rPr>
          <w:b/>
          <w:sz w:val="24"/>
        </w:rPr>
      </w:pPr>
      <w:bookmarkStart w:id="224" w:name="_Toc307210234"/>
      <w:r>
        <w:rPr>
          <w:b/>
          <w:sz w:val="24"/>
        </w:rPr>
        <w:t>图3.2.2  2020年六安市用水构成图</w:t>
      </w:r>
    </w:p>
    <w:bookmarkEnd w:id="224"/>
    <w:p>
      <w:pPr>
        <w:spacing w:line="360" w:lineRule="auto"/>
        <w:jc w:val="center"/>
        <w:rPr>
          <w:color w:val="FF0000"/>
          <w:sz w:val="24"/>
        </w:rPr>
      </w:pPr>
      <w: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jc w:val="center"/>
        <w:rPr>
          <w:b/>
          <w:sz w:val="24"/>
        </w:rPr>
      </w:pPr>
      <w:r>
        <w:rPr>
          <w:b/>
          <w:sz w:val="24"/>
        </w:rPr>
        <w:t>图3.2.3  2020年六安市用水量行政分区分布图</w:t>
      </w:r>
    </w:p>
    <w:p>
      <w:pPr>
        <w:wordWrap w:val="0"/>
        <w:spacing w:before="156" w:beforeLines="50" w:line="360" w:lineRule="auto"/>
        <w:ind w:right="196" w:rightChars="98" w:firstLine="482" w:firstLineChars="200"/>
        <w:jc w:val="right"/>
        <w:rPr>
          <w:sz w:val="18"/>
          <w:szCs w:val="18"/>
          <w:vertAlign w:val="superscript"/>
        </w:rPr>
      </w:pPr>
      <w:r>
        <w:rPr>
          <w:b/>
          <w:sz w:val="24"/>
        </w:rPr>
        <w:t xml:space="preserve">表3.2.6  2020年六安市行政分区用水量调查统计   </w:t>
      </w:r>
      <w:r>
        <w:rPr>
          <w:sz w:val="24"/>
        </w:rPr>
        <w:t xml:space="preserve"> </w:t>
      </w:r>
      <w:r>
        <w:rPr>
          <w:sz w:val="18"/>
          <w:szCs w:val="18"/>
        </w:rPr>
        <w:t xml:space="preserve"> 单位：亿m</w:t>
      </w:r>
      <w:r>
        <w:rPr>
          <w:sz w:val="18"/>
          <w:szCs w:val="18"/>
          <w:vertAlign w:val="superscript"/>
        </w:rPr>
        <w:t>3</w:t>
      </w:r>
    </w:p>
    <w:tbl>
      <w:tblPr>
        <w:tblStyle w:val="36"/>
        <w:tblW w:w="8130" w:type="dxa"/>
        <w:jc w:val="center"/>
        <w:tblLayout w:type="fixed"/>
        <w:tblCellMar>
          <w:top w:w="0" w:type="dxa"/>
          <w:left w:w="108" w:type="dxa"/>
          <w:bottom w:w="0" w:type="dxa"/>
          <w:right w:w="108" w:type="dxa"/>
        </w:tblCellMar>
      </w:tblPr>
      <w:tblGrid>
        <w:gridCol w:w="1355"/>
        <w:gridCol w:w="1355"/>
        <w:gridCol w:w="1355"/>
        <w:gridCol w:w="1355"/>
        <w:gridCol w:w="1355"/>
        <w:gridCol w:w="1355"/>
      </w:tblGrid>
      <w:tr>
        <w:tblPrEx>
          <w:tblCellMar>
            <w:top w:w="0" w:type="dxa"/>
            <w:left w:w="108" w:type="dxa"/>
            <w:bottom w:w="0" w:type="dxa"/>
            <w:right w:w="108" w:type="dxa"/>
          </w:tblCellMar>
        </w:tblPrEx>
        <w:trPr>
          <w:trHeight w:val="340" w:hRule="atLeast"/>
          <w:jc w:val="center"/>
        </w:trPr>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行政分区</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农业</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工业</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生活</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生态</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合计</w:t>
            </w:r>
          </w:p>
        </w:tc>
      </w:tr>
      <w:tr>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金安区</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3.16 </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0.59 </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0.49 </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0.23 </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4.48 </w:t>
            </w:r>
          </w:p>
        </w:tc>
      </w:tr>
      <w:tr>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裕安区</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2.22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0.22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0.57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0.21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3.22 </w:t>
            </w:r>
          </w:p>
        </w:tc>
      </w:tr>
      <w:tr>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叶集区</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0.83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0.10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0.12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0.02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1.07 </w:t>
            </w:r>
          </w:p>
        </w:tc>
      </w:tr>
      <w:tr>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霍邱县</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6.54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0.20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0.42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0.02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7.18 </w:t>
            </w:r>
          </w:p>
        </w:tc>
      </w:tr>
      <w:tr>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舒城县</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2.72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0.37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0.36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0.10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3.55 </w:t>
            </w:r>
          </w:p>
        </w:tc>
      </w:tr>
      <w:tr>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金寨县</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0.98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0.17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0.28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0.07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1.50 </w:t>
            </w:r>
          </w:p>
        </w:tc>
      </w:tr>
      <w:tr>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霍山县</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0.78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0.29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0.16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0.04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1.27 </w:t>
            </w:r>
          </w:p>
        </w:tc>
      </w:tr>
      <w:tr>
        <w:tblPrEx>
          <w:tblCellMar>
            <w:top w:w="0" w:type="dxa"/>
            <w:left w:w="108" w:type="dxa"/>
            <w:bottom w:w="0" w:type="dxa"/>
            <w:right w:w="108" w:type="dxa"/>
          </w:tblCellMar>
        </w:tblPrEx>
        <w:trPr>
          <w:trHeight w:val="340" w:hRule="atLeast"/>
          <w:jc w:val="center"/>
        </w:trPr>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全  市</w:t>
            </w:r>
          </w:p>
        </w:tc>
        <w:tc>
          <w:tcPr>
            <w:tcW w:w="13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17.23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1.94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2.40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0.69 </w:t>
            </w:r>
          </w:p>
        </w:tc>
        <w:tc>
          <w:tcPr>
            <w:tcW w:w="135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22.26 </w:t>
            </w:r>
          </w:p>
        </w:tc>
      </w:tr>
    </w:tbl>
    <w:p>
      <w:pPr>
        <w:spacing w:before="156" w:beforeLines="50" w:line="360" w:lineRule="auto"/>
        <w:ind w:right="196" w:rightChars="98" w:firstLine="482" w:firstLineChars="200"/>
        <w:jc w:val="right"/>
        <w:rPr>
          <w:sz w:val="18"/>
          <w:szCs w:val="18"/>
          <w:vertAlign w:val="superscript"/>
        </w:rPr>
      </w:pPr>
      <w:r>
        <w:rPr>
          <w:b/>
          <w:sz w:val="24"/>
        </w:rPr>
        <w:t xml:space="preserve">表3.2.7  2020年六安市流域分区用水量调查统计    </w:t>
      </w:r>
      <w:r>
        <w:rPr>
          <w:sz w:val="24"/>
        </w:rPr>
        <w:t xml:space="preserve">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162"/>
        <w:gridCol w:w="1162"/>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shd w:val="clear" w:color="auto" w:fill="auto"/>
            <w:vAlign w:val="center"/>
          </w:tcPr>
          <w:p>
            <w:pPr>
              <w:widowControl/>
              <w:spacing w:line="240" w:lineRule="exact"/>
              <w:jc w:val="center"/>
              <w:rPr>
                <w:kern w:val="0"/>
                <w:sz w:val="18"/>
                <w:szCs w:val="18"/>
              </w:rPr>
            </w:pPr>
            <w:r>
              <w:rPr>
                <w:kern w:val="0"/>
                <w:sz w:val="18"/>
                <w:szCs w:val="18"/>
              </w:rPr>
              <w:t>一级区</w:t>
            </w:r>
          </w:p>
        </w:tc>
        <w:tc>
          <w:tcPr>
            <w:tcW w:w="1162" w:type="dxa"/>
            <w:shd w:val="clear" w:color="auto" w:fill="auto"/>
            <w:vAlign w:val="center"/>
          </w:tcPr>
          <w:p>
            <w:pPr>
              <w:widowControl/>
              <w:spacing w:line="240" w:lineRule="exact"/>
              <w:jc w:val="center"/>
              <w:rPr>
                <w:kern w:val="0"/>
                <w:sz w:val="18"/>
                <w:szCs w:val="18"/>
              </w:rPr>
            </w:pPr>
            <w:r>
              <w:rPr>
                <w:kern w:val="0"/>
                <w:sz w:val="18"/>
                <w:szCs w:val="18"/>
              </w:rPr>
              <w:t>四级区</w:t>
            </w:r>
          </w:p>
        </w:tc>
        <w:tc>
          <w:tcPr>
            <w:tcW w:w="1162"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农业</w:t>
            </w:r>
          </w:p>
        </w:tc>
        <w:tc>
          <w:tcPr>
            <w:tcW w:w="1161"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工业</w:t>
            </w:r>
          </w:p>
        </w:tc>
        <w:tc>
          <w:tcPr>
            <w:tcW w:w="1161" w:type="dxa"/>
            <w:shd w:val="clear" w:color="auto" w:fill="auto"/>
            <w:vAlign w:val="center"/>
          </w:tcPr>
          <w:p>
            <w:pPr>
              <w:widowControl/>
              <w:spacing w:line="240" w:lineRule="exact"/>
              <w:jc w:val="center"/>
              <w:rPr>
                <w:color w:val="000000"/>
                <w:kern w:val="0"/>
                <w:sz w:val="18"/>
                <w:szCs w:val="18"/>
              </w:rPr>
            </w:pPr>
            <w:r>
              <w:rPr>
                <w:color w:val="000000"/>
                <w:kern w:val="0"/>
                <w:sz w:val="18"/>
                <w:szCs w:val="18"/>
              </w:rPr>
              <w:t>生活</w:t>
            </w:r>
          </w:p>
        </w:tc>
        <w:tc>
          <w:tcPr>
            <w:tcW w:w="1161" w:type="dxa"/>
            <w:shd w:val="clear" w:color="auto" w:fill="auto"/>
            <w:vAlign w:val="center"/>
          </w:tcPr>
          <w:p>
            <w:pPr>
              <w:widowControl/>
              <w:spacing w:line="240" w:lineRule="exact"/>
              <w:jc w:val="center"/>
              <w:rPr>
                <w:color w:val="000000"/>
                <w:kern w:val="0"/>
                <w:sz w:val="18"/>
                <w:szCs w:val="18"/>
              </w:rPr>
            </w:pPr>
            <w:r>
              <w:rPr>
                <w:color w:val="000000"/>
                <w:kern w:val="0"/>
                <w:sz w:val="18"/>
                <w:szCs w:val="18"/>
              </w:rPr>
              <w:t>生态</w:t>
            </w:r>
          </w:p>
        </w:tc>
        <w:tc>
          <w:tcPr>
            <w:tcW w:w="1161"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restart"/>
            <w:shd w:val="clear" w:color="auto" w:fill="auto"/>
            <w:vAlign w:val="center"/>
          </w:tcPr>
          <w:p>
            <w:pPr>
              <w:widowControl/>
              <w:spacing w:line="240" w:lineRule="exact"/>
              <w:jc w:val="center"/>
              <w:rPr>
                <w:kern w:val="0"/>
                <w:sz w:val="18"/>
                <w:szCs w:val="18"/>
              </w:rPr>
            </w:pPr>
            <w:r>
              <w:rPr>
                <w:kern w:val="0"/>
                <w:sz w:val="18"/>
                <w:szCs w:val="18"/>
              </w:rPr>
              <w:t>淮河</w:t>
            </w:r>
          </w:p>
        </w:tc>
        <w:tc>
          <w:tcPr>
            <w:tcW w:w="1162" w:type="dxa"/>
            <w:shd w:val="clear" w:color="auto" w:fill="auto"/>
            <w:vAlign w:val="center"/>
          </w:tcPr>
          <w:p>
            <w:pPr>
              <w:widowControl/>
              <w:spacing w:line="240" w:lineRule="exact"/>
              <w:jc w:val="center"/>
              <w:rPr>
                <w:kern w:val="0"/>
                <w:sz w:val="18"/>
                <w:szCs w:val="18"/>
              </w:rPr>
            </w:pPr>
            <w:r>
              <w:rPr>
                <w:kern w:val="0"/>
                <w:sz w:val="18"/>
                <w:szCs w:val="18"/>
              </w:rPr>
              <w:t>淠史河上游区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2.01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0.37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0.43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widowControl/>
              <w:spacing w:line="240" w:lineRule="exact"/>
              <w:jc w:val="left"/>
              <w:rPr>
                <w:kern w:val="0"/>
                <w:sz w:val="18"/>
                <w:szCs w:val="18"/>
              </w:rPr>
            </w:pPr>
          </w:p>
        </w:tc>
        <w:tc>
          <w:tcPr>
            <w:tcW w:w="1162" w:type="dxa"/>
            <w:shd w:val="clear" w:color="auto" w:fill="auto"/>
            <w:vAlign w:val="center"/>
          </w:tcPr>
          <w:p>
            <w:pPr>
              <w:widowControl/>
              <w:spacing w:line="240" w:lineRule="exact"/>
              <w:jc w:val="center"/>
              <w:rPr>
                <w:kern w:val="0"/>
                <w:sz w:val="18"/>
                <w:szCs w:val="18"/>
              </w:rPr>
            </w:pPr>
            <w:r>
              <w:rPr>
                <w:kern w:val="0"/>
                <w:sz w:val="18"/>
                <w:szCs w:val="18"/>
              </w:rPr>
              <w:t>王蚌南岸沿淮区</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11.28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1.48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0.55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vMerge w:val="continue"/>
            <w:vAlign w:val="center"/>
          </w:tcPr>
          <w:p>
            <w:pPr>
              <w:widowControl/>
              <w:spacing w:line="240" w:lineRule="exact"/>
              <w:jc w:val="left"/>
              <w:rPr>
                <w:kern w:val="0"/>
                <w:sz w:val="18"/>
                <w:szCs w:val="18"/>
              </w:rPr>
            </w:pPr>
          </w:p>
        </w:tc>
        <w:tc>
          <w:tcPr>
            <w:tcW w:w="1162" w:type="dxa"/>
            <w:shd w:val="clear" w:color="auto" w:fill="auto"/>
            <w:vAlign w:val="center"/>
          </w:tcPr>
          <w:p>
            <w:pPr>
              <w:widowControl/>
              <w:spacing w:line="240" w:lineRule="exact"/>
              <w:jc w:val="center"/>
              <w:rPr>
                <w:kern w:val="0"/>
                <w:sz w:val="18"/>
                <w:szCs w:val="18"/>
              </w:rPr>
            </w:pPr>
            <w:r>
              <w:rPr>
                <w:kern w:val="0"/>
                <w:sz w:val="18"/>
                <w:szCs w:val="18"/>
              </w:rPr>
              <w:t>小计</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13.29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1.48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1.90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0.59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2" w:type="dxa"/>
            <w:shd w:val="clear" w:color="auto" w:fill="auto"/>
            <w:vAlign w:val="center"/>
          </w:tcPr>
          <w:p>
            <w:pPr>
              <w:widowControl/>
              <w:spacing w:line="240" w:lineRule="exact"/>
              <w:jc w:val="center"/>
              <w:rPr>
                <w:kern w:val="0"/>
                <w:sz w:val="18"/>
                <w:szCs w:val="18"/>
              </w:rPr>
            </w:pPr>
            <w:r>
              <w:rPr>
                <w:kern w:val="0"/>
                <w:sz w:val="18"/>
                <w:szCs w:val="18"/>
              </w:rPr>
              <w:t>长江</w:t>
            </w:r>
          </w:p>
        </w:tc>
        <w:tc>
          <w:tcPr>
            <w:tcW w:w="1162" w:type="dxa"/>
            <w:shd w:val="clear" w:color="auto" w:fill="auto"/>
            <w:vAlign w:val="center"/>
          </w:tcPr>
          <w:p>
            <w:pPr>
              <w:widowControl/>
              <w:spacing w:line="240" w:lineRule="exact"/>
              <w:jc w:val="center"/>
              <w:rPr>
                <w:kern w:val="0"/>
                <w:sz w:val="18"/>
                <w:szCs w:val="18"/>
              </w:rPr>
            </w:pPr>
            <w:r>
              <w:rPr>
                <w:kern w:val="0"/>
                <w:sz w:val="18"/>
                <w:szCs w:val="18"/>
              </w:rPr>
              <w:t>杭埠河区</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3.94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0.46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0.50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0.10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4" w:type="dxa"/>
            <w:gridSpan w:val="2"/>
            <w:shd w:val="clear" w:color="auto" w:fill="auto"/>
            <w:vAlign w:val="center"/>
          </w:tcPr>
          <w:p>
            <w:pPr>
              <w:widowControl/>
              <w:spacing w:line="240" w:lineRule="exact"/>
              <w:jc w:val="center"/>
              <w:rPr>
                <w:kern w:val="0"/>
                <w:sz w:val="18"/>
                <w:szCs w:val="18"/>
              </w:rPr>
            </w:pPr>
            <w:r>
              <w:rPr>
                <w:kern w:val="0"/>
                <w:sz w:val="18"/>
                <w:szCs w:val="18"/>
              </w:rPr>
              <w:t>全  市</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17.23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1.94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2.40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0.69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22.26 </w:t>
            </w:r>
          </w:p>
        </w:tc>
      </w:tr>
    </w:tbl>
    <w:p>
      <w:pPr>
        <w:spacing w:line="360" w:lineRule="auto"/>
        <w:ind w:firstLine="482" w:firstLineChars="200"/>
        <w:rPr>
          <w:b/>
          <w:sz w:val="24"/>
        </w:rPr>
      </w:pPr>
      <w:bookmarkStart w:id="225" w:name="_Toc316564279"/>
      <w:r>
        <w:rPr>
          <w:b/>
          <w:sz w:val="24"/>
        </w:rPr>
        <w:t>（三）用水变化分析</w:t>
      </w:r>
      <w:bookmarkEnd w:id="225"/>
    </w:p>
    <w:p>
      <w:pPr>
        <w:spacing w:line="360" w:lineRule="auto"/>
        <w:ind w:firstLine="480" w:firstLineChars="200"/>
        <w:rPr>
          <w:sz w:val="24"/>
        </w:rPr>
      </w:pPr>
      <w:r>
        <w:rPr>
          <w:sz w:val="24"/>
        </w:rPr>
        <w:t>自2010年以来，随着全市经济社会发展、产业结构调整以及城镇化率、居民生活水平和各行业用水水平的提高，总用水量相对稳定，近年基本维持在23～24亿m³，但用水结构变化较大，</w:t>
      </w:r>
      <w:bookmarkStart w:id="226" w:name="_Hlk58512042"/>
      <w:r>
        <w:rPr>
          <w:sz w:val="24"/>
        </w:rPr>
        <w:t>农业、工业、生活和生态用水量构成由2010年的77.6%、13.5%、8.8%和0.1%调整至2020年的77.4%、8.7%、10.8%和3.1%，</w:t>
      </w:r>
      <w:r>
        <w:rPr>
          <w:rFonts w:hint="eastAsia"/>
          <w:sz w:val="24"/>
        </w:rPr>
        <w:t>工业</w:t>
      </w:r>
      <w:r>
        <w:rPr>
          <w:sz w:val="24"/>
        </w:rPr>
        <w:t>用水比重下降，生活和生态环境用水比重提高，用水构成的变化符合近年全市经济社会发展实际。</w:t>
      </w:r>
      <w:bookmarkEnd w:id="226"/>
    </w:p>
    <w:p>
      <w:pPr>
        <w:spacing w:line="360" w:lineRule="auto"/>
        <w:ind w:right="196" w:rightChars="98" w:firstLine="480" w:firstLineChars="200"/>
        <w:jc w:val="left"/>
        <w:rPr>
          <w:sz w:val="24"/>
        </w:rPr>
      </w:pPr>
      <w:r>
        <w:rPr>
          <w:sz w:val="24"/>
        </w:rPr>
        <w:t>六安市2010～2020年用水量变化趋势见表3.2.8；2010～2020年用水构成变化趋势见图3.2.4。</w:t>
      </w:r>
    </w:p>
    <w:p>
      <w:pPr>
        <w:wordWrap w:val="0"/>
        <w:spacing w:line="360" w:lineRule="auto"/>
        <w:ind w:right="200" w:rightChars="100" w:firstLine="482" w:firstLineChars="200"/>
        <w:jc w:val="right"/>
        <w:rPr>
          <w:sz w:val="18"/>
          <w:szCs w:val="18"/>
          <w:vertAlign w:val="superscript"/>
        </w:rPr>
      </w:pPr>
      <w:r>
        <w:rPr>
          <w:b/>
          <w:sz w:val="24"/>
        </w:rPr>
        <w:t xml:space="preserve">表3.2.8  2010～2020年六安市用水变化       </w:t>
      </w:r>
      <w:r>
        <w:rPr>
          <w:sz w:val="24"/>
        </w:rPr>
        <w:t xml:space="preserve"> </w:t>
      </w:r>
      <w:r>
        <w:rPr>
          <w:sz w:val="18"/>
          <w:szCs w:val="18"/>
        </w:rPr>
        <w:t>单位：亿m</w:t>
      </w:r>
      <w:r>
        <w:rPr>
          <w:sz w:val="18"/>
          <w:szCs w:val="18"/>
          <w:vertAlign w:val="superscript"/>
        </w:rPr>
        <w:t>3</w:t>
      </w:r>
    </w:p>
    <w:tbl>
      <w:tblPr>
        <w:tblStyle w:val="36"/>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55"/>
        <w:gridCol w:w="1355"/>
        <w:gridCol w:w="1355"/>
        <w:gridCol w:w="135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年份</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农业</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工业</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生活</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生态</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2010</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17.10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2.97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1.95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0.02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2011</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18.80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3.29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1.97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0.02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2012</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18.00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3.28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2.01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0.06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2013</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18.70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3.23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2.10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0.21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24.24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2014</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18.15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2.96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2.13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0.27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2015</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18.24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2.94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2.14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0.28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2016</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18.30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2.74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2.18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0.29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2017</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18.39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2.61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2.21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0.32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23.53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kern w:val="0"/>
                <w:sz w:val="18"/>
                <w:szCs w:val="18"/>
              </w:rPr>
              <w:t>2018</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18.16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2.39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2.24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0.29 </w:t>
            </w:r>
          </w:p>
        </w:tc>
        <w:tc>
          <w:tcPr>
            <w:tcW w:w="1355" w:type="dxa"/>
            <w:shd w:val="clear" w:color="auto" w:fill="auto"/>
            <w:vAlign w:val="center"/>
          </w:tcPr>
          <w:p>
            <w:pPr>
              <w:widowControl/>
              <w:spacing w:line="240" w:lineRule="exact"/>
              <w:jc w:val="center"/>
              <w:rPr>
                <w:color w:val="000000"/>
                <w:kern w:val="0"/>
                <w:sz w:val="18"/>
                <w:szCs w:val="18"/>
              </w:rPr>
            </w:pPr>
            <w:r>
              <w:rPr>
                <w:color w:val="000000"/>
                <w:kern w:val="0"/>
                <w:sz w:val="18"/>
                <w:szCs w:val="18"/>
              </w:rPr>
              <w:t xml:space="preserve">23.07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kern w:val="0"/>
                <w:sz w:val="18"/>
                <w:szCs w:val="18"/>
              </w:rPr>
            </w:pPr>
            <w:r>
              <w:rPr>
                <w:rFonts w:hint="eastAsia"/>
                <w:sz w:val="18"/>
                <w:szCs w:val="18"/>
              </w:rPr>
              <w:t>2019</w:t>
            </w:r>
          </w:p>
        </w:tc>
        <w:tc>
          <w:tcPr>
            <w:tcW w:w="1355"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18.28 </w:t>
            </w:r>
          </w:p>
        </w:tc>
        <w:tc>
          <w:tcPr>
            <w:tcW w:w="1355"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2.17 </w:t>
            </w:r>
          </w:p>
        </w:tc>
        <w:tc>
          <w:tcPr>
            <w:tcW w:w="1355"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2.33 </w:t>
            </w:r>
          </w:p>
        </w:tc>
        <w:tc>
          <w:tcPr>
            <w:tcW w:w="1355"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0.34 </w:t>
            </w:r>
          </w:p>
        </w:tc>
        <w:tc>
          <w:tcPr>
            <w:tcW w:w="1355"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5" w:type="dxa"/>
            <w:shd w:val="clear" w:color="auto" w:fill="auto"/>
            <w:vAlign w:val="center"/>
          </w:tcPr>
          <w:p>
            <w:pPr>
              <w:widowControl/>
              <w:spacing w:line="240" w:lineRule="exact"/>
              <w:jc w:val="center"/>
              <w:rPr>
                <w:sz w:val="18"/>
                <w:szCs w:val="18"/>
              </w:rPr>
            </w:pPr>
            <w:r>
              <w:rPr>
                <w:rFonts w:hint="eastAsia"/>
                <w:sz w:val="18"/>
                <w:szCs w:val="18"/>
              </w:rPr>
              <w:t>2</w:t>
            </w:r>
            <w:r>
              <w:rPr>
                <w:sz w:val="18"/>
                <w:szCs w:val="18"/>
              </w:rPr>
              <w:t>020</w:t>
            </w:r>
          </w:p>
        </w:tc>
        <w:tc>
          <w:tcPr>
            <w:tcW w:w="1355" w:type="dxa"/>
            <w:shd w:val="clear" w:color="auto" w:fill="auto"/>
            <w:vAlign w:val="center"/>
          </w:tcPr>
          <w:p>
            <w:pPr>
              <w:widowControl/>
              <w:spacing w:line="240" w:lineRule="exact"/>
              <w:jc w:val="center"/>
              <w:rPr>
                <w:color w:val="000000"/>
                <w:sz w:val="18"/>
                <w:szCs w:val="18"/>
              </w:rPr>
            </w:pPr>
            <w:r>
              <w:rPr>
                <w:rFonts w:hint="eastAsia"/>
                <w:color w:val="000000"/>
                <w:sz w:val="18"/>
                <w:szCs w:val="18"/>
              </w:rPr>
              <w:t xml:space="preserve">17.23 </w:t>
            </w:r>
          </w:p>
        </w:tc>
        <w:tc>
          <w:tcPr>
            <w:tcW w:w="1355" w:type="dxa"/>
            <w:shd w:val="clear" w:color="auto" w:fill="auto"/>
            <w:vAlign w:val="center"/>
          </w:tcPr>
          <w:p>
            <w:pPr>
              <w:widowControl/>
              <w:spacing w:line="240" w:lineRule="exact"/>
              <w:jc w:val="center"/>
              <w:rPr>
                <w:color w:val="000000"/>
                <w:sz w:val="18"/>
                <w:szCs w:val="18"/>
              </w:rPr>
            </w:pPr>
            <w:r>
              <w:rPr>
                <w:rFonts w:hint="eastAsia"/>
                <w:color w:val="000000"/>
                <w:sz w:val="18"/>
                <w:szCs w:val="18"/>
              </w:rPr>
              <w:t xml:space="preserve">1.94 </w:t>
            </w:r>
          </w:p>
        </w:tc>
        <w:tc>
          <w:tcPr>
            <w:tcW w:w="1355" w:type="dxa"/>
            <w:shd w:val="clear" w:color="auto" w:fill="auto"/>
            <w:vAlign w:val="center"/>
          </w:tcPr>
          <w:p>
            <w:pPr>
              <w:widowControl/>
              <w:spacing w:line="240" w:lineRule="exact"/>
              <w:jc w:val="center"/>
              <w:rPr>
                <w:color w:val="000000"/>
                <w:sz w:val="18"/>
                <w:szCs w:val="18"/>
              </w:rPr>
            </w:pPr>
            <w:r>
              <w:rPr>
                <w:rFonts w:hint="eastAsia"/>
                <w:color w:val="000000"/>
                <w:sz w:val="18"/>
                <w:szCs w:val="18"/>
              </w:rPr>
              <w:t xml:space="preserve">2.40 </w:t>
            </w:r>
          </w:p>
        </w:tc>
        <w:tc>
          <w:tcPr>
            <w:tcW w:w="1355" w:type="dxa"/>
            <w:shd w:val="clear" w:color="auto" w:fill="auto"/>
            <w:vAlign w:val="center"/>
          </w:tcPr>
          <w:p>
            <w:pPr>
              <w:widowControl/>
              <w:spacing w:line="240" w:lineRule="exact"/>
              <w:jc w:val="center"/>
              <w:rPr>
                <w:color w:val="000000"/>
                <w:sz w:val="18"/>
                <w:szCs w:val="18"/>
              </w:rPr>
            </w:pPr>
            <w:r>
              <w:rPr>
                <w:rFonts w:hint="eastAsia"/>
                <w:color w:val="000000"/>
                <w:sz w:val="18"/>
                <w:szCs w:val="18"/>
              </w:rPr>
              <w:t xml:space="preserve">0.69 </w:t>
            </w:r>
          </w:p>
        </w:tc>
        <w:tc>
          <w:tcPr>
            <w:tcW w:w="1355" w:type="dxa"/>
            <w:shd w:val="clear" w:color="auto" w:fill="auto"/>
            <w:vAlign w:val="center"/>
          </w:tcPr>
          <w:p>
            <w:pPr>
              <w:widowControl/>
              <w:spacing w:line="240" w:lineRule="exact"/>
              <w:jc w:val="center"/>
              <w:rPr>
                <w:color w:val="000000"/>
                <w:sz w:val="18"/>
                <w:szCs w:val="18"/>
              </w:rPr>
            </w:pPr>
            <w:r>
              <w:rPr>
                <w:rFonts w:hint="eastAsia"/>
                <w:color w:val="000000"/>
                <w:sz w:val="18"/>
                <w:szCs w:val="18"/>
              </w:rPr>
              <w:t xml:space="preserve">22.26 </w:t>
            </w:r>
          </w:p>
        </w:tc>
      </w:tr>
    </w:tbl>
    <w:p>
      <w:pPr>
        <w:jc w:val="left"/>
        <w:rPr>
          <w:b/>
          <w:color w:val="FF0000"/>
          <w:sz w:val="24"/>
        </w:rPr>
      </w:pPr>
    </w:p>
    <w:p>
      <w:pPr>
        <w:jc w:val="center"/>
        <w:rPr>
          <w:b/>
          <w:color w:val="FF0000"/>
          <w:sz w:val="24"/>
        </w:rPr>
      </w:pPr>
      <w:r>
        <w:drawing>
          <wp:inline distT="0" distB="0" distL="0" distR="0">
            <wp:extent cx="52578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center"/>
        <w:rPr>
          <w:b/>
          <w:sz w:val="24"/>
        </w:rPr>
      </w:pPr>
      <w:r>
        <w:rPr>
          <w:b/>
          <w:sz w:val="24"/>
        </w:rPr>
        <w:t>图3.2.4  2010～2020年六安市用水构成变化图</w:t>
      </w:r>
    </w:p>
    <w:p>
      <w:pPr>
        <w:pStyle w:val="4"/>
        <w:spacing w:before="156" w:beforeLines="50" w:after="156" w:afterLines="50"/>
        <w:rPr>
          <w:sz w:val="28"/>
        </w:rPr>
      </w:pPr>
      <w:bookmarkStart w:id="227" w:name="_Toc382472207"/>
      <w:bookmarkStart w:id="228" w:name="_Toc95382470"/>
      <w:bookmarkStart w:id="229" w:name="_Toc432782535"/>
      <w:r>
        <w:rPr>
          <w:rFonts w:hint="eastAsia"/>
          <w:sz w:val="28"/>
        </w:rPr>
        <w:t>四</w:t>
      </w:r>
      <w:r>
        <w:rPr>
          <w:sz w:val="28"/>
        </w:rPr>
        <w:t>、用水消耗量分析计算</w:t>
      </w:r>
      <w:bookmarkEnd w:id="227"/>
      <w:bookmarkEnd w:id="228"/>
      <w:bookmarkEnd w:id="229"/>
    </w:p>
    <w:p>
      <w:pPr>
        <w:spacing w:line="360" w:lineRule="auto"/>
        <w:ind w:firstLine="482" w:firstLineChars="200"/>
        <w:rPr>
          <w:b/>
          <w:sz w:val="24"/>
        </w:rPr>
      </w:pPr>
      <w:bookmarkStart w:id="230" w:name="_Toc316564281"/>
      <w:bookmarkStart w:id="231" w:name="_Toc307210237"/>
      <w:r>
        <w:rPr>
          <w:b/>
          <w:sz w:val="24"/>
        </w:rPr>
        <w:t>（一） 耗水量分析估算</w:t>
      </w:r>
      <w:bookmarkEnd w:id="230"/>
      <w:bookmarkEnd w:id="231"/>
    </w:p>
    <w:p>
      <w:pPr>
        <w:spacing w:line="360" w:lineRule="auto"/>
        <w:ind w:firstLine="480" w:firstLineChars="200"/>
        <w:rPr>
          <w:sz w:val="24"/>
        </w:rPr>
      </w:pPr>
      <w:r>
        <w:rPr>
          <w:sz w:val="24"/>
        </w:rPr>
        <w:t>2020年六安市耗水总量</w:t>
      </w:r>
      <w:r>
        <w:rPr>
          <w:rFonts w:hint="eastAsia"/>
          <w:sz w:val="24"/>
        </w:rPr>
        <w:t>13.</w:t>
      </w:r>
      <w:r>
        <w:rPr>
          <w:sz w:val="24"/>
        </w:rPr>
        <w:t>44亿m</w:t>
      </w:r>
      <w:r>
        <w:rPr>
          <w:kern w:val="0"/>
          <w:sz w:val="24"/>
          <w:vertAlign w:val="superscript"/>
        </w:rPr>
        <w:t>3</w:t>
      </w:r>
      <w:r>
        <w:rPr>
          <w:sz w:val="24"/>
        </w:rPr>
        <w:t>，</w:t>
      </w:r>
      <w:r>
        <w:rPr>
          <w:rFonts w:hint="eastAsia"/>
          <w:sz w:val="24"/>
        </w:rPr>
        <w:t>较2019年值减少0</w:t>
      </w:r>
      <w:r>
        <w:rPr>
          <w:sz w:val="24"/>
        </w:rPr>
        <w:t>.38</w:t>
      </w:r>
      <w:r>
        <w:rPr>
          <w:rFonts w:hint="eastAsia"/>
          <w:sz w:val="24"/>
        </w:rPr>
        <w:t>亿m</w:t>
      </w:r>
      <w:r>
        <w:rPr>
          <w:rFonts w:hint="eastAsia"/>
          <w:sz w:val="24"/>
          <w:vertAlign w:val="superscript"/>
        </w:rPr>
        <w:t>3</w:t>
      </w:r>
      <w:r>
        <w:rPr>
          <w:rFonts w:hint="eastAsia"/>
          <w:sz w:val="24"/>
        </w:rPr>
        <w:t>；</w:t>
      </w:r>
      <w:r>
        <w:rPr>
          <w:sz w:val="24"/>
        </w:rPr>
        <w:t>平均耗水率60.4%</w:t>
      </w:r>
      <w:r>
        <w:rPr>
          <w:rFonts w:hint="eastAsia"/>
          <w:sz w:val="24"/>
        </w:rPr>
        <w:t>，较2019年值增加0.</w:t>
      </w:r>
      <w:r>
        <w:rPr>
          <w:sz w:val="24"/>
        </w:rPr>
        <w:t>6</w:t>
      </w:r>
      <w:r>
        <w:rPr>
          <w:rFonts w:hint="eastAsia"/>
          <w:sz w:val="24"/>
        </w:rPr>
        <w:t>%</w:t>
      </w:r>
      <w:r>
        <w:rPr>
          <w:sz w:val="24"/>
        </w:rPr>
        <w:t>。其中，生活耗水量1.03亿m³，平均耗水率43.1%；工业耗水量0.55亿m³，平均耗水率28.5%；农业耗水量11.26亿m³，平均耗水率65.3%，河道外生态环境用水耗水量为0.59亿m³，耗水率为86.1%。</w:t>
      </w:r>
    </w:p>
    <w:p>
      <w:pPr>
        <w:spacing w:line="360" w:lineRule="auto"/>
        <w:ind w:firstLine="480" w:firstLineChars="200"/>
        <w:rPr>
          <w:sz w:val="24"/>
        </w:rPr>
      </w:pPr>
      <w:r>
        <w:rPr>
          <w:sz w:val="24"/>
        </w:rPr>
        <w:t>全市用水消耗量中，淮河流域为10.48亿m³，占总用水消耗量的78.0%，长江流域为2.96亿m³，占22.0%。</w:t>
      </w:r>
    </w:p>
    <w:p>
      <w:pPr>
        <w:spacing w:line="360" w:lineRule="auto"/>
        <w:ind w:firstLine="480" w:firstLineChars="200"/>
        <w:rPr>
          <w:sz w:val="24"/>
        </w:rPr>
      </w:pPr>
      <w:r>
        <w:rPr>
          <w:sz w:val="24"/>
        </w:rPr>
        <w:t>2020年六安市行政分区耗水量见表3.2.9，流域分区耗水量见表3.2.10；耗水量结构图见图3.2.5。</w:t>
      </w:r>
    </w:p>
    <w:p>
      <w:pPr>
        <w:spacing w:line="360" w:lineRule="auto"/>
        <w:ind w:right="200" w:rightChars="100"/>
        <w:jc w:val="center"/>
        <w:rPr>
          <w:b/>
          <w:sz w:val="24"/>
        </w:rPr>
      </w:pPr>
      <w:r>
        <w:rPr>
          <w:b/>
          <w:sz w:val="24"/>
        </w:rPr>
        <w:t>表3.2.9  2020年六安市行政分区耗水量估算表</w:t>
      </w:r>
    </w:p>
    <w:tbl>
      <w:tblPr>
        <w:tblStyle w:val="36"/>
        <w:tblW w:w="8259" w:type="dxa"/>
        <w:jc w:val="center"/>
        <w:tblLayout w:type="fixed"/>
        <w:tblCellMar>
          <w:top w:w="0" w:type="dxa"/>
          <w:left w:w="108" w:type="dxa"/>
          <w:bottom w:w="0" w:type="dxa"/>
          <w:right w:w="108" w:type="dxa"/>
        </w:tblCellMar>
      </w:tblPr>
      <w:tblGrid>
        <w:gridCol w:w="845"/>
        <w:gridCol w:w="743"/>
        <w:gridCol w:w="726"/>
        <w:gridCol w:w="771"/>
        <w:gridCol w:w="726"/>
        <w:gridCol w:w="6"/>
        <w:gridCol w:w="794"/>
        <w:gridCol w:w="726"/>
        <w:gridCol w:w="15"/>
        <w:gridCol w:w="760"/>
        <w:gridCol w:w="726"/>
        <w:gridCol w:w="695"/>
        <w:gridCol w:w="726"/>
      </w:tblGrid>
      <w:tr>
        <w:tblPrEx>
          <w:tblCellMar>
            <w:top w:w="0" w:type="dxa"/>
            <w:left w:w="108" w:type="dxa"/>
            <w:bottom w:w="0" w:type="dxa"/>
            <w:right w:w="108" w:type="dxa"/>
          </w:tblCellMar>
        </w:tblPrEx>
        <w:trPr>
          <w:trHeight w:val="340" w:hRule="atLeast"/>
          <w:tblHeader/>
          <w:jc w:val="center"/>
        </w:trPr>
        <w:tc>
          <w:tcPr>
            <w:tcW w:w="8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行政分区</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农业</w:t>
            </w:r>
          </w:p>
        </w:tc>
        <w:tc>
          <w:tcPr>
            <w:tcW w:w="150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工业</w:t>
            </w:r>
          </w:p>
        </w:tc>
        <w:tc>
          <w:tcPr>
            <w:tcW w:w="153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生活</w:t>
            </w:r>
          </w:p>
        </w:tc>
        <w:tc>
          <w:tcPr>
            <w:tcW w:w="148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生态</w:t>
            </w:r>
          </w:p>
        </w:tc>
        <w:tc>
          <w:tcPr>
            <w:tcW w:w="142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合计</w:t>
            </w:r>
          </w:p>
        </w:tc>
      </w:tr>
      <w:tr>
        <w:tblPrEx>
          <w:tblCellMar>
            <w:top w:w="0" w:type="dxa"/>
            <w:left w:w="108" w:type="dxa"/>
            <w:bottom w:w="0" w:type="dxa"/>
            <w:right w:w="108" w:type="dxa"/>
          </w:tblCellMar>
        </w:tblPrEx>
        <w:trPr>
          <w:trHeight w:val="340" w:hRule="atLeast"/>
          <w:tblHeader/>
          <w:jc w:val="center"/>
        </w:trPr>
        <w:tc>
          <w:tcPr>
            <w:tcW w:w="8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kern w:val="0"/>
                <w:sz w:val="18"/>
                <w:szCs w:val="18"/>
              </w:rPr>
            </w:pPr>
          </w:p>
        </w:tc>
        <w:tc>
          <w:tcPr>
            <w:tcW w:w="7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7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8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r>
      <w:tr>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金安区</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2.05 </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64.8 </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0.15 </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25.1 </w:t>
            </w:r>
          </w:p>
        </w:tc>
        <w:tc>
          <w:tcPr>
            <w:tcW w:w="8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0.19 </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38.5 </w:t>
            </w:r>
          </w:p>
        </w:tc>
        <w:tc>
          <w:tcPr>
            <w:tcW w:w="7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0.20 </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86.0 </w:t>
            </w:r>
          </w:p>
        </w:tc>
        <w:tc>
          <w:tcPr>
            <w:tcW w:w="6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2.59 </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57.8 </w:t>
            </w:r>
          </w:p>
        </w:tc>
      </w:tr>
      <w:tr>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裕安区</w:t>
            </w:r>
          </w:p>
        </w:tc>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1.45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65.1 </w:t>
            </w:r>
          </w:p>
        </w:tc>
        <w:tc>
          <w:tcPr>
            <w:tcW w:w="7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0.12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53.6 </w:t>
            </w:r>
          </w:p>
        </w:tc>
        <w:tc>
          <w:tcPr>
            <w:tcW w:w="8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0.23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41.4 </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0.18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1.98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61.5 </w:t>
            </w:r>
          </w:p>
        </w:tc>
      </w:tr>
      <w:tr>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叶集区</w:t>
            </w:r>
          </w:p>
        </w:tc>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0.54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65.2 </w:t>
            </w:r>
          </w:p>
        </w:tc>
        <w:tc>
          <w:tcPr>
            <w:tcW w:w="7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0.03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30.6 </w:t>
            </w:r>
          </w:p>
        </w:tc>
        <w:tc>
          <w:tcPr>
            <w:tcW w:w="8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0.06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48.6 </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0.01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86.3 </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0.64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60.4 </w:t>
            </w:r>
          </w:p>
        </w:tc>
      </w:tr>
      <w:tr>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霍邱县</w:t>
            </w:r>
          </w:p>
        </w:tc>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4.31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65.9 </w:t>
            </w:r>
          </w:p>
        </w:tc>
        <w:tc>
          <w:tcPr>
            <w:tcW w:w="7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0.05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26.5 </w:t>
            </w:r>
          </w:p>
        </w:tc>
        <w:tc>
          <w:tcPr>
            <w:tcW w:w="8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0.21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51.2 </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0.02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4.60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64.0 </w:t>
            </w:r>
          </w:p>
        </w:tc>
      </w:tr>
      <w:tr>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舒城县</w:t>
            </w:r>
          </w:p>
        </w:tc>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1.76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64.7 </w:t>
            </w:r>
          </w:p>
        </w:tc>
        <w:tc>
          <w:tcPr>
            <w:tcW w:w="7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0.09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25.4 </w:t>
            </w:r>
          </w:p>
        </w:tc>
        <w:tc>
          <w:tcPr>
            <w:tcW w:w="8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0.15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41.0 </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0.08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86.9 </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2.09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58.8 </w:t>
            </w:r>
          </w:p>
        </w:tc>
      </w:tr>
      <w:tr>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金寨县</w:t>
            </w:r>
          </w:p>
        </w:tc>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0.65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66.3 </w:t>
            </w:r>
          </w:p>
        </w:tc>
        <w:tc>
          <w:tcPr>
            <w:tcW w:w="7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0.04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23.4 </w:t>
            </w:r>
          </w:p>
        </w:tc>
        <w:tc>
          <w:tcPr>
            <w:tcW w:w="8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0.14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48.5 </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0.06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86.0 </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0.89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59.0 </w:t>
            </w:r>
          </w:p>
        </w:tc>
      </w:tr>
      <w:tr>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霍山县</w:t>
            </w:r>
          </w:p>
        </w:tc>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0.50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64.5 </w:t>
            </w:r>
          </w:p>
        </w:tc>
        <w:tc>
          <w:tcPr>
            <w:tcW w:w="7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0.07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24.2 </w:t>
            </w:r>
          </w:p>
        </w:tc>
        <w:tc>
          <w:tcPr>
            <w:tcW w:w="8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0.05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33.1 </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0.04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86.1 </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0.66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52.1 </w:t>
            </w:r>
          </w:p>
        </w:tc>
      </w:tr>
      <w:tr>
        <w:tblPrEx>
          <w:tblCellMar>
            <w:top w:w="0" w:type="dxa"/>
            <w:left w:w="108" w:type="dxa"/>
            <w:bottom w:w="0" w:type="dxa"/>
            <w:right w:w="108" w:type="dxa"/>
          </w:tblCellMar>
        </w:tblPrEx>
        <w:trPr>
          <w:trHeight w:val="340"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全  市</w:t>
            </w:r>
          </w:p>
        </w:tc>
        <w:tc>
          <w:tcPr>
            <w:tcW w:w="74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11.26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65.3 </w:t>
            </w:r>
          </w:p>
        </w:tc>
        <w:tc>
          <w:tcPr>
            <w:tcW w:w="77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0.55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28.5 </w:t>
            </w:r>
          </w:p>
        </w:tc>
        <w:tc>
          <w:tcPr>
            <w:tcW w:w="80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1.03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43.1 </w:t>
            </w:r>
          </w:p>
        </w:tc>
        <w:tc>
          <w:tcPr>
            <w:tcW w:w="77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0.59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86.1 </w:t>
            </w:r>
          </w:p>
        </w:tc>
        <w:tc>
          <w:tcPr>
            <w:tcW w:w="6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13.44 </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60.4 </w:t>
            </w:r>
          </w:p>
        </w:tc>
      </w:tr>
    </w:tbl>
    <w:p>
      <w:pPr>
        <w:spacing w:line="360" w:lineRule="auto"/>
        <w:ind w:right="200" w:rightChars="100"/>
        <w:jc w:val="center"/>
        <w:rPr>
          <w:b/>
          <w:sz w:val="24"/>
        </w:rPr>
      </w:pPr>
      <w:r>
        <w:rPr>
          <w:b/>
          <w:sz w:val="24"/>
        </w:rPr>
        <w:t>表3.2.10  2020年六安市流域分区耗水量估算表</w:t>
      </w:r>
    </w:p>
    <w:tbl>
      <w:tblPr>
        <w:tblStyle w:val="36"/>
        <w:tblW w:w="8351" w:type="dxa"/>
        <w:jc w:val="center"/>
        <w:tblLayout w:type="fixed"/>
        <w:tblCellMar>
          <w:top w:w="0" w:type="dxa"/>
          <w:left w:w="108" w:type="dxa"/>
          <w:bottom w:w="0" w:type="dxa"/>
          <w:right w:w="108" w:type="dxa"/>
        </w:tblCellMar>
      </w:tblPr>
      <w:tblGrid>
        <w:gridCol w:w="528"/>
        <w:gridCol w:w="885"/>
        <w:gridCol w:w="691"/>
        <w:gridCol w:w="738"/>
        <w:gridCol w:w="659"/>
        <w:gridCol w:w="737"/>
        <w:gridCol w:w="659"/>
        <w:gridCol w:w="737"/>
        <w:gridCol w:w="597"/>
        <w:gridCol w:w="737"/>
        <w:gridCol w:w="653"/>
        <w:gridCol w:w="730"/>
      </w:tblGrid>
      <w:tr>
        <w:tblPrEx>
          <w:tblCellMar>
            <w:top w:w="0" w:type="dxa"/>
            <w:left w:w="108" w:type="dxa"/>
            <w:bottom w:w="0" w:type="dxa"/>
            <w:right w:w="108" w:type="dxa"/>
          </w:tblCellMar>
        </w:tblPrEx>
        <w:trPr>
          <w:trHeight w:val="276" w:hRule="atLeast"/>
          <w:jc w:val="center"/>
        </w:trPr>
        <w:tc>
          <w:tcPr>
            <w:tcW w:w="5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一级区</w:t>
            </w:r>
          </w:p>
        </w:tc>
        <w:tc>
          <w:tcPr>
            <w:tcW w:w="8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四级区</w:t>
            </w:r>
          </w:p>
        </w:tc>
        <w:tc>
          <w:tcPr>
            <w:tcW w:w="142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农业</w:t>
            </w:r>
          </w:p>
        </w:tc>
        <w:tc>
          <w:tcPr>
            <w:tcW w:w="13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工业</w:t>
            </w:r>
          </w:p>
        </w:tc>
        <w:tc>
          <w:tcPr>
            <w:tcW w:w="13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生活</w:t>
            </w:r>
          </w:p>
        </w:tc>
        <w:tc>
          <w:tcPr>
            <w:tcW w:w="133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生态</w:t>
            </w:r>
          </w:p>
        </w:tc>
        <w:tc>
          <w:tcPr>
            <w:tcW w:w="138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kern w:val="0"/>
                <w:sz w:val="18"/>
                <w:szCs w:val="18"/>
              </w:rPr>
            </w:pPr>
            <w:r>
              <w:rPr>
                <w:kern w:val="0"/>
                <w:sz w:val="18"/>
                <w:szCs w:val="18"/>
              </w:rPr>
              <w:t>合计</w:t>
            </w:r>
          </w:p>
        </w:tc>
      </w:tr>
      <w:tr>
        <w:tblPrEx>
          <w:tblCellMar>
            <w:top w:w="0" w:type="dxa"/>
            <w:left w:w="108" w:type="dxa"/>
            <w:bottom w:w="0" w:type="dxa"/>
            <w:right w:w="108" w:type="dxa"/>
          </w:tblCellMar>
        </w:tblPrEx>
        <w:trPr>
          <w:trHeight w:val="504" w:hRule="atLeast"/>
          <w:jc w:val="center"/>
        </w:trPr>
        <w:tc>
          <w:tcPr>
            <w:tcW w:w="52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kern w:val="0"/>
                <w:sz w:val="18"/>
                <w:szCs w:val="18"/>
              </w:rPr>
            </w:pPr>
          </w:p>
        </w:tc>
        <w:tc>
          <w:tcPr>
            <w:tcW w:w="88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kern w:val="0"/>
                <w:sz w:val="18"/>
                <w:szCs w:val="18"/>
              </w:rPr>
            </w:pPr>
          </w:p>
        </w:tc>
        <w:tc>
          <w:tcPr>
            <w:tcW w:w="69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6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6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6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7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r>
      <w:tr>
        <w:tblPrEx>
          <w:tblCellMar>
            <w:top w:w="0" w:type="dxa"/>
            <w:left w:w="108" w:type="dxa"/>
            <w:bottom w:w="0" w:type="dxa"/>
            <w:right w:w="108" w:type="dxa"/>
          </w:tblCellMar>
        </w:tblPrEx>
        <w:trPr>
          <w:trHeight w:val="432" w:hRule="atLeast"/>
          <w:jc w:val="center"/>
        </w:trPr>
        <w:tc>
          <w:tcPr>
            <w:tcW w:w="52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淮河</w:t>
            </w:r>
          </w:p>
        </w:tc>
        <w:tc>
          <w:tcPr>
            <w:tcW w:w="8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淠史河上游区</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1.32 </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65.4 </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0.09 </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24.1 </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0.19 </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45.0 </w:t>
            </w:r>
          </w:p>
        </w:tc>
        <w:tc>
          <w:tcPr>
            <w:tcW w:w="5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0.04 </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86.1 </w:t>
            </w:r>
          </w:p>
        </w:tc>
        <w:tc>
          <w:tcPr>
            <w:tcW w:w="6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1.63 </w:t>
            </w:r>
          </w:p>
        </w:tc>
        <w:tc>
          <w:tcPr>
            <w:tcW w:w="7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57.3 </w:t>
            </w:r>
          </w:p>
        </w:tc>
      </w:tr>
      <w:tr>
        <w:tblPrEx>
          <w:tblCellMar>
            <w:top w:w="0" w:type="dxa"/>
            <w:left w:w="108" w:type="dxa"/>
            <w:bottom w:w="0" w:type="dxa"/>
            <w:right w:w="108" w:type="dxa"/>
          </w:tblCellMar>
        </w:tblPrEx>
        <w:trPr>
          <w:trHeight w:val="432" w:hRule="atLeast"/>
          <w:jc w:val="center"/>
        </w:trPr>
        <w:tc>
          <w:tcPr>
            <w:tcW w:w="5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8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王蚌南岸沿淮区</w:t>
            </w:r>
          </w:p>
        </w:tc>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7.39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65.5 </w:t>
            </w:r>
          </w:p>
        </w:tc>
        <w:tc>
          <w:tcPr>
            <w:tcW w:w="6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0.35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31.3 </w:t>
            </w:r>
          </w:p>
        </w:tc>
        <w:tc>
          <w:tcPr>
            <w:tcW w:w="6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0.63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42.9 </w:t>
            </w:r>
          </w:p>
        </w:tc>
        <w:tc>
          <w:tcPr>
            <w:tcW w:w="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0.47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86.0 </w:t>
            </w:r>
          </w:p>
        </w:tc>
        <w:tc>
          <w:tcPr>
            <w:tcW w:w="6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8.85 </w:t>
            </w:r>
          </w:p>
        </w:tc>
        <w:tc>
          <w:tcPr>
            <w:tcW w:w="7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61.4 </w:t>
            </w:r>
          </w:p>
        </w:tc>
      </w:tr>
      <w:tr>
        <w:tblPrEx>
          <w:tblCellMar>
            <w:top w:w="0" w:type="dxa"/>
            <w:left w:w="108" w:type="dxa"/>
            <w:bottom w:w="0" w:type="dxa"/>
            <w:right w:w="108" w:type="dxa"/>
          </w:tblCellMar>
        </w:tblPrEx>
        <w:trPr>
          <w:trHeight w:val="276" w:hRule="atLeast"/>
          <w:jc w:val="center"/>
        </w:trPr>
        <w:tc>
          <w:tcPr>
            <w:tcW w:w="52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8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小计</w:t>
            </w:r>
          </w:p>
        </w:tc>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8.71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65.5 </w:t>
            </w:r>
          </w:p>
        </w:tc>
        <w:tc>
          <w:tcPr>
            <w:tcW w:w="6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0.44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29.5 </w:t>
            </w:r>
          </w:p>
        </w:tc>
        <w:tc>
          <w:tcPr>
            <w:tcW w:w="6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0.83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43.3 </w:t>
            </w:r>
          </w:p>
        </w:tc>
        <w:tc>
          <w:tcPr>
            <w:tcW w:w="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0.51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86.0 </w:t>
            </w:r>
          </w:p>
        </w:tc>
        <w:tc>
          <w:tcPr>
            <w:tcW w:w="6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10.48 </w:t>
            </w:r>
          </w:p>
        </w:tc>
        <w:tc>
          <w:tcPr>
            <w:tcW w:w="7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60.7 </w:t>
            </w:r>
          </w:p>
        </w:tc>
      </w:tr>
      <w:tr>
        <w:tblPrEx>
          <w:tblCellMar>
            <w:top w:w="0" w:type="dxa"/>
            <w:left w:w="108" w:type="dxa"/>
            <w:bottom w:w="0" w:type="dxa"/>
            <w:right w:w="108" w:type="dxa"/>
          </w:tblCellMar>
        </w:tblPrEx>
        <w:trPr>
          <w:trHeight w:val="276" w:hRule="atLeast"/>
          <w:jc w:val="center"/>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长江</w:t>
            </w:r>
          </w:p>
        </w:tc>
        <w:tc>
          <w:tcPr>
            <w:tcW w:w="88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杭埠河区</w:t>
            </w:r>
          </w:p>
        </w:tc>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2.55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64.7 </w:t>
            </w:r>
          </w:p>
        </w:tc>
        <w:tc>
          <w:tcPr>
            <w:tcW w:w="6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0.12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25.3 </w:t>
            </w:r>
          </w:p>
        </w:tc>
        <w:tc>
          <w:tcPr>
            <w:tcW w:w="65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0.21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42.2 </w:t>
            </w:r>
          </w:p>
        </w:tc>
        <w:tc>
          <w:tcPr>
            <w:tcW w:w="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0.08 </w:t>
            </w:r>
          </w:p>
        </w:tc>
        <w:tc>
          <w:tcPr>
            <w:tcW w:w="7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86.9 </w:t>
            </w:r>
          </w:p>
        </w:tc>
        <w:tc>
          <w:tcPr>
            <w:tcW w:w="6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2.96 </w:t>
            </w:r>
          </w:p>
        </w:tc>
        <w:tc>
          <w:tcPr>
            <w:tcW w:w="73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59.3 </w:t>
            </w:r>
          </w:p>
        </w:tc>
      </w:tr>
      <w:tr>
        <w:tblPrEx>
          <w:tblCellMar>
            <w:top w:w="0" w:type="dxa"/>
            <w:left w:w="108" w:type="dxa"/>
            <w:bottom w:w="0" w:type="dxa"/>
            <w:right w:w="108" w:type="dxa"/>
          </w:tblCellMar>
        </w:tblPrEx>
        <w:trPr>
          <w:trHeight w:val="276" w:hRule="atLeast"/>
          <w:jc w:val="center"/>
        </w:trPr>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  市</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11.26 </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65.3 </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0.55 </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28.5 </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1.03 </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43.1 </w:t>
            </w:r>
          </w:p>
        </w:tc>
        <w:tc>
          <w:tcPr>
            <w:tcW w:w="5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0.59 </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86.1 </w:t>
            </w:r>
          </w:p>
        </w:tc>
        <w:tc>
          <w:tcPr>
            <w:tcW w:w="6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13.44 </w:t>
            </w:r>
          </w:p>
        </w:tc>
        <w:tc>
          <w:tcPr>
            <w:tcW w:w="7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eastAsia="等线"/>
                <w:sz w:val="18"/>
                <w:szCs w:val="18"/>
              </w:rPr>
              <w:t xml:space="preserve">60.4 </w:t>
            </w:r>
          </w:p>
        </w:tc>
      </w:tr>
    </w:tbl>
    <w:p>
      <w:pPr>
        <w:jc w:val="center"/>
        <w:rPr>
          <w:b/>
          <w:color w:val="FF0000"/>
          <w:sz w:val="24"/>
        </w:rPr>
      </w:pPr>
    </w:p>
    <w:p>
      <w:pPr>
        <w:spacing w:before="156" w:beforeLines="50" w:line="360" w:lineRule="auto"/>
        <w:jc w:val="center"/>
        <w:rPr>
          <w:color w:val="FF0000"/>
        </w:rPr>
      </w:pPr>
      <w:r>
        <w:drawing>
          <wp:inline distT="0" distB="0" distL="0" distR="0">
            <wp:extent cx="4572000" cy="27432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60" w:lineRule="auto"/>
        <w:jc w:val="center"/>
        <w:rPr>
          <w:b/>
          <w:sz w:val="24"/>
        </w:rPr>
      </w:pPr>
      <w:r>
        <w:rPr>
          <w:b/>
          <w:sz w:val="24"/>
        </w:rPr>
        <w:t>图3.2.5  2020年六安市耗水量结构图</w:t>
      </w:r>
    </w:p>
    <w:p>
      <w:pPr>
        <w:spacing w:line="360" w:lineRule="auto"/>
        <w:ind w:firstLine="482" w:firstLineChars="200"/>
        <w:rPr>
          <w:b/>
          <w:sz w:val="24"/>
        </w:rPr>
      </w:pPr>
      <w:r>
        <w:rPr>
          <w:b/>
          <w:sz w:val="24"/>
        </w:rPr>
        <w:t>（二）农业耗水量</w:t>
      </w:r>
    </w:p>
    <w:p>
      <w:pPr>
        <w:spacing w:line="360" w:lineRule="auto"/>
        <w:ind w:firstLine="480" w:firstLineChars="200"/>
        <w:rPr>
          <w:sz w:val="24"/>
        </w:rPr>
      </w:pPr>
      <w:r>
        <w:rPr>
          <w:sz w:val="24"/>
        </w:rPr>
        <w:t>农业耗水量包括农田灌溉耗水量和林牧渔畜耗水量两部分。</w:t>
      </w:r>
    </w:p>
    <w:p>
      <w:pPr>
        <w:spacing w:line="360" w:lineRule="auto"/>
        <w:ind w:firstLine="480" w:firstLineChars="200"/>
        <w:rPr>
          <w:sz w:val="24"/>
        </w:rPr>
      </w:pPr>
      <w:r>
        <w:rPr>
          <w:sz w:val="24"/>
        </w:rPr>
        <w:t>农田灌溉耗水量包括农田作物蒸腾、棵间蒸发、渠系水面蒸发和浸润损失等水量。农田灌溉耗水量分别按水田、水浇地和菜地灌溉耗水量进行统计。2020年六安市农田灌溉耗水量10.92亿m</w:t>
      </w:r>
      <w:r>
        <w:rPr>
          <w:sz w:val="24"/>
          <w:vertAlign w:val="superscript"/>
        </w:rPr>
        <w:t>3</w:t>
      </w:r>
      <w:r>
        <w:rPr>
          <w:sz w:val="24"/>
        </w:rPr>
        <w:t>，平均耗水率为65.1%，占农业总耗水量的97.0%。</w:t>
      </w:r>
    </w:p>
    <w:p>
      <w:pPr>
        <w:spacing w:line="360" w:lineRule="auto"/>
        <w:ind w:firstLine="480" w:firstLineChars="200"/>
        <w:rPr>
          <w:sz w:val="24"/>
        </w:rPr>
      </w:pPr>
      <w:r>
        <w:rPr>
          <w:sz w:val="24"/>
        </w:rPr>
        <w:t>林牧渔畜耗水量是指林果灌溉、鱼塘补水及牲畜用水等消耗的水量。2020年六安市林牧渔畜耗水量0.34亿m</w:t>
      </w:r>
      <w:r>
        <w:rPr>
          <w:sz w:val="24"/>
          <w:vertAlign w:val="superscript"/>
        </w:rPr>
        <w:t>3</w:t>
      </w:r>
      <w:r>
        <w:rPr>
          <w:sz w:val="24"/>
        </w:rPr>
        <w:t>，平均耗水率为72.8%，占农业耗水量的3.0%。</w:t>
      </w:r>
    </w:p>
    <w:p>
      <w:pPr>
        <w:spacing w:line="360" w:lineRule="auto"/>
        <w:ind w:firstLine="480" w:firstLineChars="200"/>
        <w:rPr>
          <w:sz w:val="24"/>
        </w:rPr>
      </w:pPr>
      <w:r>
        <w:rPr>
          <w:sz w:val="24"/>
        </w:rPr>
        <w:t>2020年六安市行政分区农业耗水量见表3.2.11。</w:t>
      </w:r>
    </w:p>
    <w:p>
      <w:pPr>
        <w:spacing w:line="360" w:lineRule="auto"/>
        <w:jc w:val="center"/>
        <w:rPr>
          <w:b/>
          <w:sz w:val="24"/>
        </w:rPr>
      </w:pPr>
      <w:r>
        <w:rPr>
          <w:b/>
          <w:sz w:val="24"/>
        </w:rPr>
        <w:t>表3.2.11  2020年六安市行政分区农业耗水量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农田灌溉</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林牧渔畜</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农业耗水小计</w:t>
            </w:r>
          </w:p>
        </w:tc>
      </w:tr>
      <w:tr>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2.01 </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64.7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71.9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2.05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64.8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1.42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64.9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75.3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1.45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65.1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0.53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65.0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82.4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0.54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65.2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4.27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65.8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83.0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4.31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65.9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1.65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64.5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68.3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1.76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64.7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0.59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65.6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0.06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74.1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0.65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66.3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0.45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63.6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72.5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0.50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64.5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10.92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65.1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0.34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72.8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11.26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65.3 </w:t>
            </w:r>
          </w:p>
        </w:tc>
      </w:tr>
    </w:tbl>
    <w:p>
      <w:pPr>
        <w:spacing w:line="360" w:lineRule="auto"/>
        <w:ind w:firstLine="482" w:firstLineChars="200"/>
        <w:rPr>
          <w:b/>
          <w:sz w:val="24"/>
        </w:rPr>
      </w:pPr>
    </w:p>
    <w:p>
      <w:pPr>
        <w:spacing w:line="360" w:lineRule="auto"/>
        <w:ind w:firstLine="482" w:firstLineChars="200"/>
        <w:rPr>
          <w:b/>
          <w:sz w:val="24"/>
        </w:rPr>
      </w:pPr>
      <w:r>
        <w:rPr>
          <w:b/>
          <w:sz w:val="24"/>
        </w:rPr>
        <w:t>（三）工业耗水量</w:t>
      </w:r>
    </w:p>
    <w:p>
      <w:pPr>
        <w:spacing w:line="360" w:lineRule="auto"/>
        <w:ind w:firstLine="480" w:firstLineChars="200"/>
        <w:rPr>
          <w:sz w:val="24"/>
        </w:rPr>
      </w:pPr>
      <w:r>
        <w:rPr>
          <w:sz w:val="24"/>
        </w:rPr>
        <w:t>工业耗水量指包括输水和生产过程中的蒸发损失量、产品带走的水量、厂区生活耗水量等，受工业行业、产品结构、产品产量、生产工艺、生产设备、节水水平、用水管理水平及水资源条件等诸多因素的影响。火电工业耗水率因间接冷却水运行方式（直流式、循环式）的差异、是否供热以及发电设备的先进与老化等差异直接影响火电的耗水率。六安境内火电厂均采用循环冷却方式。</w:t>
      </w:r>
    </w:p>
    <w:p>
      <w:pPr>
        <w:spacing w:line="360" w:lineRule="auto"/>
        <w:ind w:firstLine="480" w:firstLineChars="200"/>
        <w:rPr>
          <w:sz w:val="24"/>
        </w:rPr>
      </w:pPr>
      <w:r>
        <w:rPr>
          <w:sz w:val="24"/>
        </w:rPr>
        <w:t>2020年六安市工业耗水量0.55亿m</w:t>
      </w:r>
      <w:r>
        <w:rPr>
          <w:sz w:val="24"/>
          <w:vertAlign w:val="superscript"/>
        </w:rPr>
        <w:t>3</w:t>
      </w:r>
      <w:r>
        <w:rPr>
          <w:sz w:val="24"/>
        </w:rPr>
        <w:t>，平均耗水率28.5%，其中一般工业耗水量0.45亿m</w:t>
      </w:r>
      <w:r>
        <w:rPr>
          <w:sz w:val="24"/>
          <w:vertAlign w:val="superscript"/>
        </w:rPr>
        <w:t>3</w:t>
      </w:r>
      <w:r>
        <w:rPr>
          <w:sz w:val="24"/>
        </w:rPr>
        <w:t>，平均耗水率25.0%，占全市工业耗水量的81.9%；火电工业耗水量0.10亿m</w:t>
      </w:r>
      <w:r>
        <w:rPr>
          <w:sz w:val="24"/>
          <w:vertAlign w:val="superscript"/>
        </w:rPr>
        <w:t>3</w:t>
      </w:r>
      <w:r>
        <w:rPr>
          <w:sz w:val="24"/>
        </w:rPr>
        <w:t>，平均耗水率78.0%，占全市工业耗水量的18.1%。</w:t>
      </w:r>
    </w:p>
    <w:p>
      <w:pPr>
        <w:spacing w:line="360" w:lineRule="auto"/>
        <w:ind w:firstLine="480" w:firstLineChars="200"/>
        <w:rPr>
          <w:sz w:val="24"/>
        </w:rPr>
      </w:pPr>
      <w:r>
        <w:rPr>
          <w:sz w:val="24"/>
        </w:rPr>
        <w:t>2020年六安市行政分区工业耗水量见表3.2.12。</w:t>
      </w:r>
    </w:p>
    <w:p>
      <w:pPr>
        <w:spacing w:line="360" w:lineRule="auto"/>
        <w:ind w:firstLine="482" w:firstLineChars="200"/>
        <w:rPr>
          <w:b/>
          <w:sz w:val="24"/>
        </w:rPr>
      </w:pPr>
      <w:r>
        <w:rPr>
          <w:b/>
          <w:sz w:val="24"/>
        </w:rPr>
        <w:t>（四）生活耗水量</w:t>
      </w:r>
    </w:p>
    <w:p>
      <w:pPr>
        <w:spacing w:line="360" w:lineRule="auto"/>
        <w:ind w:firstLine="480" w:firstLineChars="200"/>
        <w:rPr>
          <w:sz w:val="24"/>
        </w:rPr>
      </w:pPr>
      <w:r>
        <w:rPr>
          <w:sz w:val="24"/>
        </w:rPr>
        <w:t>生活耗水量指包括输水损失在内的居民家庭和公共用水消耗的水量，分居民生活耗水量和城镇公共耗水量进行统计。生活耗水量不仅与居民生活习性、供水设施、排水设施有关，很大程度上与当地社会经济水平以及节水水平相关。</w:t>
      </w:r>
    </w:p>
    <w:p>
      <w:pPr>
        <w:spacing w:line="360" w:lineRule="auto"/>
        <w:ind w:firstLine="480" w:firstLineChars="200"/>
        <w:rPr>
          <w:sz w:val="24"/>
        </w:rPr>
      </w:pPr>
      <w:r>
        <w:rPr>
          <w:sz w:val="24"/>
        </w:rPr>
        <w:t>2020年六安市生活耗水量1.03亿m</w:t>
      </w:r>
      <w:r>
        <w:rPr>
          <w:sz w:val="24"/>
          <w:vertAlign w:val="superscript"/>
        </w:rPr>
        <w:t>3</w:t>
      </w:r>
      <w:r>
        <w:rPr>
          <w:sz w:val="24"/>
        </w:rPr>
        <w:t>，平均耗水率为43.1%，占全市耗水总量的7.7%。其中居民生活耗水量0.88亿m</w:t>
      </w:r>
      <w:r>
        <w:rPr>
          <w:sz w:val="24"/>
          <w:vertAlign w:val="superscript"/>
        </w:rPr>
        <w:t>3</w:t>
      </w:r>
      <w:r>
        <w:rPr>
          <w:sz w:val="24"/>
        </w:rPr>
        <w:t>，平均耗水率45.4%；城镇公共耗水量0.16亿m</w:t>
      </w:r>
      <w:r>
        <w:rPr>
          <w:sz w:val="24"/>
          <w:vertAlign w:val="superscript"/>
        </w:rPr>
        <w:t>3</w:t>
      </w:r>
      <w:r>
        <w:rPr>
          <w:sz w:val="24"/>
        </w:rPr>
        <w:t>，平均耗水率33.6%。</w:t>
      </w:r>
    </w:p>
    <w:p>
      <w:pPr>
        <w:spacing w:line="360" w:lineRule="auto"/>
        <w:ind w:firstLine="480" w:firstLineChars="200"/>
        <w:rPr>
          <w:sz w:val="24"/>
        </w:rPr>
      </w:pPr>
      <w:r>
        <w:rPr>
          <w:sz w:val="24"/>
        </w:rPr>
        <w:t>2020年六安市行政分区生活耗水量见表3.2.13。</w:t>
      </w:r>
    </w:p>
    <w:p>
      <w:pPr>
        <w:spacing w:line="360" w:lineRule="auto"/>
        <w:jc w:val="center"/>
        <w:rPr>
          <w:b/>
          <w:sz w:val="24"/>
        </w:rPr>
      </w:pPr>
      <w:r>
        <w:rPr>
          <w:b/>
          <w:sz w:val="24"/>
        </w:rPr>
        <w:t>表3.2.12  2020年六安市行政分区工业耗水量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火电工业</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一般工业</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工业耗水小计</w:t>
            </w:r>
          </w:p>
        </w:tc>
      </w:tr>
      <w:tr>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0.00 </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0.15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25.1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0.15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25.1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0.09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77.9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26.2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0.12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53.6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0.01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78.2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25.3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30.6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26.5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26.5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0.002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79.3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0.09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25.0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0.09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25.4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23.4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23.4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0.00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0.07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24.2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0.07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24.2 </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0.10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78.0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0.45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25.0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0.55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28.5 </w:t>
            </w:r>
          </w:p>
        </w:tc>
      </w:tr>
    </w:tbl>
    <w:p>
      <w:pPr>
        <w:spacing w:line="360" w:lineRule="auto"/>
        <w:jc w:val="center"/>
        <w:rPr>
          <w:b/>
          <w:sz w:val="24"/>
        </w:rPr>
      </w:pPr>
      <w:r>
        <w:rPr>
          <w:b/>
          <w:sz w:val="24"/>
        </w:rPr>
        <w:t>表3.2.13  2020年六安市行政分区生活耗水量</w:t>
      </w:r>
    </w:p>
    <w:tbl>
      <w:tblPr>
        <w:tblStyle w:val="36"/>
        <w:tblW w:w="8130" w:type="dxa"/>
        <w:jc w:val="center"/>
        <w:tblLayout w:type="fixed"/>
        <w:tblCellMar>
          <w:top w:w="0" w:type="dxa"/>
          <w:left w:w="108" w:type="dxa"/>
          <w:bottom w:w="0" w:type="dxa"/>
          <w:right w:w="108" w:type="dxa"/>
        </w:tblCellMar>
      </w:tblPr>
      <w:tblGrid>
        <w:gridCol w:w="1162"/>
        <w:gridCol w:w="1162"/>
        <w:gridCol w:w="1162"/>
        <w:gridCol w:w="1161"/>
        <w:gridCol w:w="1161"/>
        <w:gridCol w:w="1161"/>
        <w:gridCol w:w="1161"/>
      </w:tblGrid>
      <w:tr>
        <w:tblPrEx>
          <w:tblCellMar>
            <w:top w:w="0" w:type="dxa"/>
            <w:left w:w="108" w:type="dxa"/>
            <w:bottom w:w="0" w:type="dxa"/>
            <w:right w:w="108" w:type="dxa"/>
          </w:tblCellMar>
        </w:tblPrEx>
        <w:trPr>
          <w:trHeight w:val="340" w:hRule="atLeast"/>
          <w:jc w:val="center"/>
        </w:trPr>
        <w:tc>
          <w:tcPr>
            <w:tcW w:w="11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行政分区</w:t>
            </w:r>
          </w:p>
        </w:tc>
        <w:tc>
          <w:tcPr>
            <w:tcW w:w="232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居民生活</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城镇公共</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生活耗水小计</w:t>
            </w:r>
          </w:p>
        </w:tc>
      </w:tr>
      <w:tr>
        <w:tblPrEx>
          <w:tblCellMar>
            <w:top w:w="0" w:type="dxa"/>
            <w:left w:w="108" w:type="dxa"/>
            <w:bottom w:w="0" w:type="dxa"/>
            <w:right w:w="108" w:type="dxa"/>
          </w:tblCellMar>
        </w:tblPrEx>
        <w:trPr>
          <w:trHeight w:val="340" w:hRule="atLeast"/>
          <w:jc w:val="center"/>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耗水量（亿m</w:t>
            </w:r>
            <w:r>
              <w:rPr>
                <w:kern w:val="0"/>
                <w:sz w:val="18"/>
                <w:szCs w:val="18"/>
                <w:vertAlign w:val="superscript"/>
              </w:rPr>
              <w:t>3</w:t>
            </w:r>
            <w:r>
              <w:rPr>
                <w:kern w:val="0"/>
                <w:sz w:val="18"/>
                <w:szCs w:val="18"/>
              </w:rPr>
              <w:t>）</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耗水率（%）</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金安区</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0.15 </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39.9</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0.04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34.0</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0.19 </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38.5</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裕安区</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0.19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45.4</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29.1</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0.23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41.4</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叶集区</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0.04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47.8</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51.0</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0.06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48.6</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霍邱县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0.20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53.7</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25.8</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0.21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51.2</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舒城县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0.13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43.7</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0.02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28.2</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41.0</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金寨县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0.11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48.2</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49.7</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0.14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48.5</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霍山县</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0.05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35.1</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0.01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24.6</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0.05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33.1</w:t>
            </w:r>
          </w:p>
        </w:tc>
      </w:tr>
      <w:tr>
        <w:tblPrEx>
          <w:tblCellMar>
            <w:top w:w="0" w:type="dxa"/>
            <w:left w:w="108" w:type="dxa"/>
            <w:bottom w:w="0" w:type="dxa"/>
            <w:right w:w="108" w:type="dxa"/>
          </w:tblCellMar>
        </w:tblPrEx>
        <w:trPr>
          <w:trHeight w:val="340"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全  市</w:t>
            </w:r>
          </w:p>
        </w:tc>
        <w:tc>
          <w:tcPr>
            <w:tcW w:w="11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0.88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45.4</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0.16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33.6</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 xml:space="preserve">1.03 </w:t>
            </w:r>
          </w:p>
        </w:tc>
        <w:tc>
          <w:tcPr>
            <w:tcW w:w="116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rFonts w:hint="eastAsia"/>
                <w:sz w:val="18"/>
                <w:szCs w:val="18"/>
              </w:rPr>
              <w:t>43.1</w:t>
            </w:r>
          </w:p>
        </w:tc>
      </w:tr>
    </w:tbl>
    <w:p>
      <w:pPr>
        <w:pStyle w:val="4"/>
        <w:spacing w:before="156" w:beforeLines="50" w:after="156" w:afterLines="50"/>
        <w:rPr>
          <w:sz w:val="28"/>
        </w:rPr>
      </w:pPr>
      <w:bookmarkStart w:id="232" w:name="_Toc382472208"/>
      <w:bookmarkStart w:id="233" w:name="_Toc95382471"/>
      <w:bookmarkStart w:id="234" w:name="_Toc432782536"/>
      <w:r>
        <w:rPr>
          <w:rFonts w:hint="eastAsia"/>
          <w:sz w:val="28"/>
        </w:rPr>
        <w:t>五</w:t>
      </w:r>
      <w:r>
        <w:rPr>
          <w:sz w:val="28"/>
        </w:rPr>
        <w:t>、用水指标及其分析评价</w:t>
      </w:r>
      <w:bookmarkEnd w:id="232"/>
      <w:bookmarkEnd w:id="233"/>
      <w:bookmarkEnd w:id="234"/>
    </w:p>
    <w:p>
      <w:pPr>
        <w:spacing w:line="360" w:lineRule="auto"/>
        <w:ind w:firstLine="482" w:firstLineChars="200"/>
        <w:rPr>
          <w:b/>
          <w:sz w:val="24"/>
        </w:rPr>
      </w:pPr>
      <w:r>
        <w:rPr>
          <w:b/>
          <w:sz w:val="24"/>
        </w:rPr>
        <w:t>（一）综合用水水平</w:t>
      </w:r>
    </w:p>
    <w:p>
      <w:pPr>
        <w:spacing w:line="360" w:lineRule="auto"/>
        <w:ind w:firstLine="480" w:firstLineChars="200"/>
        <w:rPr>
          <w:sz w:val="24"/>
        </w:rPr>
      </w:pPr>
      <w:r>
        <w:rPr>
          <w:sz w:val="24"/>
        </w:rPr>
        <w:t>2020年六安市人均用水量为506.7 m</w:t>
      </w:r>
      <w:r>
        <w:rPr>
          <w:sz w:val="24"/>
          <w:vertAlign w:val="superscript"/>
        </w:rPr>
        <w:t>3</w:t>
      </w:r>
      <w:r>
        <w:rPr>
          <w:sz w:val="24"/>
        </w:rPr>
        <w:t>/人，高于全省439.6 m</w:t>
      </w:r>
      <w:r>
        <w:rPr>
          <w:sz w:val="24"/>
          <w:vertAlign w:val="superscript"/>
        </w:rPr>
        <w:t>3</w:t>
      </w:r>
      <w:r>
        <w:rPr>
          <w:sz w:val="24"/>
        </w:rPr>
        <w:t>/人的平均水平。其中淮河、长江流域人均用水量分别为509.0 m</w:t>
      </w:r>
      <w:r>
        <w:rPr>
          <w:sz w:val="24"/>
          <w:vertAlign w:val="superscript"/>
        </w:rPr>
        <w:t>3</w:t>
      </w:r>
      <w:r>
        <w:rPr>
          <w:sz w:val="24"/>
        </w:rPr>
        <w:t>/人、498.9 m</w:t>
      </w:r>
      <w:r>
        <w:rPr>
          <w:sz w:val="24"/>
          <w:vertAlign w:val="superscript"/>
        </w:rPr>
        <w:t>3</w:t>
      </w:r>
      <w:r>
        <w:rPr>
          <w:sz w:val="24"/>
        </w:rPr>
        <w:t>/人。全市单位GDP用水量133.3 m</w:t>
      </w:r>
      <w:r>
        <w:rPr>
          <w:sz w:val="24"/>
          <w:vertAlign w:val="superscript"/>
        </w:rPr>
        <w:t>3</w:t>
      </w:r>
      <w:r>
        <w:rPr>
          <w:sz w:val="24"/>
        </w:rPr>
        <w:t>/万元，高于全省69.4 m</w:t>
      </w:r>
      <w:r>
        <w:rPr>
          <w:sz w:val="24"/>
          <w:vertAlign w:val="superscript"/>
        </w:rPr>
        <w:t>3</w:t>
      </w:r>
      <w:r>
        <w:rPr>
          <w:sz w:val="24"/>
        </w:rPr>
        <w:t>/万元的平均水平。其中淮河、长江流域单位GDP用水量分别为137.8 m</w:t>
      </w:r>
      <w:r>
        <w:rPr>
          <w:sz w:val="24"/>
          <w:vertAlign w:val="superscript"/>
        </w:rPr>
        <w:t>3</w:t>
      </w:r>
      <w:r>
        <w:rPr>
          <w:sz w:val="24"/>
        </w:rPr>
        <w:t>/万元、120.0 m</w:t>
      </w:r>
      <w:r>
        <w:rPr>
          <w:sz w:val="24"/>
          <w:vertAlign w:val="superscript"/>
        </w:rPr>
        <w:t>3</w:t>
      </w:r>
      <w:r>
        <w:rPr>
          <w:sz w:val="24"/>
        </w:rPr>
        <w:t>/万元。</w:t>
      </w:r>
    </w:p>
    <w:p>
      <w:pPr>
        <w:spacing w:line="360" w:lineRule="auto"/>
        <w:ind w:firstLine="482" w:firstLineChars="200"/>
        <w:rPr>
          <w:b/>
          <w:sz w:val="24"/>
        </w:rPr>
      </w:pPr>
      <w:r>
        <w:rPr>
          <w:b/>
          <w:sz w:val="24"/>
        </w:rPr>
        <w:t>（二）生活用水水平</w:t>
      </w:r>
    </w:p>
    <w:p>
      <w:pPr>
        <w:spacing w:line="360" w:lineRule="auto"/>
        <w:ind w:firstLine="480" w:firstLineChars="200"/>
        <w:rPr>
          <w:sz w:val="24"/>
        </w:rPr>
      </w:pPr>
      <w:r>
        <w:rPr>
          <w:sz w:val="24"/>
        </w:rPr>
        <w:t>生活用水指标包括城镇生活用水指标和农村生活用水指标，在一定程度上反映该地区居民生活水平高低和经济发达程度。</w:t>
      </w:r>
    </w:p>
    <w:p>
      <w:pPr>
        <w:spacing w:line="360" w:lineRule="auto"/>
        <w:ind w:firstLine="480" w:firstLineChars="200"/>
        <w:rPr>
          <w:sz w:val="24"/>
        </w:rPr>
      </w:pPr>
      <w:r>
        <w:rPr>
          <w:sz w:val="24"/>
        </w:rPr>
        <w:t>2020年六安市城镇居民人均生活用水量133.4 L/（人·日），</w:t>
      </w:r>
      <w:r>
        <w:rPr>
          <w:rFonts w:hint="eastAsia"/>
          <w:sz w:val="24"/>
        </w:rPr>
        <w:t>高于</w:t>
      </w:r>
      <w:r>
        <w:rPr>
          <w:sz w:val="24"/>
        </w:rPr>
        <w:t>全省127.0 L/人·日的平均水平。全市农村居民人均用水量106.9 L/人·日，与全省平均水平相差不大。</w:t>
      </w:r>
    </w:p>
    <w:p>
      <w:pPr>
        <w:spacing w:line="360" w:lineRule="auto"/>
        <w:ind w:firstLine="482" w:firstLineChars="200"/>
        <w:rPr>
          <w:b/>
          <w:sz w:val="24"/>
        </w:rPr>
      </w:pPr>
      <w:r>
        <w:rPr>
          <w:b/>
          <w:sz w:val="24"/>
        </w:rPr>
        <w:t>（三）工业用水水平</w:t>
      </w:r>
    </w:p>
    <w:p>
      <w:pPr>
        <w:spacing w:line="360" w:lineRule="auto"/>
        <w:ind w:firstLine="480" w:firstLineChars="200"/>
        <w:rPr>
          <w:sz w:val="24"/>
        </w:rPr>
      </w:pPr>
      <w:r>
        <w:rPr>
          <w:sz w:val="24"/>
        </w:rPr>
        <w:t>工业用水水平分为火电用水水平、一般工业用水水平和全部工业用水水平。火电用水指标以单位装机用水量表示；一般工业单位用水指标以单位工业增加值的用水量表示；全部工业单位用水指标以单位工业增加值的用水量表示。</w:t>
      </w:r>
    </w:p>
    <w:p>
      <w:pPr>
        <w:spacing w:line="360" w:lineRule="auto"/>
        <w:ind w:firstLine="480" w:firstLineChars="200"/>
        <w:rPr>
          <w:sz w:val="24"/>
        </w:rPr>
      </w:pPr>
      <w:r>
        <w:rPr>
          <w:sz w:val="24"/>
        </w:rPr>
        <w:t>六安市2020年火电由于采用闭路循环冷却方式，其单位装机用水量为7.5 m</w:t>
      </w:r>
      <w:r>
        <w:rPr>
          <w:sz w:val="24"/>
          <w:vertAlign w:val="superscript"/>
        </w:rPr>
        <w:t>3</w:t>
      </w:r>
      <w:r>
        <w:rPr>
          <w:sz w:val="24"/>
        </w:rPr>
        <w:t>/kw。2020年六安市一般工业的单位增加值用水量为43.4 m</w:t>
      </w:r>
      <w:r>
        <w:rPr>
          <w:sz w:val="24"/>
          <w:vertAlign w:val="superscript"/>
        </w:rPr>
        <w:t>3</w:t>
      </w:r>
      <w:r>
        <w:rPr>
          <w:sz w:val="24"/>
        </w:rPr>
        <w:t>/万元，高于全省25.7 m</w:t>
      </w:r>
      <w:r>
        <w:rPr>
          <w:sz w:val="24"/>
          <w:vertAlign w:val="superscript"/>
        </w:rPr>
        <w:t>3</w:t>
      </w:r>
      <w:r>
        <w:rPr>
          <w:sz w:val="24"/>
        </w:rPr>
        <w:t>/万元的平均水平。2020年六安市全部工业的单位增加值用水量为45.2 m</w:t>
      </w:r>
      <w:r>
        <w:rPr>
          <w:sz w:val="24"/>
          <w:vertAlign w:val="superscript"/>
        </w:rPr>
        <w:t>3</w:t>
      </w:r>
      <w:r>
        <w:rPr>
          <w:sz w:val="24"/>
        </w:rPr>
        <w:t>/万元，低于全省68.9 m</w:t>
      </w:r>
      <w:r>
        <w:rPr>
          <w:sz w:val="24"/>
          <w:vertAlign w:val="superscript"/>
        </w:rPr>
        <w:t>3</w:t>
      </w:r>
      <w:r>
        <w:rPr>
          <w:sz w:val="24"/>
        </w:rPr>
        <w:t>/万元的平均水平。</w:t>
      </w:r>
    </w:p>
    <w:p>
      <w:pPr>
        <w:spacing w:line="360" w:lineRule="auto"/>
        <w:ind w:firstLine="482" w:firstLineChars="200"/>
        <w:rPr>
          <w:b/>
          <w:sz w:val="24"/>
        </w:rPr>
      </w:pPr>
      <w:r>
        <w:rPr>
          <w:b/>
          <w:sz w:val="24"/>
        </w:rPr>
        <w:t>（四）农业用水水平</w:t>
      </w:r>
    </w:p>
    <w:p>
      <w:pPr>
        <w:spacing w:line="360" w:lineRule="auto"/>
        <w:ind w:firstLine="480" w:firstLineChars="200"/>
        <w:rPr>
          <w:sz w:val="24"/>
        </w:rPr>
      </w:pPr>
      <w:r>
        <w:rPr>
          <w:sz w:val="24"/>
        </w:rPr>
        <w:t>农业用水指标统一用亩均用水量表示，按农田灌溉、林果灌溉、鱼塘补水和牲畜用水分别计算。农田灌溉亩均用水量按农田亩均实灌综合用水量、水田、水浇地和菜田亩均实灌用水量分别计算，表示地区农业灌溉水平。</w:t>
      </w:r>
    </w:p>
    <w:p>
      <w:pPr>
        <w:spacing w:line="360" w:lineRule="auto"/>
        <w:ind w:firstLine="480" w:firstLineChars="200"/>
        <w:rPr>
          <w:sz w:val="24"/>
        </w:rPr>
      </w:pPr>
      <w:r>
        <w:rPr>
          <w:sz w:val="24"/>
        </w:rPr>
        <w:t>2020年六安市</w:t>
      </w:r>
      <w:r>
        <w:rPr>
          <w:rFonts w:hint="eastAsia"/>
          <w:sz w:val="24"/>
        </w:rPr>
        <w:t>耕地</w:t>
      </w:r>
      <w:r>
        <w:rPr>
          <w:sz w:val="24"/>
        </w:rPr>
        <w:t>亩均实际灌溉综合用水量321.1 m</w:t>
      </w:r>
      <w:r>
        <w:rPr>
          <w:sz w:val="24"/>
          <w:vertAlign w:val="superscript"/>
        </w:rPr>
        <w:t>3</w:t>
      </w:r>
      <w:r>
        <w:rPr>
          <w:sz w:val="24"/>
        </w:rPr>
        <w:t>/亩。亩均实灌用水指标的高低不仅与作物生长期有效降雨密切相关，而且与当地灌溉制度、节水措施密切相关。2020年六安市林果灌溉用水148.3 m</w:t>
      </w:r>
      <w:r>
        <w:rPr>
          <w:sz w:val="24"/>
          <w:vertAlign w:val="superscript"/>
        </w:rPr>
        <w:t>3</w:t>
      </w:r>
      <w:r>
        <w:rPr>
          <w:sz w:val="24"/>
        </w:rPr>
        <w:t>/亩，鱼塘亩均实际补水量为154.2 m</w:t>
      </w:r>
      <w:r>
        <w:rPr>
          <w:sz w:val="24"/>
          <w:vertAlign w:val="superscript"/>
        </w:rPr>
        <w:t>3</w:t>
      </w:r>
      <w:r>
        <w:rPr>
          <w:sz w:val="24"/>
        </w:rPr>
        <w:t>/亩。全市大牲畜用水指标为70.2 L/头·日，小牲畜用水指标为17.9 L/头·日。</w:t>
      </w:r>
    </w:p>
    <w:p>
      <w:pPr>
        <w:spacing w:line="360" w:lineRule="auto"/>
        <w:ind w:firstLine="480" w:firstLineChars="200"/>
        <w:rPr>
          <w:sz w:val="24"/>
        </w:rPr>
      </w:pPr>
      <w:r>
        <w:rPr>
          <w:sz w:val="24"/>
        </w:rPr>
        <w:t>2020年六安市行政分区用水指标见表3.2.14；流域分区用水指标见表3.2.15。</w:t>
      </w:r>
    </w:p>
    <w:p>
      <w:pPr>
        <w:spacing w:line="360" w:lineRule="auto"/>
        <w:jc w:val="center"/>
        <w:rPr>
          <w:b/>
          <w:sz w:val="24"/>
        </w:rPr>
      </w:pPr>
      <w:r>
        <w:rPr>
          <w:b/>
          <w:sz w:val="24"/>
        </w:rPr>
        <w:t>表3.2.14  2020年六安市行政分区主要用水指标</w:t>
      </w:r>
    </w:p>
    <w:tbl>
      <w:tblPr>
        <w:tblStyle w:val="36"/>
        <w:tblW w:w="8296" w:type="dxa"/>
        <w:jc w:val="center"/>
        <w:tblLayout w:type="fixed"/>
        <w:tblCellMar>
          <w:top w:w="0" w:type="dxa"/>
          <w:left w:w="108" w:type="dxa"/>
          <w:bottom w:w="0" w:type="dxa"/>
          <w:right w:w="108" w:type="dxa"/>
        </w:tblCellMar>
      </w:tblPr>
      <w:tblGrid>
        <w:gridCol w:w="852"/>
        <w:gridCol w:w="1042"/>
        <w:gridCol w:w="1183"/>
        <w:gridCol w:w="1332"/>
        <w:gridCol w:w="1183"/>
        <w:gridCol w:w="1352"/>
        <w:gridCol w:w="1352"/>
      </w:tblGrid>
      <w:tr>
        <w:tblPrEx>
          <w:tblCellMar>
            <w:top w:w="0" w:type="dxa"/>
            <w:left w:w="108" w:type="dxa"/>
            <w:bottom w:w="0" w:type="dxa"/>
            <w:right w:w="108" w:type="dxa"/>
          </w:tblCellMar>
        </w:tblPrEx>
        <w:trPr>
          <w:trHeight w:val="34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行政分区</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3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城镇居民人均生活用水量（L/(人.d)）</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农村居民人均生活用水量（L/(人.d)）</w:t>
            </w:r>
          </w:p>
        </w:tc>
      </w:tr>
      <w:tr>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金安区</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540.1 </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110.4 </w:t>
            </w:r>
          </w:p>
        </w:tc>
        <w:tc>
          <w:tcPr>
            <w:tcW w:w="13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49.9 </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348.2 </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134.5 </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106.1 </w:t>
            </w:r>
          </w:p>
        </w:tc>
      </w:tr>
      <w:tr>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裕安区</w:t>
            </w:r>
          </w:p>
        </w:tc>
        <w:tc>
          <w:tcPr>
            <w:tcW w:w="104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348.8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108.2 </w:t>
            </w:r>
          </w:p>
        </w:tc>
        <w:tc>
          <w:tcPr>
            <w:tcW w:w="13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45.8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282.5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139.6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113.8 </w:t>
            </w:r>
          </w:p>
        </w:tc>
      </w:tr>
      <w:tr>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叶集区</w:t>
            </w:r>
          </w:p>
        </w:tc>
        <w:tc>
          <w:tcPr>
            <w:tcW w:w="104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492.7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154.0 </w:t>
            </w:r>
          </w:p>
        </w:tc>
        <w:tc>
          <w:tcPr>
            <w:tcW w:w="13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45.9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317.6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112.9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111.8 </w:t>
            </w:r>
          </w:p>
        </w:tc>
      </w:tr>
      <w:tr>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霍邱县</w:t>
            </w:r>
          </w:p>
        </w:tc>
        <w:tc>
          <w:tcPr>
            <w:tcW w:w="104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759.4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315.3 </w:t>
            </w:r>
          </w:p>
        </w:tc>
        <w:tc>
          <w:tcPr>
            <w:tcW w:w="13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39.9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317.9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115.6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106.8 </w:t>
            </w:r>
          </w:p>
        </w:tc>
      </w:tr>
      <w:tr>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舒城县</w:t>
            </w:r>
          </w:p>
        </w:tc>
        <w:tc>
          <w:tcPr>
            <w:tcW w:w="104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508.7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115.7 </w:t>
            </w:r>
          </w:p>
        </w:tc>
        <w:tc>
          <w:tcPr>
            <w:tcW w:w="13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40.1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387.7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142.9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93.7 </w:t>
            </w:r>
          </w:p>
        </w:tc>
      </w:tr>
      <w:tr>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金寨县</w:t>
            </w:r>
          </w:p>
        </w:tc>
        <w:tc>
          <w:tcPr>
            <w:tcW w:w="104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302.5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76.3 </w:t>
            </w:r>
          </w:p>
        </w:tc>
        <w:tc>
          <w:tcPr>
            <w:tcW w:w="13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39.8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267.4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138.0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114.4 </w:t>
            </w:r>
          </w:p>
        </w:tc>
      </w:tr>
      <w:tr>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霍山县</w:t>
            </w:r>
          </w:p>
        </w:tc>
        <w:tc>
          <w:tcPr>
            <w:tcW w:w="104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445.0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76.6 </w:t>
            </w:r>
          </w:p>
        </w:tc>
        <w:tc>
          <w:tcPr>
            <w:tcW w:w="13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51.5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271.6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136.8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101.4 </w:t>
            </w:r>
          </w:p>
        </w:tc>
      </w:tr>
      <w:tr>
        <w:tblPrEx>
          <w:tblCellMar>
            <w:top w:w="0" w:type="dxa"/>
            <w:left w:w="108" w:type="dxa"/>
            <w:bottom w:w="0" w:type="dxa"/>
            <w:right w:w="108" w:type="dxa"/>
          </w:tblCellMar>
        </w:tblPrEx>
        <w:trPr>
          <w:trHeight w:val="340"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color w:val="000000"/>
                <w:kern w:val="0"/>
                <w:sz w:val="18"/>
                <w:szCs w:val="18"/>
              </w:rPr>
              <w:t>全  市</w:t>
            </w:r>
          </w:p>
        </w:tc>
        <w:tc>
          <w:tcPr>
            <w:tcW w:w="104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506.7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133.3 </w:t>
            </w:r>
          </w:p>
        </w:tc>
        <w:tc>
          <w:tcPr>
            <w:tcW w:w="133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45.2 </w:t>
            </w:r>
          </w:p>
        </w:tc>
        <w:tc>
          <w:tcPr>
            <w:tcW w:w="11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321.1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133.4 </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106.9 </w:t>
            </w:r>
          </w:p>
        </w:tc>
      </w:tr>
    </w:tbl>
    <w:p>
      <w:pPr>
        <w:spacing w:line="360" w:lineRule="auto"/>
        <w:jc w:val="center"/>
        <w:rPr>
          <w:b/>
          <w:sz w:val="24"/>
        </w:rPr>
      </w:pPr>
      <w:r>
        <w:rPr>
          <w:b/>
          <w:sz w:val="24"/>
        </w:rPr>
        <w:t>表3.2.15  2020年六安市流域分区主要用水指标</w:t>
      </w:r>
    </w:p>
    <w:tbl>
      <w:tblPr>
        <w:tblStyle w:val="36"/>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57"/>
        <w:gridCol w:w="996"/>
        <w:gridCol w:w="1134"/>
        <w:gridCol w:w="1290"/>
        <w:gridCol w:w="1038"/>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shd w:val="clear" w:color="auto" w:fill="auto"/>
            <w:vAlign w:val="center"/>
          </w:tcPr>
          <w:p>
            <w:pPr>
              <w:widowControl/>
              <w:spacing w:line="240" w:lineRule="exact"/>
              <w:jc w:val="center"/>
              <w:rPr>
                <w:kern w:val="0"/>
                <w:sz w:val="18"/>
                <w:szCs w:val="18"/>
              </w:rPr>
            </w:pPr>
            <w:r>
              <w:rPr>
                <w:kern w:val="0"/>
                <w:sz w:val="18"/>
                <w:szCs w:val="18"/>
              </w:rPr>
              <w:t>一级区</w:t>
            </w:r>
          </w:p>
        </w:tc>
        <w:tc>
          <w:tcPr>
            <w:tcW w:w="857" w:type="dxa"/>
            <w:shd w:val="clear" w:color="auto" w:fill="auto"/>
            <w:vAlign w:val="center"/>
          </w:tcPr>
          <w:p>
            <w:pPr>
              <w:widowControl/>
              <w:spacing w:line="240" w:lineRule="exact"/>
              <w:jc w:val="center"/>
              <w:rPr>
                <w:kern w:val="0"/>
                <w:sz w:val="18"/>
                <w:szCs w:val="18"/>
              </w:rPr>
            </w:pPr>
            <w:r>
              <w:rPr>
                <w:kern w:val="0"/>
                <w:sz w:val="18"/>
                <w:szCs w:val="18"/>
              </w:rPr>
              <w:t>四级区</w:t>
            </w:r>
          </w:p>
        </w:tc>
        <w:tc>
          <w:tcPr>
            <w:tcW w:w="996" w:type="dxa"/>
            <w:shd w:val="clear" w:color="auto" w:fill="auto"/>
            <w:vAlign w:val="center"/>
          </w:tcPr>
          <w:p>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134" w:type="dxa"/>
            <w:shd w:val="clear" w:color="auto" w:fill="auto"/>
            <w:vAlign w:val="center"/>
          </w:tcPr>
          <w:p>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290" w:type="dxa"/>
            <w:shd w:val="clear" w:color="auto" w:fill="auto"/>
            <w:vAlign w:val="center"/>
          </w:tcPr>
          <w:p>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038"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c>
          <w:tcPr>
            <w:tcW w:w="1296"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城镇居民人均生活用水量（L/(人.d)）</w:t>
            </w:r>
          </w:p>
        </w:tc>
        <w:tc>
          <w:tcPr>
            <w:tcW w:w="1296"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农村居民人均生活用水量（L/(人.d)）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restart"/>
            <w:shd w:val="clear" w:color="auto" w:fill="auto"/>
            <w:vAlign w:val="center"/>
          </w:tcPr>
          <w:p>
            <w:pPr>
              <w:widowControl/>
              <w:spacing w:line="240" w:lineRule="exact"/>
              <w:jc w:val="center"/>
              <w:rPr>
                <w:kern w:val="0"/>
                <w:sz w:val="18"/>
                <w:szCs w:val="18"/>
              </w:rPr>
            </w:pPr>
            <w:r>
              <w:rPr>
                <w:kern w:val="0"/>
                <w:sz w:val="18"/>
                <w:szCs w:val="18"/>
              </w:rPr>
              <w:t>淮河</w:t>
            </w:r>
          </w:p>
        </w:tc>
        <w:tc>
          <w:tcPr>
            <w:tcW w:w="857" w:type="dxa"/>
            <w:shd w:val="clear" w:color="auto" w:fill="auto"/>
            <w:vAlign w:val="center"/>
          </w:tcPr>
          <w:p>
            <w:pPr>
              <w:widowControl/>
              <w:spacing w:line="240" w:lineRule="exact"/>
              <w:jc w:val="center"/>
              <w:rPr>
                <w:kern w:val="0"/>
                <w:sz w:val="18"/>
                <w:szCs w:val="18"/>
              </w:rPr>
            </w:pPr>
            <w:r>
              <w:rPr>
                <w:kern w:val="0"/>
                <w:sz w:val="18"/>
                <w:szCs w:val="18"/>
              </w:rPr>
              <w:t>淠史河上游区</w:t>
            </w:r>
          </w:p>
        </w:tc>
        <w:tc>
          <w:tcPr>
            <w:tcW w:w="9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366.9 </w:t>
            </w:r>
          </w:p>
        </w:tc>
        <w:tc>
          <w:tcPr>
            <w:tcW w:w="1134"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100.7 </w:t>
            </w:r>
          </w:p>
        </w:tc>
        <w:tc>
          <w:tcPr>
            <w:tcW w:w="1290"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47.8 </w:t>
            </w:r>
          </w:p>
        </w:tc>
        <w:tc>
          <w:tcPr>
            <w:tcW w:w="1038"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271.4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137.4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continue"/>
            <w:vAlign w:val="center"/>
          </w:tcPr>
          <w:p>
            <w:pPr>
              <w:widowControl/>
              <w:spacing w:line="240" w:lineRule="exact"/>
              <w:jc w:val="left"/>
              <w:rPr>
                <w:kern w:val="0"/>
                <w:sz w:val="18"/>
                <w:szCs w:val="18"/>
              </w:rPr>
            </w:pPr>
          </w:p>
        </w:tc>
        <w:tc>
          <w:tcPr>
            <w:tcW w:w="857" w:type="dxa"/>
            <w:shd w:val="clear" w:color="auto" w:fill="auto"/>
            <w:vAlign w:val="center"/>
          </w:tcPr>
          <w:p>
            <w:pPr>
              <w:widowControl/>
              <w:spacing w:line="240" w:lineRule="exact"/>
              <w:jc w:val="center"/>
              <w:rPr>
                <w:kern w:val="0"/>
                <w:sz w:val="18"/>
                <w:szCs w:val="18"/>
              </w:rPr>
            </w:pPr>
            <w:r>
              <w:rPr>
                <w:kern w:val="0"/>
                <w:sz w:val="18"/>
                <w:szCs w:val="18"/>
              </w:rPr>
              <w:t>王蚌南岸沿淮区</w:t>
            </w:r>
          </w:p>
        </w:tc>
        <w:tc>
          <w:tcPr>
            <w:tcW w:w="9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551.2 </w:t>
            </w:r>
          </w:p>
        </w:tc>
        <w:tc>
          <w:tcPr>
            <w:tcW w:w="1134"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148.6 </w:t>
            </w:r>
          </w:p>
        </w:tc>
        <w:tc>
          <w:tcPr>
            <w:tcW w:w="1290"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44.8 </w:t>
            </w:r>
          </w:p>
        </w:tc>
        <w:tc>
          <w:tcPr>
            <w:tcW w:w="1038"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323.9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132.8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vMerge w:val="continue"/>
            <w:vAlign w:val="center"/>
          </w:tcPr>
          <w:p>
            <w:pPr>
              <w:widowControl/>
              <w:spacing w:line="240" w:lineRule="exact"/>
              <w:jc w:val="left"/>
              <w:rPr>
                <w:kern w:val="0"/>
                <w:sz w:val="18"/>
                <w:szCs w:val="18"/>
              </w:rPr>
            </w:pPr>
          </w:p>
        </w:tc>
        <w:tc>
          <w:tcPr>
            <w:tcW w:w="857" w:type="dxa"/>
            <w:shd w:val="clear" w:color="auto" w:fill="auto"/>
            <w:vAlign w:val="center"/>
          </w:tcPr>
          <w:p>
            <w:pPr>
              <w:widowControl/>
              <w:spacing w:line="240" w:lineRule="exact"/>
              <w:jc w:val="center"/>
              <w:rPr>
                <w:kern w:val="0"/>
                <w:sz w:val="18"/>
                <w:szCs w:val="18"/>
              </w:rPr>
            </w:pPr>
            <w:r>
              <w:rPr>
                <w:kern w:val="0"/>
                <w:sz w:val="18"/>
                <w:szCs w:val="18"/>
              </w:rPr>
              <w:t>小计</w:t>
            </w:r>
          </w:p>
        </w:tc>
        <w:tc>
          <w:tcPr>
            <w:tcW w:w="9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509.0 </w:t>
            </w:r>
          </w:p>
        </w:tc>
        <w:tc>
          <w:tcPr>
            <w:tcW w:w="1134"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137.8 </w:t>
            </w:r>
          </w:p>
        </w:tc>
        <w:tc>
          <w:tcPr>
            <w:tcW w:w="1290"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45.5 </w:t>
            </w:r>
          </w:p>
        </w:tc>
        <w:tc>
          <w:tcPr>
            <w:tcW w:w="1038"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315.2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133.8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8" w:type="dxa"/>
            <w:shd w:val="clear" w:color="auto" w:fill="auto"/>
            <w:vAlign w:val="center"/>
          </w:tcPr>
          <w:p>
            <w:pPr>
              <w:widowControl/>
              <w:spacing w:line="240" w:lineRule="exact"/>
              <w:jc w:val="center"/>
              <w:rPr>
                <w:kern w:val="0"/>
                <w:sz w:val="18"/>
                <w:szCs w:val="18"/>
              </w:rPr>
            </w:pPr>
            <w:r>
              <w:rPr>
                <w:kern w:val="0"/>
                <w:sz w:val="18"/>
                <w:szCs w:val="18"/>
              </w:rPr>
              <w:t>长江</w:t>
            </w:r>
          </w:p>
        </w:tc>
        <w:tc>
          <w:tcPr>
            <w:tcW w:w="857" w:type="dxa"/>
            <w:shd w:val="clear" w:color="auto" w:fill="auto"/>
            <w:vAlign w:val="center"/>
          </w:tcPr>
          <w:p>
            <w:pPr>
              <w:widowControl/>
              <w:spacing w:line="240" w:lineRule="exact"/>
              <w:jc w:val="center"/>
              <w:rPr>
                <w:kern w:val="0"/>
                <w:sz w:val="18"/>
                <w:szCs w:val="18"/>
              </w:rPr>
            </w:pPr>
            <w:r>
              <w:rPr>
                <w:kern w:val="0"/>
                <w:sz w:val="18"/>
                <w:szCs w:val="18"/>
              </w:rPr>
              <w:t>杭埠河区</w:t>
            </w:r>
          </w:p>
        </w:tc>
        <w:tc>
          <w:tcPr>
            <w:tcW w:w="9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498.9 </w:t>
            </w:r>
          </w:p>
        </w:tc>
        <w:tc>
          <w:tcPr>
            <w:tcW w:w="1134"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120.0 </w:t>
            </w:r>
          </w:p>
        </w:tc>
        <w:tc>
          <w:tcPr>
            <w:tcW w:w="1290"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44.2 </w:t>
            </w:r>
          </w:p>
        </w:tc>
        <w:tc>
          <w:tcPr>
            <w:tcW w:w="1038"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343.3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132.1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94.6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5" w:type="dxa"/>
            <w:gridSpan w:val="2"/>
            <w:shd w:val="clear" w:color="auto" w:fill="auto"/>
            <w:vAlign w:val="center"/>
          </w:tcPr>
          <w:p>
            <w:pPr>
              <w:widowControl/>
              <w:spacing w:line="240" w:lineRule="exact"/>
              <w:jc w:val="center"/>
              <w:rPr>
                <w:kern w:val="0"/>
                <w:sz w:val="18"/>
                <w:szCs w:val="18"/>
              </w:rPr>
            </w:pPr>
            <w:r>
              <w:rPr>
                <w:kern w:val="0"/>
                <w:sz w:val="18"/>
                <w:szCs w:val="18"/>
              </w:rPr>
              <w:t>全  市</w:t>
            </w:r>
          </w:p>
        </w:tc>
        <w:tc>
          <w:tcPr>
            <w:tcW w:w="9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506.7 </w:t>
            </w:r>
          </w:p>
        </w:tc>
        <w:tc>
          <w:tcPr>
            <w:tcW w:w="1134"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133.3 </w:t>
            </w:r>
          </w:p>
        </w:tc>
        <w:tc>
          <w:tcPr>
            <w:tcW w:w="1290"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45.2 </w:t>
            </w:r>
          </w:p>
        </w:tc>
        <w:tc>
          <w:tcPr>
            <w:tcW w:w="1038"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321.1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133.4 </w:t>
            </w:r>
          </w:p>
        </w:tc>
        <w:tc>
          <w:tcPr>
            <w:tcW w:w="1296"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106.9 </w:t>
            </w:r>
          </w:p>
        </w:tc>
      </w:tr>
    </w:tbl>
    <w:p>
      <w:pPr>
        <w:spacing w:before="156" w:beforeLines="50" w:line="360" w:lineRule="auto"/>
        <w:rPr>
          <w:b/>
          <w:sz w:val="24"/>
        </w:rPr>
      </w:pPr>
      <w:r>
        <w:rPr>
          <w:b/>
          <w:sz w:val="24"/>
        </w:rPr>
        <w:t>（五）用水水平历年变化</w:t>
      </w:r>
    </w:p>
    <w:p>
      <w:pPr>
        <w:spacing w:line="360" w:lineRule="auto"/>
        <w:ind w:firstLine="480" w:firstLineChars="200"/>
        <w:rPr>
          <w:sz w:val="24"/>
        </w:rPr>
      </w:pPr>
      <w:r>
        <w:rPr>
          <w:sz w:val="24"/>
        </w:rPr>
        <w:t>根据人均用水量与单位GDP用水量历年变化趋势分析，自2010～2020年六安市人均用水量总体上呈现出波动起伏的状态，介于477～518 m</w:t>
      </w:r>
      <w:r>
        <w:rPr>
          <w:sz w:val="24"/>
          <w:vertAlign w:val="superscript"/>
        </w:rPr>
        <w:t>3</w:t>
      </w:r>
      <w:r>
        <w:rPr>
          <w:sz w:val="24"/>
        </w:rPr>
        <w:t>/人之间。而从单位GDP用水量历年变化分析，10年间，全市单位GDP用水量呈现明显下降趋势，从2010年的379.3 m</w:t>
      </w:r>
      <w:r>
        <w:rPr>
          <w:sz w:val="24"/>
          <w:vertAlign w:val="superscript"/>
        </w:rPr>
        <w:t>3</w:t>
      </w:r>
      <w:r>
        <w:rPr>
          <w:sz w:val="24"/>
        </w:rPr>
        <w:t>/万元降低到2020年的133.9 m</w:t>
      </w:r>
      <w:r>
        <w:rPr>
          <w:sz w:val="24"/>
          <w:vertAlign w:val="superscript"/>
        </w:rPr>
        <w:t>3</w:t>
      </w:r>
      <w:r>
        <w:rPr>
          <w:sz w:val="24"/>
        </w:rPr>
        <w:t>/万元，年均下降幅度为6.5%。表明全市在用水效率上有较大的提高。</w:t>
      </w:r>
    </w:p>
    <w:p>
      <w:pPr>
        <w:spacing w:line="360" w:lineRule="auto"/>
        <w:ind w:firstLine="480" w:firstLineChars="200"/>
        <w:rPr>
          <w:sz w:val="24"/>
        </w:rPr>
      </w:pPr>
      <w:r>
        <w:rPr>
          <w:sz w:val="24"/>
        </w:rPr>
        <w:t>从工业单增加值用水量历年变化分析，全市工业单位增加值用水量均呈下降趋势。万元工业增加值用水量从2010年的139.3 m</w:t>
      </w:r>
      <w:r>
        <w:rPr>
          <w:sz w:val="24"/>
          <w:vertAlign w:val="superscript"/>
        </w:rPr>
        <w:t>3</w:t>
      </w:r>
      <w:r>
        <w:rPr>
          <w:sz w:val="24"/>
        </w:rPr>
        <w:t>降低到2020年的45.2 m</w:t>
      </w:r>
      <w:r>
        <w:rPr>
          <w:sz w:val="24"/>
          <w:vertAlign w:val="superscript"/>
        </w:rPr>
        <w:t>3</w:t>
      </w:r>
      <w:r>
        <w:rPr>
          <w:sz w:val="24"/>
        </w:rPr>
        <w:t>，年均下降幅度为6.8%。</w:t>
      </w:r>
    </w:p>
    <w:p>
      <w:pPr>
        <w:spacing w:line="360" w:lineRule="auto"/>
        <w:jc w:val="center"/>
        <w:rPr>
          <w:b/>
          <w:sz w:val="24"/>
        </w:rPr>
      </w:pPr>
      <w:r>
        <w:rPr>
          <w:b/>
          <w:sz w:val="24"/>
        </w:rPr>
        <w:t>表3.2.16  2010～2020年六安市主要用水指标表</w:t>
      </w:r>
    </w:p>
    <w:tbl>
      <w:tblPr>
        <w:tblStyle w:val="3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59"/>
        <w:gridCol w:w="1659"/>
        <w:gridCol w:w="165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年份</w:t>
            </w:r>
          </w:p>
        </w:tc>
        <w:tc>
          <w:tcPr>
            <w:tcW w:w="1659" w:type="dxa"/>
            <w:shd w:val="clear" w:color="auto" w:fill="auto"/>
            <w:vAlign w:val="center"/>
          </w:tcPr>
          <w:p>
            <w:pPr>
              <w:widowControl/>
              <w:spacing w:line="240" w:lineRule="exact"/>
              <w:jc w:val="center"/>
              <w:rPr>
                <w:color w:val="000000"/>
                <w:kern w:val="0"/>
                <w:sz w:val="18"/>
                <w:szCs w:val="18"/>
              </w:rPr>
            </w:pPr>
            <w:r>
              <w:rPr>
                <w:color w:val="000000"/>
                <w:kern w:val="0"/>
                <w:sz w:val="18"/>
                <w:szCs w:val="18"/>
              </w:rPr>
              <w:t>人均综合用水量（m</w:t>
            </w:r>
            <w:r>
              <w:rPr>
                <w:color w:val="000000"/>
                <w:kern w:val="0"/>
                <w:sz w:val="18"/>
                <w:szCs w:val="18"/>
                <w:vertAlign w:val="superscript"/>
              </w:rPr>
              <w:t>3</w:t>
            </w:r>
            <w:r>
              <w:rPr>
                <w:color w:val="000000"/>
                <w:kern w:val="0"/>
                <w:sz w:val="18"/>
                <w:szCs w:val="18"/>
              </w:rPr>
              <w:t>/人）</w:t>
            </w:r>
          </w:p>
        </w:tc>
        <w:tc>
          <w:tcPr>
            <w:tcW w:w="1659" w:type="dxa"/>
            <w:shd w:val="clear" w:color="auto" w:fill="auto"/>
            <w:vAlign w:val="center"/>
          </w:tcPr>
          <w:p>
            <w:pPr>
              <w:widowControl/>
              <w:spacing w:line="240" w:lineRule="exact"/>
              <w:jc w:val="center"/>
              <w:rPr>
                <w:color w:val="000000"/>
                <w:kern w:val="0"/>
                <w:sz w:val="18"/>
                <w:szCs w:val="18"/>
              </w:rPr>
            </w:pPr>
            <w:r>
              <w:rPr>
                <w:color w:val="000000"/>
                <w:kern w:val="0"/>
                <w:sz w:val="18"/>
                <w:szCs w:val="18"/>
              </w:rPr>
              <w:t>万元GDP用水量（m</w:t>
            </w:r>
            <w:r>
              <w:rPr>
                <w:color w:val="000000"/>
                <w:kern w:val="0"/>
                <w:sz w:val="18"/>
                <w:szCs w:val="18"/>
                <w:vertAlign w:val="superscript"/>
              </w:rPr>
              <w:t>3</w:t>
            </w:r>
            <w:r>
              <w:rPr>
                <w:color w:val="000000"/>
                <w:kern w:val="0"/>
                <w:sz w:val="18"/>
                <w:szCs w:val="18"/>
              </w:rPr>
              <w:t>/万元）</w:t>
            </w:r>
          </w:p>
        </w:tc>
        <w:tc>
          <w:tcPr>
            <w:tcW w:w="1659" w:type="dxa"/>
            <w:shd w:val="clear" w:color="auto" w:fill="auto"/>
            <w:vAlign w:val="center"/>
          </w:tcPr>
          <w:p>
            <w:pPr>
              <w:widowControl/>
              <w:spacing w:line="240" w:lineRule="exact"/>
              <w:jc w:val="center"/>
              <w:rPr>
                <w:color w:val="000000"/>
                <w:kern w:val="0"/>
                <w:sz w:val="18"/>
                <w:szCs w:val="18"/>
              </w:rPr>
            </w:pPr>
            <w:r>
              <w:rPr>
                <w:color w:val="000000"/>
                <w:kern w:val="0"/>
                <w:sz w:val="18"/>
                <w:szCs w:val="18"/>
              </w:rPr>
              <w:t>万元工业增加值用水量（m</w:t>
            </w:r>
            <w:r>
              <w:rPr>
                <w:color w:val="000000"/>
                <w:kern w:val="0"/>
                <w:sz w:val="18"/>
                <w:szCs w:val="18"/>
                <w:vertAlign w:val="superscript"/>
              </w:rPr>
              <w:t>3</w:t>
            </w:r>
            <w:r>
              <w:rPr>
                <w:color w:val="000000"/>
                <w:kern w:val="0"/>
                <w:sz w:val="18"/>
                <w:szCs w:val="18"/>
              </w:rPr>
              <w:t>/万元）</w:t>
            </w:r>
          </w:p>
        </w:tc>
        <w:tc>
          <w:tcPr>
            <w:tcW w:w="1659" w:type="dxa"/>
            <w:shd w:val="clear" w:color="auto" w:fill="auto"/>
            <w:vAlign w:val="center"/>
          </w:tcPr>
          <w:p>
            <w:pPr>
              <w:widowControl/>
              <w:spacing w:line="240" w:lineRule="exact"/>
              <w:jc w:val="center"/>
              <w:rPr>
                <w:color w:val="000000"/>
                <w:kern w:val="0"/>
                <w:sz w:val="18"/>
                <w:szCs w:val="18"/>
              </w:rPr>
            </w:pPr>
            <w:r>
              <w:rPr>
                <w:color w:val="000000"/>
                <w:kern w:val="0"/>
                <w:sz w:val="18"/>
                <w:szCs w:val="18"/>
              </w:rPr>
              <w:t>农业灌溉亩均用水量（m</w:t>
            </w:r>
            <w:r>
              <w:rPr>
                <w:color w:val="000000"/>
                <w:kern w:val="0"/>
                <w:sz w:val="18"/>
                <w:szCs w:val="18"/>
                <w:vertAlign w:val="superscript"/>
              </w:rPr>
              <w:t>3</w:t>
            </w:r>
            <w:r>
              <w:rPr>
                <w:color w:val="000000"/>
                <w:kern w:val="0"/>
                <w:sz w:val="18"/>
                <w:szCs w:val="1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2010</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477.2</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379.3</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139.3</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2011</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518.5</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333.9</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114.1</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2012</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501.7</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286.5</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98.6</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2013</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517.2</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267.0</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84.7</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2014</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499.8</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241.0</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72.0</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357.7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2015</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497.7</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232.2</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75.4</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2016</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492.8</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212.2</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67.1</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2017</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490.2</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201.4</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64.6</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kern w:val="0"/>
                <w:sz w:val="18"/>
                <w:szCs w:val="18"/>
              </w:rPr>
              <w:t>2018</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477.0</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179.1</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56.3</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337.3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kern w:val="0"/>
                <w:sz w:val="18"/>
                <w:szCs w:val="18"/>
              </w:rPr>
            </w:pPr>
            <w:r>
              <w:rPr>
                <w:rFonts w:hint="eastAsia"/>
                <w:sz w:val="18"/>
                <w:szCs w:val="18"/>
              </w:rPr>
              <w:t>2019</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474.5</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142.7</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52.7</w:t>
            </w:r>
          </w:p>
        </w:tc>
        <w:tc>
          <w:tcPr>
            <w:tcW w:w="1659" w:type="dxa"/>
            <w:shd w:val="clear" w:color="auto" w:fill="auto"/>
            <w:vAlign w:val="center"/>
          </w:tcPr>
          <w:p>
            <w:pPr>
              <w:widowControl/>
              <w:spacing w:line="240" w:lineRule="exact"/>
              <w:jc w:val="center"/>
              <w:rPr>
                <w:color w:val="000000"/>
                <w:kern w:val="0"/>
                <w:sz w:val="18"/>
                <w:szCs w:val="18"/>
              </w:rPr>
            </w:pPr>
            <w:r>
              <w:rPr>
                <w:rFonts w:hint="eastAsia"/>
                <w:color w:val="000000"/>
                <w:sz w:val="18"/>
                <w:szCs w:val="18"/>
              </w:rPr>
              <w:t xml:space="preserve">338.3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shd w:val="clear" w:color="auto" w:fill="auto"/>
            <w:vAlign w:val="center"/>
          </w:tcPr>
          <w:p>
            <w:pPr>
              <w:widowControl/>
              <w:spacing w:line="240" w:lineRule="exact"/>
              <w:jc w:val="center"/>
              <w:rPr>
                <w:sz w:val="18"/>
                <w:szCs w:val="18"/>
              </w:rPr>
            </w:pPr>
            <w:r>
              <w:rPr>
                <w:rFonts w:hint="eastAsia"/>
                <w:sz w:val="18"/>
                <w:szCs w:val="18"/>
              </w:rPr>
              <w:t>2</w:t>
            </w:r>
            <w:r>
              <w:rPr>
                <w:sz w:val="18"/>
                <w:szCs w:val="18"/>
              </w:rPr>
              <w:t>020</w:t>
            </w:r>
          </w:p>
        </w:tc>
        <w:tc>
          <w:tcPr>
            <w:tcW w:w="1659" w:type="dxa"/>
            <w:shd w:val="clear" w:color="auto" w:fill="auto"/>
            <w:vAlign w:val="center"/>
          </w:tcPr>
          <w:p>
            <w:pPr>
              <w:widowControl/>
              <w:spacing w:line="240" w:lineRule="exact"/>
              <w:jc w:val="center"/>
              <w:rPr>
                <w:color w:val="000000"/>
                <w:sz w:val="18"/>
                <w:szCs w:val="18"/>
              </w:rPr>
            </w:pPr>
            <w:r>
              <w:rPr>
                <w:rFonts w:hint="eastAsia"/>
                <w:color w:val="000000"/>
                <w:sz w:val="18"/>
                <w:szCs w:val="18"/>
              </w:rPr>
              <w:t>506.7</w:t>
            </w:r>
          </w:p>
        </w:tc>
        <w:tc>
          <w:tcPr>
            <w:tcW w:w="1659" w:type="dxa"/>
            <w:shd w:val="clear" w:color="auto" w:fill="auto"/>
            <w:vAlign w:val="center"/>
          </w:tcPr>
          <w:p>
            <w:pPr>
              <w:widowControl/>
              <w:spacing w:line="240" w:lineRule="exact"/>
              <w:jc w:val="center"/>
              <w:rPr>
                <w:color w:val="000000"/>
                <w:sz w:val="18"/>
                <w:szCs w:val="18"/>
              </w:rPr>
            </w:pPr>
            <w:r>
              <w:rPr>
                <w:rFonts w:hint="eastAsia"/>
                <w:color w:val="000000"/>
                <w:sz w:val="18"/>
                <w:szCs w:val="18"/>
              </w:rPr>
              <w:t>133.3</w:t>
            </w:r>
          </w:p>
        </w:tc>
        <w:tc>
          <w:tcPr>
            <w:tcW w:w="1659" w:type="dxa"/>
            <w:shd w:val="clear" w:color="auto" w:fill="auto"/>
            <w:vAlign w:val="center"/>
          </w:tcPr>
          <w:p>
            <w:pPr>
              <w:widowControl/>
              <w:spacing w:line="240" w:lineRule="exact"/>
              <w:jc w:val="center"/>
              <w:rPr>
                <w:color w:val="000000"/>
                <w:sz w:val="18"/>
                <w:szCs w:val="18"/>
              </w:rPr>
            </w:pPr>
            <w:r>
              <w:rPr>
                <w:rFonts w:hint="eastAsia"/>
                <w:color w:val="000000"/>
                <w:sz w:val="18"/>
                <w:szCs w:val="18"/>
              </w:rPr>
              <w:t>45.2</w:t>
            </w:r>
          </w:p>
        </w:tc>
        <w:tc>
          <w:tcPr>
            <w:tcW w:w="1659" w:type="dxa"/>
            <w:shd w:val="clear" w:color="auto" w:fill="auto"/>
            <w:vAlign w:val="center"/>
          </w:tcPr>
          <w:p>
            <w:pPr>
              <w:widowControl/>
              <w:spacing w:line="240" w:lineRule="exact"/>
              <w:jc w:val="center"/>
              <w:rPr>
                <w:color w:val="000000"/>
                <w:sz w:val="18"/>
                <w:szCs w:val="18"/>
              </w:rPr>
            </w:pPr>
            <w:r>
              <w:rPr>
                <w:rFonts w:hint="eastAsia"/>
                <w:color w:val="000000"/>
                <w:sz w:val="18"/>
                <w:szCs w:val="18"/>
              </w:rPr>
              <w:t xml:space="preserve">321.1 </w:t>
            </w:r>
          </w:p>
        </w:tc>
      </w:tr>
    </w:tbl>
    <w:p>
      <w:pPr>
        <w:spacing w:line="360" w:lineRule="auto"/>
        <w:ind w:firstLine="480" w:firstLineChars="200"/>
        <w:rPr>
          <w:color w:val="FF0000"/>
          <w:sz w:val="24"/>
        </w:rPr>
      </w:pPr>
    </w:p>
    <w:p>
      <w:pPr>
        <w:spacing w:line="360" w:lineRule="auto"/>
        <w:jc w:val="center"/>
        <w:rPr>
          <w:color w:val="FF0000"/>
          <w:sz w:val="24"/>
        </w:rPr>
      </w:pPr>
      <w:r>
        <w:drawing>
          <wp:inline distT="0" distB="0" distL="0" distR="0">
            <wp:extent cx="5143500" cy="27432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60" w:lineRule="auto"/>
        <w:jc w:val="center"/>
        <w:rPr>
          <w:b/>
          <w:sz w:val="24"/>
        </w:rPr>
      </w:pPr>
      <w:r>
        <w:rPr>
          <w:b/>
          <w:sz w:val="24"/>
        </w:rPr>
        <w:t>图3.2.6  2010～2020年六安市用水指标变化趋势图</w:t>
      </w:r>
    </w:p>
    <w:p>
      <w:pPr>
        <w:spacing w:line="360" w:lineRule="auto"/>
        <w:jc w:val="center"/>
        <w:rPr>
          <w:b/>
          <w:sz w:val="24"/>
        </w:rPr>
      </w:pPr>
    </w:p>
    <w:p>
      <w:pPr>
        <w:spacing w:line="360" w:lineRule="auto"/>
        <w:jc w:val="center"/>
        <w:rPr>
          <w:b/>
          <w:sz w:val="24"/>
        </w:rPr>
      </w:pPr>
    </w:p>
    <w:p>
      <w:pPr>
        <w:pStyle w:val="4"/>
        <w:spacing w:before="156" w:beforeLines="50" w:after="156" w:afterLines="50"/>
        <w:rPr>
          <w:sz w:val="28"/>
        </w:rPr>
      </w:pPr>
      <w:bookmarkStart w:id="235" w:name="_Toc95382472"/>
      <w:r>
        <w:rPr>
          <w:rFonts w:hint="eastAsia"/>
          <w:sz w:val="28"/>
        </w:rPr>
        <w:t>六</w:t>
      </w:r>
      <w:r>
        <w:rPr>
          <w:sz w:val="28"/>
        </w:rPr>
        <w:t>、</w:t>
      </w:r>
      <w:r>
        <w:rPr>
          <w:rFonts w:hint="eastAsia"/>
          <w:sz w:val="28"/>
        </w:rPr>
        <w:t>2019年干旱年情况介绍</w:t>
      </w:r>
      <w:bookmarkEnd w:id="235"/>
    </w:p>
    <w:p>
      <w:pPr>
        <w:spacing w:line="360" w:lineRule="auto"/>
        <w:ind w:firstLine="482" w:firstLineChars="200"/>
        <w:rPr>
          <w:b/>
          <w:sz w:val="24"/>
        </w:rPr>
      </w:pPr>
      <w:r>
        <w:rPr>
          <w:b/>
          <w:sz w:val="24"/>
        </w:rPr>
        <w:t>（一）</w:t>
      </w:r>
      <w:r>
        <w:rPr>
          <w:rFonts w:hint="eastAsia"/>
          <w:b/>
          <w:sz w:val="24"/>
        </w:rPr>
        <w:t>2</w:t>
      </w:r>
      <w:r>
        <w:rPr>
          <w:b/>
          <w:sz w:val="24"/>
        </w:rPr>
        <w:t>019</w:t>
      </w:r>
      <w:r>
        <w:rPr>
          <w:rFonts w:hint="eastAsia"/>
          <w:b/>
          <w:sz w:val="24"/>
        </w:rPr>
        <w:t>年干旱年旱情分析</w:t>
      </w:r>
    </w:p>
    <w:p>
      <w:pPr>
        <w:spacing w:line="360" w:lineRule="auto"/>
        <w:ind w:firstLine="480" w:firstLineChars="200"/>
        <w:jc w:val="left"/>
        <w:rPr>
          <w:bCs/>
          <w:sz w:val="24"/>
        </w:rPr>
      </w:pPr>
      <w:r>
        <w:rPr>
          <w:rFonts w:hint="eastAsia"/>
          <w:bCs/>
          <w:sz w:val="24"/>
        </w:rPr>
        <w:t>2</w:t>
      </w:r>
      <w:r>
        <w:rPr>
          <w:bCs/>
          <w:sz w:val="24"/>
        </w:rPr>
        <w:t>019</w:t>
      </w:r>
      <w:r>
        <w:rPr>
          <w:rFonts w:hint="eastAsia"/>
          <w:bCs/>
          <w:sz w:val="24"/>
        </w:rPr>
        <w:t>年六安市年降水量8</w:t>
      </w:r>
      <w:r>
        <w:rPr>
          <w:bCs/>
          <w:sz w:val="24"/>
        </w:rPr>
        <w:t>83.9mm</w:t>
      </w:r>
      <w:r>
        <w:rPr>
          <w:rFonts w:hint="eastAsia"/>
          <w:bCs/>
          <w:sz w:val="24"/>
        </w:rPr>
        <w:t>，较多年平均值减少2</w:t>
      </w:r>
      <w:r>
        <w:rPr>
          <w:bCs/>
          <w:sz w:val="24"/>
        </w:rPr>
        <w:t>8.8</w:t>
      </w:r>
      <w:r>
        <w:rPr>
          <w:rFonts w:hint="eastAsia"/>
          <w:bCs/>
          <w:sz w:val="24"/>
        </w:rPr>
        <w:t>%，地表水资源量5</w:t>
      </w:r>
      <w:r>
        <w:rPr>
          <w:bCs/>
          <w:sz w:val="24"/>
        </w:rPr>
        <w:t>0.34</w:t>
      </w:r>
      <w:r>
        <w:rPr>
          <w:rFonts w:hint="eastAsia"/>
          <w:bCs/>
          <w:sz w:val="24"/>
        </w:rPr>
        <w:t>亿m</w:t>
      </w:r>
      <w:r>
        <w:rPr>
          <w:bCs/>
          <w:sz w:val="24"/>
          <w:vertAlign w:val="superscript"/>
        </w:rPr>
        <w:t>3</w:t>
      </w:r>
      <w:r>
        <w:rPr>
          <w:rFonts w:hint="eastAsia"/>
          <w:bCs/>
          <w:sz w:val="24"/>
        </w:rPr>
        <w:t>，较多年平均减少4</w:t>
      </w:r>
      <w:r>
        <w:rPr>
          <w:bCs/>
          <w:sz w:val="24"/>
        </w:rPr>
        <w:t>1.5</w:t>
      </w:r>
      <w:r>
        <w:rPr>
          <w:rFonts w:hint="eastAsia"/>
          <w:bCs/>
          <w:sz w:val="24"/>
        </w:rPr>
        <w:t>%。特别是2</w:t>
      </w:r>
      <w:r>
        <w:rPr>
          <w:bCs/>
          <w:sz w:val="24"/>
        </w:rPr>
        <w:t>019</w:t>
      </w:r>
      <w:r>
        <w:rPr>
          <w:rFonts w:hint="eastAsia"/>
          <w:bCs/>
          <w:sz w:val="24"/>
        </w:rPr>
        <w:t>年8月以后，六安市持续晴热少雨天气，全市累计降雨仅129.1m</w:t>
      </w:r>
      <w:r>
        <w:rPr>
          <w:bCs/>
          <w:sz w:val="24"/>
        </w:rPr>
        <w:t>m</w:t>
      </w:r>
      <w:r>
        <w:rPr>
          <w:rFonts w:hint="eastAsia"/>
          <w:bCs/>
          <w:sz w:val="24"/>
        </w:rPr>
        <w:t>，比常年同期少6成，比2000年同期少8成，比1978年同期少1成。六安市遭遇了40年以来最严重干旱，较2000、2001年重，稍轻于1978年，旱情25</w:t>
      </w:r>
      <w:r>
        <w:rPr>
          <w:rFonts w:hint="eastAsia" w:ascii="宋体" w:hAnsi="宋体"/>
          <w:bCs/>
          <w:sz w:val="24"/>
        </w:rPr>
        <w:t>～</w:t>
      </w:r>
      <w:r>
        <w:rPr>
          <w:rFonts w:hint="eastAsia"/>
          <w:bCs/>
          <w:sz w:val="24"/>
        </w:rPr>
        <w:t>30年一遇。</w:t>
      </w:r>
    </w:p>
    <w:p>
      <w:pPr>
        <w:spacing w:line="360" w:lineRule="auto"/>
        <w:ind w:firstLine="480" w:firstLineChars="200"/>
        <w:jc w:val="left"/>
        <w:rPr>
          <w:bCs/>
          <w:sz w:val="24"/>
        </w:rPr>
      </w:pPr>
      <w:r>
        <w:rPr>
          <w:rFonts w:hint="eastAsia"/>
          <w:bCs/>
          <w:sz w:val="24"/>
        </w:rPr>
        <w:t>全市旱情主要特点如下：</w:t>
      </w:r>
    </w:p>
    <w:p>
      <w:pPr>
        <w:spacing w:line="360" w:lineRule="auto"/>
        <w:ind w:firstLine="480" w:firstLineChars="200"/>
        <w:jc w:val="left"/>
        <w:rPr>
          <w:bCs/>
          <w:sz w:val="24"/>
        </w:rPr>
      </w:pPr>
      <w:r>
        <w:rPr>
          <w:rFonts w:hint="eastAsia"/>
          <w:bCs/>
          <w:sz w:val="24"/>
        </w:rPr>
        <w:t>（1）降雨整体偏少。2</w:t>
      </w:r>
      <w:r>
        <w:rPr>
          <w:bCs/>
          <w:sz w:val="24"/>
        </w:rPr>
        <w:t>019</w:t>
      </w:r>
      <w:r>
        <w:rPr>
          <w:rFonts w:hint="eastAsia"/>
          <w:bCs/>
          <w:sz w:val="24"/>
        </w:rPr>
        <w:t>年累计降雨</w:t>
      </w:r>
      <w:r>
        <w:rPr>
          <w:bCs/>
          <w:sz w:val="24"/>
        </w:rPr>
        <w:t>883.9</w:t>
      </w:r>
      <w:r>
        <w:rPr>
          <w:rFonts w:hint="eastAsia"/>
          <w:bCs/>
          <w:sz w:val="24"/>
        </w:rPr>
        <w:t>m</w:t>
      </w:r>
      <w:r>
        <w:rPr>
          <w:bCs/>
          <w:sz w:val="24"/>
        </w:rPr>
        <w:t>m</w:t>
      </w:r>
      <w:r>
        <w:rPr>
          <w:rFonts w:hint="eastAsia"/>
          <w:bCs/>
          <w:sz w:val="24"/>
        </w:rPr>
        <w:t>，比常年偏少</w:t>
      </w:r>
      <w:r>
        <w:rPr>
          <w:bCs/>
          <w:sz w:val="24"/>
        </w:rPr>
        <w:t>28.8</w:t>
      </w:r>
      <w:r>
        <w:rPr>
          <w:rFonts w:hint="eastAsia"/>
          <w:bCs/>
          <w:sz w:val="24"/>
        </w:rPr>
        <w:t>%。汛期累计降雨</w:t>
      </w:r>
      <w:r>
        <w:rPr>
          <w:bCs/>
          <w:sz w:val="24"/>
        </w:rPr>
        <w:t>482.4</w:t>
      </w:r>
      <w:r>
        <w:rPr>
          <w:rFonts w:hint="eastAsia"/>
          <w:bCs/>
          <w:sz w:val="24"/>
        </w:rPr>
        <w:t>毫米，比常年偏少</w:t>
      </w:r>
      <w:r>
        <w:rPr>
          <w:bCs/>
          <w:sz w:val="24"/>
        </w:rPr>
        <w:t>38.2</w:t>
      </w:r>
      <w:r>
        <w:rPr>
          <w:rFonts w:hint="eastAsia"/>
          <w:bCs/>
          <w:sz w:val="24"/>
        </w:rPr>
        <w:t>%。</w:t>
      </w:r>
    </w:p>
    <w:p>
      <w:pPr>
        <w:spacing w:line="360" w:lineRule="auto"/>
        <w:ind w:firstLine="480" w:firstLineChars="200"/>
        <w:jc w:val="left"/>
        <w:rPr>
          <w:bCs/>
          <w:sz w:val="24"/>
        </w:rPr>
      </w:pPr>
      <w:r>
        <w:rPr>
          <w:rFonts w:hint="eastAsia"/>
          <w:bCs/>
          <w:sz w:val="24"/>
        </w:rPr>
        <w:t>（2）连旱时间长。2</w:t>
      </w:r>
      <w:r>
        <w:rPr>
          <w:bCs/>
          <w:sz w:val="24"/>
        </w:rPr>
        <w:t>019</w:t>
      </w:r>
      <w:r>
        <w:rPr>
          <w:rFonts w:hint="eastAsia"/>
          <w:bCs/>
          <w:sz w:val="24"/>
        </w:rPr>
        <w:t>年7月20日出梅以后，部分地区已经出现不同程度夏旱。9月后全市又遭遇了秋冬连旱，连续无有效降雨日达55天。</w:t>
      </w:r>
    </w:p>
    <w:p>
      <w:pPr>
        <w:spacing w:line="360" w:lineRule="auto"/>
        <w:ind w:firstLine="480" w:firstLineChars="200"/>
        <w:jc w:val="left"/>
        <w:rPr>
          <w:bCs/>
          <w:sz w:val="24"/>
        </w:rPr>
      </w:pPr>
      <w:r>
        <w:rPr>
          <w:rFonts w:hint="eastAsia"/>
          <w:bCs/>
          <w:sz w:val="24"/>
        </w:rPr>
        <w:t>（3）蓄水持续下降。持续气温偏高、降水少，全市水库塘蓄水量持续下降。六座大型水库总蓄水量12.925亿m</w:t>
      </w:r>
      <w:r>
        <w:rPr>
          <w:bCs/>
          <w:sz w:val="24"/>
          <w:vertAlign w:val="superscript"/>
        </w:rPr>
        <w:t>3</w:t>
      </w:r>
      <w:r>
        <w:rPr>
          <w:rFonts w:hint="eastAsia"/>
          <w:bCs/>
          <w:sz w:val="24"/>
        </w:rPr>
        <w:t>，比常年同期少4成。中小型水库蓄水1.632亿m</w:t>
      </w:r>
      <w:r>
        <w:rPr>
          <w:bCs/>
          <w:sz w:val="24"/>
          <w:vertAlign w:val="superscript"/>
        </w:rPr>
        <w:t>3</w:t>
      </w:r>
      <w:r>
        <w:rPr>
          <w:rFonts w:hint="eastAsia"/>
          <w:bCs/>
          <w:sz w:val="24"/>
        </w:rPr>
        <w:t>，塘坝蓄水1.037亿m</w:t>
      </w:r>
      <w:r>
        <w:rPr>
          <w:bCs/>
          <w:sz w:val="24"/>
          <w:vertAlign w:val="superscript"/>
        </w:rPr>
        <w:t>3</w:t>
      </w:r>
      <w:r>
        <w:rPr>
          <w:rFonts w:hint="eastAsia"/>
          <w:bCs/>
          <w:sz w:val="24"/>
        </w:rPr>
        <w:t>，均比常年少4成。</w:t>
      </w:r>
    </w:p>
    <w:p>
      <w:pPr>
        <w:spacing w:line="360" w:lineRule="auto"/>
        <w:ind w:firstLine="480" w:firstLineChars="200"/>
        <w:jc w:val="left"/>
        <w:rPr>
          <w:bCs/>
          <w:sz w:val="24"/>
        </w:rPr>
      </w:pPr>
      <w:r>
        <w:rPr>
          <w:rFonts w:hint="eastAsia"/>
          <w:bCs/>
          <w:sz w:val="24"/>
        </w:rPr>
        <w:t>（4）受旱范围大。全市四县三区不同程度受旱，农作物累计受旱面积202万亩，其中成灾107万亩、绝收24.7万亩；农村安全饮水受影响50万人，其中饮水困难31103人。</w:t>
      </w:r>
    </w:p>
    <w:p>
      <w:pPr>
        <w:spacing w:line="360" w:lineRule="auto"/>
        <w:ind w:firstLine="482" w:firstLineChars="200"/>
        <w:rPr>
          <w:b/>
          <w:sz w:val="24"/>
        </w:rPr>
      </w:pPr>
      <w:r>
        <w:rPr>
          <w:rFonts w:hint="eastAsia"/>
          <w:b/>
          <w:sz w:val="24"/>
        </w:rPr>
        <w:t>（二）主要措施和成效</w:t>
      </w:r>
    </w:p>
    <w:p>
      <w:pPr>
        <w:spacing w:line="360" w:lineRule="auto"/>
        <w:ind w:firstLine="480" w:firstLineChars="200"/>
        <w:jc w:val="left"/>
        <w:rPr>
          <w:bCs/>
          <w:sz w:val="24"/>
        </w:rPr>
      </w:pPr>
      <w:r>
        <w:rPr>
          <w:rFonts w:hint="eastAsia"/>
          <w:bCs/>
          <w:sz w:val="24"/>
        </w:rPr>
        <w:t>（1）各级党员干部积极行动，投入抗旱第一线。旱情发生后，市委、市政府高度重视，主要领导亲自赴各县区查看旱情发展情况，并召开多次会议进行会商、部署，动员组织全市广大干部群众全力做好抗旱保供水工作。</w:t>
      </w:r>
    </w:p>
    <w:p>
      <w:pPr>
        <w:spacing w:line="360" w:lineRule="auto"/>
        <w:ind w:firstLine="480" w:firstLineChars="200"/>
        <w:jc w:val="left"/>
        <w:rPr>
          <w:bCs/>
          <w:sz w:val="24"/>
        </w:rPr>
      </w:pPr>
      <w:r>
        <w:rPr>
          <w:rFonts w:hint="eastAsia"/>
          <w:bCs/>
          <w:sz w:val="24"/>
        </w:rPr>
        <w:t>（2）全面摸底调查，准确掌握旱情发展。全市水利系统会同相关部门派出72支工作小组1469人次排查农村饮水困难情况，对反映饮水困难和供水工程水源告急的49个乡镇172个村群众饮水情况和122处规模500t以上水厂进行了全面摸排，建立饮水困难人口台账。对全市389处集中供水工程，12.5万处分散供水工程建立档案，划分水源类型，分类管理、监测。建立旱情日报制度，以村民组为单位，每日上报受旱饮水困难人口台账，全面精准掌握不同水源供水的自然村、组和户供水情况。</w:t>
      </w:r>
    </w:p>
    <w:p>
      <w:pPr>
        <w:spacing w:line="360" w:lineRule="auto"/>
        <w:ind w:firstLine="480" w:firstLineChars="200"/>
        <w:jc w:val="left"/>
        <w:rPr>
          <w:bCs/>
          <w:sz w:val="24"/>
        </w:rPr>
      </w:pPr>
      <w:r>
        <w:rPr>
          <w:rFonts w:hint="eastAsia"/>
          <w:bCs/>
          <w:sz w:val="24"/>
        </w:rPr>
        <w:t>（3）精准施策及时解决饮水困难问题。针对水源水量已出现短缺的规模水厂合理调整供水方案，提高用水效率，并实施开挖引水渠、搭建截流堰等工程措施，开辟新水源保障供水。针对金寨、舒城、霍山、裕安等县区发生的饮水困难人口，采取寻找新水源、提水引水、管网延伸、送水等方式保障饮水安全。通过采取实施水厂联网、管网延伸283处253.81k</w:t>
      </w:r>
      <w:r>
        <w:rPr>
          <w:bCs/>
          <w:sz w:val="24"/>
        </w:rPr>
        <w:t>m</w:t>
      </w:r>
      <w:r>
        <w:rPr>
          <w:rFonts w:hint="eastAsia"/>
          <w:bCs/>
          <w:sz w:val="24"/>
        </w:rPr>
        <w:t>，解决2693户10582人；通过恢复92处老井，解决602户2310人；通过打348处新井，解决866户3368人；通过实施225处调水、提水，解决2996户10688人；通过截潜流蓄水12处，解决110户289人；通过自然和人工降雨解决1290户3856人；通过组织车辆送水解决6户10人。</w:t>
      </w:r>
    </w:p>
    <w:p>
      <w:pPr>
        <w:spacing w:line="360" w:lineRule="auto"/>
        <w:ind w:firstLine="480" w:firstLineChars="200"/>
        <w:jc w:val="left"/>
        <w:rPr>
          <w:bCs/>
          <w:sz w:val="24"/>
        </w:rPr>
      </w:pPr>
      <w:r>
        <w:rPr>
          <w:rFonts w:hint="eastAsia"/>
          <w:bCs/>
          <w:sz w:val="24"/>
        </w:rPr>
        <w:t>（4）加大投入，全力保障抗旱保供水措施落实。在十分严峻的抗旱形势下，全市千方百计投入资金保障各项措施精准落实到位。省财政下达抗旱经费、市财政抗旱保供水补助资金、县区抗旱供水资金等，主要用于管网延伸、扩建取水口、打新井、恢复老井、调水提水、拉水送水等措施的投入。</w:t>
      </w:r>
    </w:p>
    <w:p>
      <w:pPr>
        <w:spacing w:line="360" w:lineRule="auto"/>
        <w:ind w:firstLine="480" w:firstLineChars="200"/>
        <w:jc w:val="left"/>
        <w:rPr>
          <w:bCs/>
          <w:sz w:val="24"/>
        </w:rPr>
      </w:pPr>
      <w:r>
        <w:rPr>
          <w:rFonts w:hint="eastAsia"/>
          <w:bCs/>
          <w:sz w:val="24"/>
        </w:rPr>
        <w:t>（5）积极申请调水。针对从灌区干渠取水的部分水厂出现供水困难的问题，市水利局积极向省水利厅汇报反映，已累计调水4次1780万m</w:t>
      </w:r>
      <w:r>
        <w:rPr>
          <w:bCs/>
          <w:sz w:val="24"/>
          <w:vertAlign w:val="superscript"/>
        </w:rPr>
        <w:t>3</w:t>
      </w:r>
      <w:r>
        <w:rPr>
          <w:rFonts w:hint="eastAsia"/>
          <w:bCs/>
          <w:sz w:val="24"/>
        </w:rPr>
        <w:t>，其中从梅山水库调水1180万m</w:t>
      </w:r>
      <w:r>
        <w:rPr>
          <w:bCs/>
          <w:sz w:val="24"/>
          <w:vertAlign w:val="superscript"/>
        </w:rPr>
        <w:t>3</w:t>
      </w:r>
      <w:r>
        <w:rPr>
          <w:rFonts w:hint="eastAsia"/>
          <w:bCs/>
          <w:sz w:val="24"/>
        </w:rPr>
        <w:t>，龙河口水库调水600万m</w:t>
      </w:r>
      <w:r>
        <w:rPr>
          <w:bCs/>
          <w:sz w:val="24"/>
          <w:vertAlign w:val="superscript"/>
        </w:rPr>
        <w:t>3</w:t>
      </w:r>
      <w:r>
        <w:rPr>
          <w:rFonts w:hint="eastAsia"/>
          <w:bCs/>
          <w:sz w:val="24"/>
        </w:rPr>
        <w:t>，保障了裕安区、叶集区、霍邱县、舒城县三个县区12座规模水厂到年底前正常供水。</w:t>
      </w:r>
    </w:p>
    <w:p>
      <w:pPr>
        <w:spacing w:line="360" w:lineRule="auto"/>
        <w:ind w:firstLine="480" w:firstLineChars="200"/>
        <w:jc w:val="left"/>
        <w:rPr>
          <w:bCs/>
          <w:sz w:val="24"/>
        </w:rPr>
      </w:pPr>
      <w:r>
        <w:rPr>
          <w:rFonts w:hint="eastAsia"/>
          <w:bCs/>
          <w:sz w:val="24"/>
        </w:rPr>
        <w:t>（6）适时造墒秋种。在保障城市生活供水的前提下，加大抽提外河、湖泊水源抗旱供水，充分利用淮河干流、城东湖、城西湖等外水补给史河灌区。根据水库塘坝蓄水及天气情况，实施组织专业技术人员开展农作物种植结构调整工作，全市完成小麦秋种面积192.15万亩、油菜秋种面积61.76万亩。</w:t>
      </w:r>
    </w:p>
    <w:p>
      <w:pPr>
        <w:pStyle w:val="3"/>
        <w:adjustRightInd w:val="0"/>
        <w:snapToGrid w:val="0"/>
        <w:spacing w:before="312" w:beforeLines="100" w:after="312" w:afterLines="100" w:line="360" w:lineRule="auto"/>
        <w:jc w:val="center"/>
        <w:rPr>
          <w:rFonts w:ascii="Times New Roman" w:hAnsi="Times New Roman" w:eastAsia="宋体" w:cs="Times New Roman"/>
          <w:szCs w:val="36"/>
        </w:rPr>
      </w:pPr>
      <w:bookmarkStart w:id="236" w:name="_Toc29122"/>
      <w:bookmarkStart w:id="237" w:name="_Toc10275"/>
      <w:bookmarkStart w:id="238" w:name="_Toc382472210"/>
      <w:bookmarkStart w:id="239" w:name="_Toc15858"/>
      <w:bookmarkStart w:id="240" w:name="_Toc4111"/>
      <w:bookmarkStart w:id="241" w:name="_Toc19129"/>
      <w:bookmarkStart w:id="242" w:name="_Toc432782538"/>
      <w:bookmarkStart w:id="243" w:name="_Toc95382473"/>
      <w:bookmarkStart w:id="244" w:name="_Toc13905"/>
      <w:bookmarkStart w:id="245" w:name="_Toc15725"/>
      <w:r>
        <w:rPr>
          <w:rFonts w:ascii="Times New Roman" w:hAnsi="Times New Roman" w:eastAsia="宋体" w:cs="Times New Roman"/>
          <w:szCs w:val="36"/>
        </w:rPr>
        <w:t>第三节 水资源开发利用评价</w:t>
      </w:r>
      <w:bookmarkEnd w:id="236"/>
      <w:bookmarkEnd w:id="237"/>
      <w:bookmarkEnd w:id="238"/>
      <w:bookmarkEnd w:id="239"/>
      <w:bookmarkEnd w:id="240"/>
      <w:bookmarkEnd w:id="241"/>
      <w:bookmarkEnd w:id="242"/>
      <w:bookmarkEnd w:id="243"/>
      <w:bookmarkEnd w:id="244"/>
      <w:bookmarkEnd w:id="245"/>
    </w:p>
    <w:p>
      <w:pPr>
        <w:pStyle w:val="4"/>
        <w:spacing w:before="156" w:beforeLines="50" w:after="156" w:afterLines="50" w:line="360" w:lineRule="auto"/>
        <w:rPr>
          <w:sz w:val="28"/>
        </w:rPr>
      </w:pPr>
      <w:bookmarkStart w:id="246" w:name="_Toc382472211"/>
      <w:bookmarkStart w:id="247" w:name="_Toc95382474"/>
      <w:bookmarkStart w:id="248" w:name="_Toc432782539"/>
      <w:r>
        <w:rPr>
          <w:sz w:val="28"/>
        </w:rPr>
        <w:t>一、水资源量评价</w:t>
      </w:r>
      <w:bookmarkEnd w:id="246"/>
      <w:bookmarkEnd w:id="247"/>
      <w:bookmarkEnd w:id="248"/>
    </w:p>
    <w:p>
      <w:pPr>
        <w:spacing w:line="360" w:lineRule="auto"/>
        <w:ind w:firstLine="482" w:firstLineChars="200"/>
        <w:rPr>
          <w:b/>
          <w:sz w:val="24"/>
        </w:rPr>
      </w:pPr>
      <w:r>
        <w:rPr>
          <w:b/>
          <w:sz w:val="24"/>
        </w:rPr>
        <w:t>（一）水资源禀赋条件</w:t>
      </w:r>
      <w:r>
        <w:rPr>
          <w:rFonts w:hint="eastAsia"/>
          <w:b/>
          <w:sz w:val="24"/>
        </w:rPr>
        <w:t>分析评价</w:t>
      </w:r>
    </w:p>
    <w:p>
      <w:pPr>
        <w:spacing w:line="360" w:lineRule="auto"/>
        <w:ind w:firstLine="480" w:firstLineChars="200"/>
        <w:rPr>
          <w:bCs/>
          <w:sz w:val="24"/>
        </w:rPr>
      </w:pPr>
      <w:r>
        <w:rPr>
          <w:bCs/>
          <w:sz w:val="24"/>
        </w:rPr>
        <w:t>六安市多年平均水资源总量为89.12</w:t>
      </w:r>
      <w:r>
        <w:rPr>
          <w:sz w:val="24"/>
        </w:rPr>
        <w:t>亿m</w:t>
      </w:r>
      <w:r>
        <w:rPr>
          <w:sz w:val="24"/>
          <w:vertAlign w:val="superscript"/>
        </w:rPr>
        <w:t>3</w:t>
      </w:r>
      <w:r>
        <w:rPr>
          <w:bCs/>
          <w:sz w:val="24"/>
        </w:rPr>
        <w:t>，其中地表水资源量为86.11</w:t>
      </w:r>
      <w:r>
        <w:rPr>
          <w:sz w:val="24"/>
        </w:rPr>
        <w:t>亿m</w:t>
      </w:r>
      <w:r>
        <w:rPr>
          <w:sz w:val="24"/>
          <w:vertAlign w:val="superscript"/>
        </w:rPr>
        <w:t>3</w:t>
      </w:r>
      <w:r>
        <w:rPr>
          <w:bCs/>
          <w:sz w:val="24"/>
        </w:rPr>
        <w:t>，地下水资源量为23.14</w:t>
      </w:r>
      <w:r>
        <w:rPr>
          <w:sz w:val="24"/>
        </w:rPr>
        <w:t>亿m</w:t>
      </w:r>
      <w:r>
        <w:rPr>
          <w:sz w:val="24"/>
          <w:vertAlign w:val="superscript"/>
        </w:rPr>
        <w:t>3</w:t>
      </w:r>
      <w:r>
        <w:rPr>
          <w:bCs/>
          <w:sz w:val="24"/>
        </w:rPr>
        <w:t>，地表地下水不重复量为3.01</w:t>
      </w:r>
      <w:r>
        <w:rPr>
          <w:sz w:val="24"/>
        </w:rPr>
        <w:t>亿m</w:t>
      </w:r>
      <w:r>
        <w:rPr>
          <w:sz w:val="24"/>
          <w:vertAlign w:val="superscript"/>
        </w:rPr>
        <w:t>3</w:t>
      </w:r>
      <w:r>
        <w:rPr>
          <w:bCs/>
          <w:sz w:val="24"/>
        </w:rPr>
        <w:t>。全市地表水资源量占水资源总量的96.6％，地下水资源量占水资源总量的26％，地下水与地表水相互转化的重复量占水资源总量的22.5％，不重复量占水资源总量的3.4％。</w:t>
      </w:r>
    </w:p>
    <w:p>
      <w:pPr>
        <w:spacing w:line="360" w:lineRule="auto"/>
        <w:ind w:firstLine="480" w:firstLineChars="200"/>
        <w:rPr>
          <w:sz w:val="24"/>
        </w:rPr>
      </w:pPr>
      <w:r>
        <w:rPr>
          <w:sz w:val="24"/>
        </w:rPr>
        <w:t>按流域分区，水资源总量淮河流域为70.85亿m</w:t>
      </w:r>
      <w:r>
        <w:rPr>
          <w:sz w:val="24"/>
          <w:vertAlign w:val="superscript"/>
        </w:rPr>
        <w:t>3</w:t>
      </w:r>
      <w:r>
        <w:rPr>
          <w:sz w:val="24"/>
        </w:rPr>
        <w:t>，占全市的79.5%，长江流域为18.26亿m</w:t>
      </w:r>
      <w:r>
        <w:rPr>
          <w:sz w:val="24"/>
          <w:vertAlign w:val="superscript"/>
        </w:rPr>
        <w:t>3</w:t>
      </w:r>
      <w:r>
        <w:rPr>
          <w:sz w:val="24"/>
        </w:rPr>
        <w:t>，占全市的20.5%；按行政分区来分，水资源总量金安区为7.16亿m</w:t>
      </w:r>
      <w:r>
        <w:rPr>
          <w:sz w:val="24"/>
          <w:vertAlign w:val="superscript"/>
        </w:rPr>
        <w:t>3</w:t>
      </w:r>
      <w:r>
        <w:rPr>
          <w:sz w:val="24"/>
        </w:rPr>
        <w:t>，占全市的8.0%，裕安区为10.39亿m</w:t>
      </w:r>
      <w:r>
        <w:rPr>
          <w:sz w:val="24"/>
          <w:vertAlign w:val="superscript"/>
        </w:rPr>
        <w:t>3</w:t>
      </w:r>
      <w:r>
        <w:rPr>
          <w:sz w:val="24"/>
        </w:rPr>
        <w:t>，占全市的11.7%，叶集区为2.86亿m</w:t>
      </w:r>
      <w:r>
        <w:rPr>
          <w:sz w:val="24"/>
          <w:vertAlign w:val="superscript"/>
        </w:rPr>
        <w:t>3</w:t>
      </w:r>
      <w:r>
        <w:rPr>
          <w:sz w:val="24"/>
        </w:rPr>
        <w:t>，占全市的3.2%，霍邱县为10.58亿m</w:t>
      </w:r>
      <w:r>
        <w:rPr>
          <w:sz w:val="24"/>
          <w:vertAlign w:val="superscript"/>
        </w:rPr>
        <w:t>3</w:t>
      </w:r>
      <w:r>
        <w:rPr>
          <w:sz w:val="24"/>
        </w:rPr>
        <w:t>，占全市的11.9%，舒城县为13.82亿m</w:t>
      </w:r>
      <w:r>
        <w:rPr>
          <w:sz w:val="24"/>
          <w:vertAlign w:val="superscript"/>
        </w:rPr>
        <w:t>3</w:t>
      </w:r>
      <w:r>
        <w:rPr>
          <w:sz w:val="24"/>
        </w:rPr>
        <w:t>，占全市的15.5%，金寨为27.41亿m</w:t>
      </w:r>
      <w:r>
        <w:rPr>
          <w:sz w:val="24"/>
          <w:vertAlign w:val="superscript"/>
        </w:rPr>
        <w:t>3</w:t>
      </w:r>
      <w:r>
        <w:rPr>
          <w:sz w:val="24"/>
        </w:rPr>
        <w:t>，占全市的30.8%，霍山县为16.89亿m</w:t>
      </w:r>
      <w:r>
        <w:rPr>
          <w:sz w:val="24"/>
          <w:vertAlign w:val="superscript"/>
        </w:rPr>
        <w:t>3</w:t>
      </w:r>
      <w:r>
        <w:rPr>
          <w:sz w:val="24"/>
        </w:rPr>
        <w:t>，占全市的19.0%。</w:t>
      </w:r>
    </w:p>
    <w:p>
      <w:pPr>
        <w:spacing w:line="360" w:lineRule="auto"/>
        <w:ind w:firstLine="480" w:firstLineChars="200"/>
        <w:rPr>
          <w:bCs/>
          <w:sz w:val="24"/>
        </w:rPr>
      </w:pPr>
      <w:r>
        <w:rPr>
          <w:rFonts w:hint="eastAsia"/>
          <w:bCs/>
          <w:sz w:val="24"/>
        </w:rPr>
        <w:t>六安市水资源总量的年代变化大体与降水基本一致。各年代平均水资源量从五十年代至21世纪初基本呈上升态势。全市产水系数、产水模数均呈缓慢上升趋势。</w:t>
      </w:r>
    </w:p>
    <w:p>
      <w:pPr>
        <w:spacing w:line="360" w:lineRule="auto"/>
        <w:ind w:firstLine="482" w:firstLineChars="200"/>
        <w:rPr>
          <w:b/>
          <w:sz w:val="24"/>
        </w:rPr>
      </w:pPr>
      <w:r>
        <w:rPr>
          <w:b/>
          <w:sz w:val="24"/>
        </w:rPr>
        <w:t>（二）水循环条件</w:t>
      </w:r>
      <w:r>
        <w:rPr>
          <w:rFonts w:hint="eastAsia"/>
          <w:b/>
          <w:sz w:val="24"/>
        </w:rPr>
        <w:t>分析评价</w:t>
      </w:r>
    </w:p>
    <w:p>
      <w:pPr>
        <w:spacing w:line="360" w:lineRule="auto"/>
        <w:ind w:firstLine="480" w:firstLineChars="200"/>
        <w:rPr>
          <w:bCs/>
          <w:sz w:val="24"/>
        </w:rPr>
      </w:pPr>
      <w:r>
        <w:rPr>
          <w:bCs/>
          <w:sz w:val="24"/>
        </w:rPr>
        <w:t>六安市多年平均降水深为1146.2 mm，其中45％形成河川径流，其余55％消耗于地表水体、植被土壤的蒸散发和潜水蒸发。全</w:t>
      </w:r>
      <w:r>
        <w:rPr>
          <w:rFonts w:hint="eastAsia"/>
          <w:bCs/>
          <w:sz w:val="24"/>
        </w:rPr>
        <w:t>市</w:t>
      </w:r>
      <w:r>
        <w:rPr>
          <w:bCs/>
          <w:sz w:val="24"/>
        </w:rPr>
        <w:t>多年平均径流深为561.0 mm，其中约22％由地下水补给，占降水量的10％，多年平均降水量中形成地表径流的占35％，入渗补给地下水的占12％，全</w:t>
      </w:r>
      <w:r>
        <w:rPr>
          <w:rFonts w:hint="eastAsia"/>
          <w:bCs/>
          <w:sz w:val="24"/>
        </w:rPr>
        <w:t>市</w:t>
      </w:r>
      <w:r>
        <w:rPr>
          <w:bCs/>
          <w:sz w:val="24"/>
        </w:rPr>
        <w:t>多年平均产水深580.6 mm，占降水量的47％。多年平均蒸发量791.4 mm。</w:t>
      </w:r>
    </w:p>
    <w:p>
      <w:pPr>
        <w:spacing w:line="360" w:lineRule="auto"/>
        <w:ind w:firstLine="480" w:firstLineChars="200"/>
        <w:rPr>
          <w:sz w:val="24"/>
        </w:rPr>
      </w:pPr>
      <w:r>
        <w:rPr>
          <w:sz w:val="24"/>
        </w:rPr>
        <w:t>全市地表水资源主要来源于大气降水，降水年内集中、年际变化较大的特点，导致了地表径流量同样有年内集中，年际变化悬殊的特点。在年内分布上，六安市年径流量主要集中在汛期5～9月份，占全年的60～70%。年际变化上，由于径流受到降雨等诸多因素的影响，其年际变化较降水更为剧烈，地区间的差异也更加悬殊。</w:t>
      </w:r>
    </w:p>
    <w:p>
      <w:pPr>
        <w:pStyle w:val="4"/>
        <w:spacing w:before="156" w:beforeLines="50" w:after="156" w:afterLines="50" w:line="360" w:lineRule="auto"/>
        <w:rPr>
          <w:sz w:val="28"/>
        </w:rPr>
      </w:pPr>
      <w:bookmarkStart w:id="249" w:name="_Toc382472212"/>
      <w:bookmarkStart w:id="250" w:name="_Toc432782540"/>
      <w:bookmarkStart w:id="251" w:name="_Toc95382475"/>
      <w:r>
        <w:rPr>
          <w:sz w:val="28"/>
        </w:rPr>
        <w:t>二、水资源开发利用评价</w:t>
      </w:r>
      <w:bookmarkEnd w:id="249"/>
      <w:bookmarkEnd w:id="250"/>
      <w:bookmarkEnd w:id="251"/>
    </w:p>
    <w:p>
      <w:pPr>
        <w:spacing w:line="360" w:lineRule="auto"/>
        <w:ind w:firstLine="480" w:firstLineChars="200"/>
        <w:rPr>
          <w:bCs/>
          <w:sz w:val="24"/>
        </w:rPr>
      </w:pPr>
      <w:r>
        <w:rPr>
          <w:bCs/>
          <w:sz w:val="24"/>
        </w:rPr>
        <w:t>根据水资源开发利用与现状调查评价结果可以看出，2010～2020年间，伴随着社会经济的发展、人口的增加和生活水平的提高，以及节水水平的不断提高，六安市供用水总量基本维持在23~24亿m³之间。但随着社会经济结构的变化，用水结构发生了较大变化，农业、工业、生活和生态用水量构成由2010年的77.6%、13.5%、8.8%和0.1%调整至2020年的</w:t>
      </w:r>
      <w:r>
        <w:rPr>
          <w:sz w:val="24"/>
        </w:rPr>
        <w:t>77.4%、8.7%、10.8%和3.1%</w:t>
      </w:r>
      <w:r>
        <w:rPr>
          <w:bCs/>
          <w:sz w:val="24"/>
        </w:rPr>
        <w:t>，工业用水比重下降，生活和生态环境用水比重提高，用水构成的变化符合近年全市经济社会发展实际。</w:t>
      </w:r>
    </w:p>
    <w:p>
      <w:pPr>
        <w:spacing w:line="360" w:lineRule="auto"/>
        <w:ind w:firstLine="480" w:firstLineChars="200"/>
        <w:rPr>
          <w:bCs/>
          <w:sz w:val="24"/>
        </w:rPr>
      </w:pPr>
      <w:r>
        <w:rPr>
          <w:bCs/>
          <w:sz w:val="24"/>
        </w:rPr>
        <w:t>由于不同用户有着不同的供水方式，用水结构的变化会导致供水结构也会随之发生变化，这主要表现在其他水源工程供水量的增加。</w:t>
      </w:r>
    </w:p>
    <w:p>
      <w:pPr>
        <w:spacing w:line="360" w:lineRule="auto"/>
        <w:ind w:firstLine="480" w:firstLineChars="200"/>
        <w:rPr>
          <w:sz w:val="24"/>
        </w:rPr>
      </w:pPr>
      <w:r>
        <w:rPr>
          <w:sz w:val="24"/>
        </w:rPr>
        <w:t>自2010～2020年六安市人均用水量总体上呈现出波动起伏的状态，介于477～518 m</w:t>
      </w:r>
      <w:r>
        <w:rPr>
          <w:sz w:val="24"/>
          <w:vertAlign w:val="superscript"/>
        </w:rPr>
        <w:t>3</w:t>
      </w:r>
      <w:r>
        <w:rPr>
          <w:sz w:val="24"/>
        </w:rPr>
        <w:t>/人之间。而从单位GDP用水量历年变化分析，10年间，全市单位GDP用水量呈现明显下降趋势，从2010年的379.3 m</w:t>
      </w:r>
      <w:r>
        <w:rPr>
          <w:sz w:val="24"/>
          <w:vertAlign w:val="superscript"/>
        </w:rPr>
        <w:t>3</w:t>
      </w:r>
      <w:r>
        <w:rPr>
          <w:sz w:val="24"/>
        </w:rPr>
        <w:t>/万元降低到2020年的133.9 m</w:t>
      </w:r>
      <w:r>
        <w:rPr>
          <w:sz w:val="24"/>
          <w:vertAlign w:val="superscript"/>
        </w:rPr>
        <w:t>3</w:t>
      </w:r>
      <w:r>
        <w:rPr>
          <w:sz w:val="24"/>
        </w:rPr>
        <w:t>/万元，年均下降幅度为6.5%。表明全市在用水效率上有较大的提高。</w:t>
      </w:r>
    </w:p>
    <w:p>
      <w:pPr>
        <w:spacing w:line="360" w:lineRule="auto"/>
        <w:ind w:firstLine="480" w:firstLineChars="200"/>
        <w:rPr>
          <w:sz w:val="24"/>
        </w:rPr>
      </w:pPr>
      <w:r>
        <w:rPr>
          <w:sz w:val="24"/>
        </w:rPr>
        <w:t>从工业单增加值用水量历年变化分析，全市工业单位增加值用水量均呈下降趋势。万元工业增加值用水量从2010年的139.3 m</w:t>
      </w:r>
      <w:r>
        <w:rPr>
          <w:sz w:val="24"/>
          <w:vertAlign w:val="superscript"/>
        </w:rPr>
        <w:t>3</w:t>
      </w:r>
      <w:r>
        <w:rPr>
          <w:sz w:val="24"/>
        </w:rPr>
        <w:t>降低到2020年的45.2 m</w:t>
      </w:r>
      <w:r>
        <w:rPr>
          <w:sz w:val="24"/>
          <w:vertAlign w:val="superscript"/>
        </w:rPr>
        <w:t>3</w:t>
      </w:r>
      <w:r>
        <w:rPr>
          <w:sz w:val="24"/>
        </w:rPr>
        <w:t>，年均下降幅度为6.8%。与省内节水先进地区相比，</w:t>
      </w:r>
      <w:r>
        <w:rPr>
          <w:rFonts w:hint="eastAsia"/>
          <w:sz w:val="24"/>
        </w:rPr>
        <w:t>六安市</w:t>
      </w:r>
      <w:r>
        <w:rPr>
          <w:sz w:val="24"/>
        </w:rPr>
        <w:t>用水效率总体不高，且地区间差异较大，提高用水效率仍有较大的潜力。</w:t>
      </w:r>
    </w:p>
    <w:p>
      <w:pPr>
        <w:pStyle w:val="4"/>
        <w:spacing w:before="156" w:beforeLines="50" w:after="156" w:afterLines="50" w:line="360" w:lineRule="auto"/>
        <w:rPr>
          <w:sz w:val="28"/>
        </w:rPr>
      </w:pPr>
      <w:bookmarkStart w:id="252" w:name="_Toc382472213"/>
      <w:bookmarkStart w:id="253" w:name="_Toc432782541"/>
      <w:bookmarkStart w:id="254" w:name="_Toc95382476"/>
      <w:r>
        <w:rPr>
          <w:sz w:val="28"/>
        </w:rPr>
        <w:t>三、存在问题</w:t>
      </w:r>
      <w:bookmarkEnd w:id="252"/>
      <w:bookmarkEnd w:id="253"/>
      <w:r>
        <w:rPr>
          <w:sz w:val="28"/>
        </w:rPr>
        <w:t>和建议</w:t>
      </w:r>
      <w:bookmarkEnd w:id="254"/>
    </w:p>
    <w:p>
      <w:pPr>
        <w:spacing w:line="360" w:lineRule="auto"/>
        <w:ind w:firstLine="482" w:firstLineChars="200"/>
        <w:rPr>
          <w:bCs/>
          <w:sz w:val="24"/>
        </w:rPr>
      </w:pPr>
      <w:r>
        <w:rPr>
          <w:rFonts w:hint="eastAsia"/>
          <w:b/>
          <w:sz w:val="24"/>
        </w:rPr>
        <w:t>水资源利用效率不高、</w:t>
      </w:r>
      <w:r>
        <w:rPr>
          <w:b/>
          <w:sz w:val="24"/>
        </w:rPr>
        <w:t>水资源供需矛盾仍然突出。</w:t>
      </w:r>
      <w:r>
        <w:rPr>
          <w:rFonts w:hint="eastAsia"/>
          <w:bCs/>
          <w:sz w:val="24"/>
        </w:rPr>
        <w:t>六安市现状人均水资源量为</w:t>
      </w:r>
      <w:r>
        <w:rPr>
          <w:bCs/>
          <w:sz w:val="24"/>
        </w:rPr>
        <w:t xml:space="preserve">2028 </w:t>
      </w:r>
      <w:r>
        <w:rPr>
          <w:rFonts w:hint="eastAsia"/>
          <w:bCs/>
          <w:sz w:val="24"/>
        </w:rPr>
        <w:t>m</w:t>
      </w:r>
      <w:r>
        <w:rPr>
          <w:rFonts w:hint="eastAsia"/>
          <w:bCs/>
          <w:sz w:val="24"/>
          <w:vertAlign w:val="superscript"/>
        </w:rPr>
        <w:t>3</w:t>
      </w:r>
      <w:r>
        <w:rPr>
          <w:rFonts w:hint="eastAsia"/>
          <w:bCs/>
          <w:sz w:val="24"/>
        </w:rPr>
        <w:t>（按2</w:t>
      </w:r>
      <w:r>
        <w:rPr>
          <w:bCs/>
          <w:sz w:val="24"/>
        </w:rPr>
        <w:t>020</w:t>
      </w:r>
      <w:r>
        <w:rPr>
          <w:rFonts w:hint="eastAsia"/>
          <w:bCs/>
          <w:sz w:val="24"/>
        </w:rPr>
        <w:t>年常住人口计算），按照国际公认的标准，人均水资源在2</w:t>
      </w:r>
      <w:r>
        <w:rPr>
          <w:bCs/>
          <w:sz w:val="24"/>
        </w:rPr>
        <w:t>000</w:t>
      </w:r>
      <w:r>
        <w:rPr>
          <w:rFonts w:hint="eastAsia" w:ascii="宋体" w:hAnsi="宋体"/>
          <w:bCs/>
          <w:sz w:val="24"/>
        </w:rPr>
        <w:t>～</w:t>
      </w:r>
      <w:r>
        <w:rPr>
          <w:bCs/>
          <w:sz w:val="24"/>
        </w:rPr>
        <w:t>3000</w:t>
      </w:r>
      <w:r>
        <w:rPr>
          <w:rFonts w:hint="eastAsia"/>
          <w:bCs/>
          <w:sz w:val="24"/>
        </w:rPr>
        <w:t>m</w:t>
      </w:r>
      <w:r>
        <w:rPr>
          <w:bCs/>
          <w:sz w:val="24"/>
          <w:vertAlign w:val="superscript"/>
        </w:rPr>
        <w:t>3</w:t>
      </w:r>
      <w:r>
        <w:rPr>
          <w:rFonts w:hint="eastAsia"/>
          <w:bCs/>
          <w:sz w:val="24"/>
        </w:rPr>
        <w:t>范围内属于轻度缺水，低于2000 m</w:t>
      </w:r>
      <w:r>
        <w:rPr>
          <w:rFonts w:hint="eastAsia"/>
          <w:bCs/>
          <w:sz w:val="24"/>
          <w:vertAlign w:val="superscript"/>
        </w:rPr>
        <w:t>3</w:t>
      </w:r>
      <w:r>
        <w:rPr>
          <w:rFonts w:hint="eastAsia"/>
          <w:bCs/>
          <w:sz w:val="24"/>
        </w:rPr>
        <w:t>属于中度缺水。</w:t>
      </w:r>
      <w:r>
        <w:rPr>
          <w:bCs/>
          <w:sz w:val="24"/>
        </w:rPr>
        <w:t>六安市降水时空分布差异较大，受气候、地形和经济条件等因素的限制，遭遇特殊干旱年份时，就会出现水资源短缺、供求矛盾紧张的局面。</w:t>
      </w:r>
      <w:r>
        <w:rPr>
          <w:rFonts w:hint="eastAsia"/>
          <w:bCs/>
          <w:sz w:val="24"/>
        </w:rPr>
        <w:t>六安市水资源开发利用效率不高，用水效率与全省平均水平相比仍然偏低。因此，今后六安市</w:t>
      </w:r>
      <w:r>
        <w:rPr>
          <w:bCs/>
          <w:sz w:val="24"/>
        </w:rPr>
        <w:t>一方面需要在现有水资源条件下寻求增加供水的方案和方法，另一方面需要全面加强各行业的节约用水工作，针对特定水源制定区域水量分配方案，尽可能缓解干旱年份部分区域的水资源供需矛盾。</w:t>
      </w:r>
    </w:p>
    <w:p>
      <w:pPr>
        <w:spacing w:line="360" w:lineRule="auto"/>
        <w:ind w:firstLine="482" w:firstLineChars="200"/>
        <w:rPr>
          <w:bCs/>
          <w:sz w:val="24"/>
        </w:rPr>
      </w:pPr>
      <w:r>
        <w:rPr>
          <w:rFonts w:hint="eastAsia"/>
          <w:b/>
          <w:sz w:val="24"/>
        </w:rPr>
        <w:t>水环境保护压力较大。</w:t>
      </w:r>
      <w:r>
        <w:rPr>
          <w:rFonts w:hint="eastAsia"/>
          <w:bCs/>
          <w:sz w:val="24"/>
        </w:rPr>
        <w:t>水质监测结果表明，六安市现状大部分水体水质较好，饮用水源水质良好。但随着区域经济的快速发展，工业废水、生活及农业污水排放量不断增大，河流（渠道）水环境保护压力也逐渐增大。如：河湖水域岸线管控不到位；农村河湖水生态环境亟须治理等。因此在今后较长的一段时间内，仍将加大水环境保护和治理力度，加强水污染防治。</w:t>
      </w:r>
    </w:p>
    <w:p>
      <w:pPr>
        <w:spacing w:line="360" w:lineRule="auto"/>
        <w:ind w:firstLine="482" w:firstLineChars="200"/>
        <w:rPr>
          <w:bCs/>
          <w:sz w:val="24"/>
        </w:rPr>
      </w:pPr>
      <w:r>
        <w:rPr>
          <w:rFonts w:hint="eastAsia"/>
          <w:b/>
          <w:sz w:val="24"/>
        </w:rPr>
        <w:t>水资源管理亟待进一步加强。</w:t>
      </w:r>
      <w:r>
        <w:rPr>
          <w:rFonts w:hint="eastAsia"/>
          <w:bCs/>
          <w:sz w:val="24"/>
        </w:rPr>
        <w:t>目前，六安市在水利改革创新、水资源管理、涉水事务管理、水利行业能力建设、水利信息化建设等诸多方面开展了一系列的工作，取得了一定的成绩。但仍然存在诸多薄弱环节，如：调水体系及供水安全保障体系尚不完善；区域水资源配置能力不强；水利信息标准化和规范化工作相对滞后等。因此，今后六安市需要继续加大水利基础设施建设，提升水资源优化配置和水旱灾害防御能力，实施河湖水系综合整治，进一步提升水资源管理水平。</w:t>
      </w:r>
    </w:p>
    <w:p>
      <w:pPr>
        <w:spacing w:line="360" w:lineRule="auto"/>
        <w:rPr>
          <w:bCs/>
          <w:sz w:val="24"/>
        </w:rPr>
      </w:pPr>
    </w:p>
    <w:p>
      <w:pPr>
        <w:spacing w:line="360" w:lineRule="auto"/>
        <w:ind w:firstLine="480" w:firstLineChars="200"/>
        <w:rPr>
          <w:color w:val="FF0000"/>
          <w:sz w:val="24"/>
        </w:rPr>
        <w:sectPr>
          <w:pgSz w:w="11906" w:h="16838"/>
          <w:pgMar w:top="1440" w:right="1797" w:bottom="1440" w:left="1797" w:header="851" w:footer="992" w:gutter="0"/>
          <w:cols w:space="425" w:num="1"/>
          <w:docGrid w:type="lines" w:linePitch="312" w:charSpace="0"/>
        </w:sectPr>
      </w:pPr>
    </w:p>
    <w:p>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255" w:name="_Toc95382477"/>
      <w:r>
        <w:rPr>
          <w:rFonts w:hint="eastAsia" w:ascii="黑体" w:hAnsi="黑体" w:eastAsia="黑体" w:cs="黑体"/>
          <w:bCs/>
          <w:kern w:val="44"/>
          <w:sz w:val="36"/>
          <w:szCs w:val="36"/>
        </w:rPr>
        <w:t>第四章 水资源需求预测</w:t>
      </w:r>
      <w:bookmarkEnd w:id="255"/>
    </w:p>
    <w:p>
      <w:pPr>
        <w:keepNext/>
        <w:keepLines/>
        <w:adjustRightInd w:val="0"/>
        <w:snapToGrid w:val="0"/>
        <w:spacing w:before="312" w:beforeLines="100" w:after="312" w:afterLines="100" w:line="360" w:lineRule="auto"/>
        <w:jc w:val="center"/>
        <w:outlineLvl w:val="1"/>
        <w:rPr>
          <w:b/>
          <w:bCs/>
          <w:sz w:val="32"/>
          <w:szCs w:val="36"/>
        </w:rPr>
      </w:pPr>
      <w:bookmarkStart w:id="256" w:name="_Toc432782543"/>
      <w:bookmarkStart w:id="257" w:name="_Toc95382478"/>
      <w:bookmarkStart w:id="258" w:name="_Toc382472215"/>
      <w:bookmarkStart w:id="259" w:name="_Toc306734667"/>
      <w:r>
        <w:rPr>
          <w:b/>
          <w:bCs/>
          <w:sz w:val="32"/>
          <w:szCs w:val="36"/>
        </w:rPr>
        <w:t>第一节 经济社会发展指标预测</w:t>
      </w:r>
      <w:bookmarkEnd w:id="256"/>
      <w:bookmarkEnd w:id="257"/>
      <w:bookmarkEnd w:id="258"/>
      <w:bookmarkEnd w:id="259"/>
    </w:p>
    <w:p>
      <w:pPr>
        <w:adjustRightInd w:val="0"/>
        <w:snapToGrid w:val="0"/>
        <w:spacing w:line="360" w:lineRule="auto"/>
        <w:ind w:firstLine="482"/>
        <w:rPr>
          <w:sz w:val="24"/>
        </w:rPr>
      </w:pPr>
      <w:r>
        <w:rPr>
          <w:sz w:val="24"/>
        </w:rPr>
        <w:t>根据</w:t>
      </w:r>
      <w:r>
        <w:rPr>
          <w:rFonts w:hint="eastAsia"/>
          <w:sz w:val="24"/>
        </w:rPr>
        <w:t>《安徽城镇体系规划（2011-2030）》、《</w:t>
      </w:r>
      <w:r>
        <w:rPr>
          <w:sz w:val="24"/>
        </w:rPr>
        <w:t>六安市城市总体规划（2008～2030）</w:t>
      </w:r>
      <w:r>
        <w:rPr>
          <w:rFonts w:hint="eastAsia"/>
          <w:sz w:val="24"/>
        </w:rPr>
        <w:t>》</w:t>
      </w:r>
      <w:r>
        <w:rPr>
          <w:sz w:val="24"/>
        </w:rPr>
        <w:t>、</w:t>
      </w:r>
      <w:r>
        <w:rPr>
          <w:rFonts w:hint="eastAsia"/>
          <w:sz w:val="24"/>
        </w:rPr>
        <w:t>《六安市国民经济和社会发展第十四个五年规划和2035年远景目标纲要》（草案）</w:t>
      </w:r>
      <w:r>
        <w:rPr>
          <w:sz w:val="24"/>
        </w:rPr>
        <w:t>等相关规划要求，按照转变经济发展方式、优化产业结构、降低资源消耗、提高发展质量和保护生态环境的要求，综合六安市各部门对经济社会发展形势的分析和预测成果，形成本次规划经济社会发展主要指标作为未来水资源供需平衡的基础。</w:t>
      </w:r>
    </w:p>
    <w:p>
      <w:pPr>
        <w:adjustRightInd w:val="0"/>
        <w:snapToGrid w:val="0"/>
        <w:spacing w:line="360" w:lineRule="auto"/>
        <w:ind w:firstLine="482"/>
        <w:rPr>
          <w:sz w:val="24"/>
        </w:rPr>
      </w:pPr>
      <w:r>
        <w:rPr>
          <w:sz w:val="24"/>
        </w:rPr>
        <w:t>六安市位于安徽西部，大别山北麓，六安依山襟淮，承东接西。东与省会合肥市相连，南与安庆市接壤，西与河南省信阳市毗邻，北接淮南市、阜阳市。贯淮淠而望江海，连鄂豫而衔中原，是大别山沿淮经济区的中心城市，地处中国经济最具发展活力的“长三角”腹地，是安徽省会经济圈的重要组成部分，也是承接东部沿海地区经济辐射和产业转移的前沿地带。</w:t>
      </w:r>
    </w:p>
    <w:p>
      <w:pPr>
        <w:adjustRightInd w:val="0"/>
        <w:snapToGrid w:val="0"/>
        <w:spacing w:line="360" w:lineRule="auto"/>
        <w:ind w:firstLine="482"/>
        <w:rPr>
          <w:sz w:val="24"/>
        </w:rPr>
      </w:pPr>
      <w:bookmarkStart w:id="260" w:name="_Toc306734668"/>
      <w:r>
        <w:rPr>
          <w:sz w:val="24"/>
        </w:rPr>
        <w:t>随着皖江城市带承接转移示范区、合肥经济圈建设和加快外被地区发展的深入推进，六安市可利用国家级平台，参与长三角产业合作与分工，承接产业转移，加快与合肥等城市一体化进程，促进沿淮地区加快发展，未来5～10年六安市经济社会发展总体态势为，经济保持持续增长，年增长速度在5.8%左右，</w:t>
      </w:r>
      <w:r>
        <w:rPr>
          <w:rFonts w:hint="eastAsia"/>
          <w:sz w:val="24"/>
        </w:rPr>
        <w:t>总</w:t>
      </w:r>
      <w:r>
        <w:rPr>
          <w:sz w:val="24"/>
        </w:rPr>
        <w:t>人口增长速度将继续维持在较低水平在0.7%左右</w:t>
      </w:r>
      <w:r>
        <w:rPr>
          <w:rFonts w:hint="eastAsia"/>
          <w:sz w:val="24"/>
        </w:rPr>
        <w:t>（常住</w:t>
      </w:r>
      <w:r>
        <w:rPr>
          <w:sz w:val="24"/>
        </w:rPr>
        <w:t>人口</w:t>
      </w:r>
      <w:r>
        <w:rPr>
          <w:rFonts w:hint="eastAsia"/>
          <w:sz w:val="24"/>
        </w:rPr>
        <w:t>），</w:t>
      </w:r>
      <w:r>
        <w:rPr>
          <w:sz w:val="24"/>
        </w:rPr>
        <w:t>随着城市化的加速发展，城镇化水平不断提高，城镇人口增长</w:t>
      </w:r>
      <w:r>
        <w:rPr>
          <w:rFonts w:hint="eastAsia"/>
          <w:sz w:val="24"/>
        </w:rPr>
        <w:t>率</w:t>
      </w:r>
      <w:r>
        <w:rPr>
          <w:sz w:val="24"/>
        </w:rPr>
        <w:t>在2.8%左右。到2025年，全市GDP总量</w:t>
      </w:r>
      <w:r>
        <w:rPr>
          <w:rFonts w:hint="eastAsia"/>
          <w:sz w:val="24"/>
        </w:rPr>
        <w:t>预测</w:t>
      </w:r>
      <w:r>
        <w:rPr>
          <w:sz w:val="24"/>
        </w:rPr>
        <w:t>达到2650</w:t>
      </w:r>
      <w:r>
        <w:rPr>
          <w:rFonts w:hint="eastAsia"/>
          <w:sz w:val="24"/>
        </w:rPr>
        <w:t>亿元</w:t>
      </w:r>
      <w:r>
        <w:rPr>
          <w:sz w:val="24"/>
        </w:rPr>
        <w:t>，城镇化率达到54.1</w:t>
      </w:r>
      <w:r>
        <w:rPr>
          <w:rFonts w:hint="eastAsia"/>
          <w:sz w:val="24"/>
        </w:rPr>
        <w:t>%</w:t>
      </w:r>
      <w:r>
        <w:rPr>
          <w:sz w:val="24"/>
        </w:rPr>
        <w:t>；到2030年，全市GDP总量</w:t>
      </w:r>
      <w:r>
        <w:rPr>
          <w:rFonts w:hint="eastAsia"/>
          <w:sz w:val="24"/>
        </w:rPr>
        <w:t>预测</w:t>
      </w:r>
      <w:r>
        <w:rPr>
          <w:sz w:val="24"/>
        </w:rPr>
        <w:t>达到3072</w:t>
      </w:r>
      <w:r>
        <w:rPr>
          <w:rFonts w:hint="eastAsia"/>
          <w:sz w:val="24"/>
        </w:rPr>
        <w:t>亿元</w:t>
      </w:r>
      <w:r>
        <w:rPr>
          <w:sz w:val="24"/>
        </w:rPr>
        <w:t>，城镇化率达到59.4</w:t>
      </w:r>
      <w:r>
        <w:rPr>
          <w:rFonts w:hint="eastAsia"/>
          <w:sz w:val="24"/>
        </w:rPr>
        <w:t>%</w:t>
      </w:r>
      <w:r>
        <w:rPr>
          <w:sz w:val="24"/>
        </w:rPr>
        <w:t>。</w:t>
      </w:r>
    </w:p>
    <w:p>
      <w:pPr>
        <w:pStyle w:val="4"/>
        <w:spacing w:before="156" w:beforeLines="50" w:after="156" w:afterLines="50"/>
        <w:rPr>
          <w:sz w:val="28"/>
        </w:rPr>
      </w:pPr>
      <w:bookmarkStart w:id="261" w:name="_Toc95382479"/>
      <w:bookmarkStart w:id="262" w:name="_Toc432782544"/>
      <w:bookmarkStart w:id="263" w:name="_Toc382472216"/>
      <w:r>
        <w:rPr>
          <w:sz w:val="28"/>
        </w:rPr>
        <w:t>一、</w:t>
      </w:r>
      <w:r>
        <w:rPr>
          <w:rFonts w:hint="eastAsia"/>
          <w:sz w:val="28"/>
        </w:rPr>
        <w:t>经济社会发展布局及规划情况</w:t>
      </w:r>
      <w:bookmarkEnd w:id="261"/>
    </w:p>
    <w:p>
      <w:pPr>
        <w:adjustRightInd w:val="0"/>
        <w:snapToGrid w:val="0"/>
        <w:spacing w:line="360" w:lineRule="auto"/>
        <w:ind w:firstLine="480" w:firstLineChars="200"/>
        <w:rPr>
          <w:sz w:val="24"/>
        </w:rPr>
      </w:pPr>
      <w:r>
        <w:rPr>
          <w:rFonts w:hint="eastAsia"/>
          <w:sz w:val="24"/>
        </w:rPr>
        <w:t>1、规划战略布局</w:t>
      </w:r>
    </w:p>
    <w:p>
      <w:pPr>
        <w:adjustRightInd w:val="0"/>
        <w:snapToGrid w:val="0"/>
        <w:spacing w:line="360" w:lineRule="auto"/>
        <w:ind w:firstLine="480" w:firstLineChars="200"/>
        <w:rPr>
          <w:sz w:val="24"/>
        </w:rPr>
      </w:pPr>
      <w:r>
        <w:rPr>
          <w:rFonts w:hint="eastAsia"/>
          <w:sz w:val="24"/>
        </w:rPr>
        <w:t>根据《六安市国民经济和社会发展第十四个五年规划和2035年远景目标纲要》（草案），六安市规划年发展战略布局是加快打造具有重要影响力的科技创新策源地、新兴产业聚集地、改革开放新高地和经济社会发展全面绿色转型区，坚定实施绿色振兴赶超发展，奋力打造“一区四地一屏障”。</w:t>
      </w:r>
    </w:p>
    <w:p>
      <w:pPr>
        <w:adjustRightInd w:val="0"/>
        <w:snapToGrid w:val="0"/>
        <w:spacing w:line="360" w:lineRule="auto"/>
        <w:ind w:firstLine="480" w:firstLineChars="200"/>
        <w:rPr>
          <w:sz w:val="24"/>
        </w:rPr>
      </w:pPr>
      <w:r>
        <w:rPr>
          <w:sz w:val="24"/>
        </w:rPr>
        <w:t>1</w:t>
      </w:r>
      <w:r>
        <w:rPr>
          <w:rFonts w:hint="eastAsia"/>
          <w:sz w:val="24"/>
        </w:rPr>
        <w:t>）大别山革命老区高质量发展示范区。努力建设宜居宜业、精致精美、人见人爱的大别山区域性中心城市，力争在建设现代化产业体系、推进新型城镇化、提升生态价值和实现民生幸福等方面，走出一条具有老区特色的高质量发展路径，打造大别山革命老区高质量发展示范区。</w:t>
      </w:r>
    </w:p>
    <w:p>
      <w:pPr>
        <w:adjustRightInd w:val="0"/>
        <w:snapToGrid w:val="0"/>
        <w:spacing w:line="360" w:lineRule="auto"/>
        <w:ind w:firstLine="480" w:firstLineChars="200"/>
        <w:rPr>
          <w:sz w:val="24"/>
        </w:rPr>
      </w:pPr>
      <w:r>
        <w:rPr>
          <w:sz w:val="24"/>
        </w:rPr>
        <w:t>2</w:t>
      </w:r>
      <w:r>
        <w:rPr>
          <w:rFonts w:hint="eastAsia"/>
          <w:sz w:val="24"/>
        </w:rPr>
        <w:t>）绿色振兴新高地。牢固树立绿色生态品牌理念，实施绿色振兴赶超发展战略，持续推进生态优势向发展优势转变，大力发展现代产业，打造绿色振兴新高地。</w:t>
      </w:r>
    </w:p>
    <w:p>
      <w:pPr>
        <w:adjustRightInd w:val="0"/>
        <w:snapToGrid w:val="0"/>
        <w:spacing w:line="360" w:lineRule="auto"/>
        <w:ind w:firstLine="480" w:firstLineChars="200"/>
        <w:rPr>
          <w:sz w:val="24"/>
        </w:rPr>
      </w:pPr>
      <w:r>
        <w:rPr>
          <w:rFonts w:hint="eastAsia"/>
          <w:sz w:val="24"/>
        </w:rPr>
        <w:t>3）合肥都市圈协同创新产业基地。深度对接合肥综合性国家科学中心，促进重大科学装置、工程（技术）研究中心、工程（重点）实验室在合六经济走廊落地建设，全面提升科技创新能力。深度对接合肥市电子信息、装备制造、汽车等产业，高标准、高起点共建产业链、创新链，激活人才链、资本链，打造合肥都市圈的重要增长极和全国重要的协同创新产业基地。</w:t>
      </w:r>
    </w:p>
    <w:p>
      <w:pPr>
        <w:adjustRightInd w:val="0"/>
        <w:snapToGrid w:val="0"/>
        <w:spacing w:line="360" w:lineRule="auto"/>
        <w:ind w:firstLine="480" w:firstLineChars="200"/>
        <w:rPr>
          <w:sz w:val="24"/>
        </w:rPr>
      </w:pPr>
      <w:r>
        <w:rPr>
          <w:rFonts w:hint="eastAsia"/>
          <w:sz w:val="24"/>
        </w:rPr>
        <w:t>4）长三角绿色农产品生产加工供应基地。全面实施乡村振兴战略，推深做实“一谷一带”“一岭一库”平台建设，聚焦有机、绿色、健康，提高品质化、标准化、组织化、产业化水平，形成“特色+规模+品牌”的农业发展新格局，打造长三角重要的绿色农产品供应源和生产加工供应基地。</w:t>
      </w:r>
    </w:p>
    <w:p>
      <w:pPr>
        <w:adjustRightInd w:val="0"/>
        <w:snapToGrid w:val="0"/>
        <w:spacing w:line="360" w:lineRule="auto"/>
        <w:ind w:firstLine="480" w:firstLineChars="200"/>
        <w:rPr>
          <w:sz w:val="24"/>
        </w:rPr>
      </w:pPr>
      <w:r>
        <w:rPr>
          <w:rFonts w:hint="eastAsia"/>
          <w:sz w:val="24"/>
        </w:rPr>
        <w:t>5）全国知名红色旅游示范和康养基地。弘扬传承红色文化，加强红色资源保护和开发，打造红色旅游经典景区、红色旅游精品线路、红色旅游名城名镇，建设全国革命传统教育、爱国主义教育、青少年思想品德教育基地和全国红色旅游目的地。推进茶、果、药与乡村旅游、休闲农业的深度融合，加快发展健康颐养产业，打造集旅游度假、文化体验、休闲养生、医疗保健等多元功能融为一体的全国知名红色旅游示范和康养基地。</w:t>
      </w:r>
    </w:p>
    <w:p>
      <w:pPr>
        <w:adjustRightInd w:val="0"/>
        <w:snapToGrid w:val="0"/>
        <w:spacing w:line="360" w:lineRule="auto"/>
        <w:ind w:firstLine="480" w:firstLineChars="200"/>
        <w:rPr>
          <w:sz w:val="24"/>
        </w:rPr>
      </w:pPr>
      <w:r>
        <w:rPr>
          <w:rFonts w:hint="eastAsia"/>
          <w:sz w:val="24"/>
        </w:rPr>
        <w:t>6）长三角地区重要生态屏障。巩固和提升六安市良好的生态环境，统筹山水林田湖草一体化保护和修复，坚决打赢蓝天碧水净土保卫战，将绿色发展、循环发展、低碳发展理念贯穿经济发展全过程，全面建立生态经济体系、生态文化体系、生态文明制度体系和生态安全体系，打造更高质量的长三角地区重要生态屏障。</w:t>
      </w:r>
    </w:p>
    <w:p>
      <w:pPr>
        <w:adjustRightInd w:val="0"/>
        <w:snapToGrid w:val="0"/>
        <w:spacing w:line="360" w:lineRule="auto"/>
        <w:ind w:firstLine="480" w:firstLineChars="200"/>
        <w:rPr>
          <w:sz w:val="24"/>
        </w:rPr>
      </w:pPr>
      <w:r>
        <w:rPr>
          <w:rFonts w:hint="eastAsia"/>
          <w:sz w:val="24"/>
        </w:rPr>
        <w:t>2、工业发展布局</w:t>
      </w:r>
    </w:p>
    <w:p>
      <w:pPr>
        <w:adjustRightInd w:val="0"/>
        <w:snapToGrid w:val="0"/>
        <w:spacing w:line="360" w:lineRule="auto"/>
        <w:ind w:firstLine="480" w:firstLineChars="200"/>
        <w:rPr>
          <w:sz w:val="24"/>
        </w:rPr>
      </w:pPr>
      <w:r>
        <w:rPr>
          <w:rFonts w:hint="eastAsia"/>
          <w:sz w:val="24"/>
        </w:rPr>
        <w:t>1）发展壮大战略支撑产业。以电子信息、铁基材料、装备制造、新能源及新能源汽车、绿色食品及生物医药为重点，以“一基地、一工程、三专项”建设为引领，加快发展战略支撑产业，形成六安市经济高质量发展的中坚力量。</w:t>
      </w:r>
    </w:p>
    <w:p>
      <w:pPr>
        <w:adjustRightInd w:val="0"/>
        <w:snapToGrid w:val="0"/>
        <w:spacing w:line="360" w:lineRule="auto"/>
        <w:ind w:firstLine="480" w:firstLineChars="200"/>
        <w:rPr>
          <w:sz w:val="24"/>
        </w:rPr>
      </w:pPr>
      <w:r>
        <w:rPr>
          <w:rFonts w:hint="eastAsia"/>
          <w:sz w:val="24"/>
        </w:rPr>
        <w:t>2）培育发展高成长性产业。把培育发展高成长性产业作为推进六安市经济高质量发展的重要抓手，以5G产业、氢能产业为重点，实现无中生有、有中生新，着力打造产业发展“新兴方阵”，增强发展后劲。</w:t>
      </w:r>
    </w:p>
    <w:p>
      <w:pPr>
        <w:adjustRightInd w:val="0"/>
        <w:snapToGrid w:val="0"/>
        <w:spacing w:line="360" w:lineRule="auto"/>
        <w:ind w:firstLine="480" w:firstLineChars="200"/>
        <w:rPr>
          <w:sz w:val="24"/>
        </w:rPr>
      </w:pPr>
      <w:r>
        <w:rPr>
          <w:rFonts w:hint="eastAsia"/>
          <w:sz w:val="24"/>
        </w:rPr>
        <w:t>3）优化开发区产业布局。提高入园项目档次和质量，推动开发区上规模上水平上层次。支持开发区对同类型项目、企业进行集中布局，建设专业化、特色化园中园。积极推动园区循环化改造，努力实现低碳发展、绿色发展，建设循环经济园区。六安市省级以上开发（园）区产业发展方向见表4</w:t>
      </w:r>
      <w:r>
        <w:rPr>
          <w:sz w:val="24"/>
        </w:rPr>
        <w:t>.1.1</w:t>
      </w:r>
      <w:r>
        <w:rPr>
          <w:rFonts w:hint="eastAsia"/>
          <w:sz w:val="24"/>
        </w:rPr>
        <w:t>。</w:t>
      </w:r>
    </w:p>
    <w:p>
      <w:pPr>
        <w:adjustRightInd w:val="0"/>
        <w:snapToGrid w:val="0"/>
        <w:spacing w:line="360" w:lineRule="auto"/>
        <w:jc w:val="center"/>
        <w:rPr>
          <w:rFonts w:hAnsi="宋体"/>
          <w:b/>
          <w:sz w:val="24"/>
          <w:szCs w:val="24"/>
        </w:rPr>
      </w:pPr>
      <w:r>
        <w:rPr>
          <w:rFonts w:hAnsi="宋体"/>
          <w:b/>
          <w:sz w:val="24"/>
          <w:szCs w:val="24"/>
        </w:rPr>
        <w:t xml:space="preserve">表4.1.1  </w:t>
      </w:r>
      <w:r>
        <w:rPr>
          <w:rFonts w:hint="eastAsia" w:hAnsi="宋体"/>
          <w:b/>
          <w:sz w:val="24"/>
          <w:szCs w:val="24"/>
        </w:rPr>
        <w:t>六安市省级以上开发（园）区产业发展方向</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619"/>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4" w:type="dxa"/>
            <w:vAlign w:val="center"/>
          </w:tcPr>
          <w:p>
            <w:pPr>
              <w:adjustRightInd w:val="0"/>
              <w:snapToGrid w:val="0"/>
              <w:spacing w:line="240" w:lineRule="exact"/>
              <w:jc w:val="center"/>
            </w:pPr>
            <w:r>
              <w:rPr>
                <w:rFonts w:hint="eastAsia"/>
              </w:rPr>
              <w:t>序号</w:t>
            </w:r>
          </w:p>
        </w:tc>
        <w:tc>
          <w:tcPr>
            <w:tcW w:w="2552" w:type="dxa"/>
            <w:vAlign w:val="center"/>
          </w:tcPr>
          <w:p>
            <w:pPr>
              <w:adjustRightInd w:val="0"/>
              <w:snapToGrid w:val="0"/>
              <w:spacing w:line="240" w:lineRule="exact"/>
              <w:jc w:val="center"/>
            </w:pPr>
            <w:r>
              <w:rPr>
                <w:rFonts w:hint="eastAsia"/>
              </w:rPr>
              <w:t>开发（园）区名称</w:t>
            </w:r>
          </w:p>
        </w:tc>
        <w:tc>
          <w:tcPr>
            <w:tcW w:w="5351" w:type="dxa"/>
            <w:vAlign w:val="center"/>
          </w:tcPr>
          <w:p>
            <w:pPr>
              <w:adjustRightInd w:val="0"/>
              <w:snapToGrid w:val="0"/>
              <w:spacing w:line="240" w:lineRule="exact"/>
              <w:jc w:val="center"/>
            </w:pPr>
            <w:r>
              <w:rPr>
                <w:rFonts w:hint="eastAsia"/>
              </w:rPr>
              <w:t>产业发展方向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04" w:type="dxa"/>
            <w:vAlign w:val="center"/>
          </w:tcPr>
          <w:p>
            <w:pPr>
              <w:adjustRightInd w:val="0"/>
              <w:snapToGrid w:val="0"/>
              <w:spacing w:line="240" w:lineRule="exact"/>
              <w:jc w:val="center"/>
            </w:pPr>
            <w:r>
              <w:rPr>
                <w:rFonts w:hint="eastAsia"/>
              </w:rPr>
              <w:t>1</w:t>
            </w:r>
          </w:p>
        </w:tc>
        <w:tc>
          <w:tcPr>
            <w:tcW w:w="2552" w:type="dxa"/>
            <w:vAlign w:val="center"/>
          </w:tcPr>
          <w:p>
            <w:pPr>
              <w:adjustRightInd w:val="0"/>
              <w:snapToGrid w:val="0"/>
              <w:spacing w:line="240" w:lineRule="exact"/>
              <w:jc w:val="center"/>
            </w:pPr>
            <w:r>
              <w:rPr>
                <w:rFonts w:hint="eastAsia"/>
              </w:rPr>
              <w:t>六安经济技术开发区</w:t>
            </w:r>
          </w:p>
        </w:tc>
        <w:tc>
          <w:tcPr>
            <w:tcW w:w="5351" w:type="dxa"/>
            <w:vAlign w:val="center"/>
          </w:tcPr>
          <w:p>
            <w:pPr>
              <w:adjustRightInd w:val="0"/>
              <w:snapToGrid w:val="0"/>
              <w:spacing w:line="240" w:lineRule="exact"/>
            </w:pPr>
            <w:r>
              <w:rPr>
                <w:rFonts w:hint="eastAsia"/>
              </w:rPr>
              <w:t>重点发展装备制造、智慧餐厨、新能源汽车及零部件、新材料、绿色食品及生物医药等产业，推进新能源汽车项目建设，完善提升高端装备制造产业园、“西山药库”生物医药产业园和中财绿色管材科技产业园等，打造全市绿色振兴核心增长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4" w:type="dxa"/>
            <w:vAlign w:val="center"/>
          </w:tcPr>
          <w:p>
            <w:pPr>
              <w:adjustRightInd w:val="0"/>
              <w:snapToGrid w:val="0"/>
              <w:spacing w:line="240" w:lineRule="exact"/>
              <w:jc w:val="center"/>
            </w:pPr>
            <w:r>
              <w:rPr>
                <w:rFonts w:hint="eastAsia"/>
              </w:rPr>
              <w:t>2</w:t>
            </w:r>
          </w:p>
        </w:tc>
        <w:tc>
          <w:tcPr>
            <w:tcW w:w="2552" w:type="dxa"/>
            <w:vAlign w:val="center"/>
          </w:tcPr>
          <w:p>
            <w:pPr>
              <w:adjustRightInd w:val="0"/>
              <w:snapToGrid w:val="0"/>
              <w:spacing w:line="240" w:lineRule="exact"/>
              <w:jc w:val="center"/>
            </w:pPr>
            <w:r>
              <w:rPr>
                <w:rFonts w:hint="eastAsia"/>
              </w:rPr>
              <w:t>金安经济开发区（六安承接产业转移集中示范园区）</w:t>
            </w:r>
          </w:p>
        </w:tc>
        <w:tc>
          <w:tcPr>
            <w:tcW w:w="5351" w:type="dxa"/>
            <w:vAlign w:val="center"/>
          </w:tcPr>
          <w:p>
            <w:pPr>
              <w:adjustRightInd w:val="0"/>
              <w:snapToGrid w:val="0"/>
              <w:spacing w:line="240" w:lineRule="exact"/>
            </w:pPr>
            <w:r>
              <w:rPr>
                <w:rFonts w:hint="eastAsia"/>
              </w:rPr>
              <w:t>重点发展装备制造、新能源汽车及零部件、电子信息、轻纺服装等产业，加快明天氢能产业园、应流航空产业园、田乐纺织产业园建设。围绕建设合六经济走廊六安新城，统筹推进片区综合开发，全面提升产业发展和城市能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4" w:type="dxa"/>
            <w:vAlign w:val="center"/>
          </w:tcPr>
          <w:p>
            <w:pPr>
              <w:adjustRightInd w:val="0"/>
              <w:snapToGrid w:val="0"/>
              <w:spacing w:line="240" w:lineRule="exact"/>
              <w:jc w:val="center"/>
            </w:pPr>
            <w:r>
              <w:rPr>
                <w:rFonts w:hint="eastAsia"/>
              </w:rPr>
              <w:t>3</w:t>
            </w:r>
          </w:p>
        </w:tc>
        <w:tc>
          <w:tcPr>
            <w:tcW w:w="2552" w:type="dxa"/>
            <w:vAlign w:val="center"/>
          </w:tcPr>
          <w:p>
            <w:pPr>
              <w:adjustRightInd w:val="0"/>
              <w:snapToGrid w:val="0"/>
              <w:spacing w:line="240" w:lineRule="exact"/>
              <w:jc w:val="center"/>
            </w:pPr>
            <w:r>
              <w:rPr>
                <w:rFonts w:hint="eastAsia"/>
              </w:rPr>
              <w:t>安徽裕安经济开发区</w:t>
            </w:r>
          </w:p>
        </w:tc>
        <w:tc>
          <w:tcPr>
            <w:tcW w:w="5351" w:type="dxa"/>
            <w:vAlign w:val="center"/>
          </w:tcPr>
          <w:p>
            <w:pPr>
              <w:adjustRightInd w:val="0"/>
              <w:snapToGrid w:val="0"/>
              <w:spacing w:line="240" w:lineRule="exact"/>
            </w:pPr>
            <w:r>
              <w:rPr>
                <w:rFonts w:hint="eastAsia"/>
              </w:rPr>
              <w:t>重点发展节能环保、智能制造、新材料等产业，围绕产业链加快布局创新链，打造合六经济走廊重要科创产业平台，争创国家级高新区。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04" w:type="dxa"/>
            <w:vAlign w:val="center"/>
          </w:tcPr>
          <w:p>
            <w:pPr>
              <w:adjustRightInd w:val="0"/>
              <w:snapToGrid w:val="0"/>
              <w:spacing w:line="240" w:lineRule="exact"/>
              <w:jc w:val="center"/>
            </w:pPr>
            <w:r>
              <w:rPr>
                <w:rFonts w:hint="eastAsia"/>
              </w:rPr>
              <w:t>4</w:t>
            </w:r>
          </w:p>
        </w:tc>
        <w:tc>
          <w:tcPr>
            <w:tcW w:w="2552" w:type="dxa"/>
            <w:vAlign w:val="center"/>
          </w:tcPr>
          <w:p>
            <w:pPr>
              <w:adjustRightInd w:val="0"/>
              <w:snapToGrid w:val="0"/>
              <w:spacing w:line="240" w:lineRule="exact"/>
              <w:jc w:val="center"/>
            </w:pPr>
            <w:r>
              <w:rPr>
                <w:rFonts w:hint="eastAsia"/>
              </w:rPr>
              <w:t>舒城经济开发区（舒城包河现代产业园）</w:t>
            </w:r>
          </w:p>
        </w:tc>
        <w:tc>
          <w:tcPr>
            <w:tcW w:w="5351" w:type="dxa"/>
            <w:vAlign w:val="center"/>
          </w:tcPr>
          <w:p>
            <w:pPr>
              <w:adjustRightInd w:val="0"/>
              <w:snapToGrid w:val="0"/>
              <w:spacing w:line="240" w:lineRule="exact"/>
            </w:pPr>
            <w:r>
              <w:rPr>
                <w:rFonts w:hint="eastAsia"/>
              </w:rPr>
              <w:t>加快建设“一区两园”，重点发展电子信息、绿色食品、童车童床等产业，延伸培育新能源汽车、装备制造等产业，争创国家级开发区。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704" w:type="dxa"/>
            <w:vAlign w:val="center"/>
          </w:tcPr>
          <w:p>
            <w:pPr>
              <w:adjustRightInd w:val="0"/>
              <w:snapToGrid w:val="0"/>
              <w:spacing w:line="240" w:lineRule="exact"/>
              <w:jc w:val="center"/>
            </w:pPr>
            <w:r>
              <w:rPr>
                <w:rFonts w:hint="eastAsia"/>
              </w:rPr>
              <w:t>5</w:t>
            </w:r>
          </w:p>
        </w:tc>
        <w:tc>
          <w:tcPr>
            <w:tcW w:w="2552" w:type="dxa"/>
            <w:vAlign w:val="center"/>
          </w:tcPr>
          <w:p>
            <w:pPr>
              <w:adjustRightInd w:val="0"/>
              <w:snapToGrid w:val="0"/>
              <w:spacing w:line="240" w:lineRule="exact"/>
              <w:jc w:val="center"/>
            </w:pPr>
            <w:r>
              <w:rPr>
                <w:rFonts w:hint="eastAsia"/>
              </w:rPr>
              <w:t>霍邱经济开发区（合肥高新区霍邱现代产业园）</w:t>
            </w:r>
          </w:p>
        </w:tc>
        <w:tc>
          <w:tcPr>
            <w:tcW w:w="5351" w:type="dxa"/>
            <w:vAlign w:val="center"/>
          </w:tcPr>
          <w:p>
            <w:pPr>
              <w:adjustRightInd w:val="0"/>
              <w:snapToGrid w:val="0"/>
              <w:spacing w:line="240" w:lineRule="exact"/>
            </w:pPr>
            <w:r>
              <w:rPr>
                <w:rFonts w:hint="eastAsia"/>
              </w:rPr>
              <w:t>积极建设皖北承接产业转移集聚区，面向沪苏浙，承接发展铁基材料等产业。依托铁矿资源，大力发展矿冶产业和铁基材料深加工业，培育发展高新技术材料、机械加工制造产业，着力打造铁基新材料研发生产基地、全产业链钢铁生产基地。合肥高新区霍邱现代产业园重点发展电子信息、生物医药、高端装备制造等产业，加快启动区、高新创业园、电子信息产业园建设，打造具有重要影响力的省际产业合作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4" w:type="dxa"/>
            <w:vAlign w:val="center"/>
          </w:tcPr>
          <w:p>
            <w:pPr>
              <w:adjustRightInd w:val="0"/>
              <w:snapToGrid w:val="0"/>
              <w:spacing w:line="240" w:lineRule="exact"/>
              <w:jc w:val="center"/>
            </w:pPr>
            <w:r>
              <w:rPr>
                <w:rFonts w:hint="eastAsia"/>
              </w:rPr>
              <w:t>6</w:t>
            </w:r>
          </w:p>
        </w:tc>
        <w:tc>
          <w:tcPr>
            <w:tcW w:w="2552" w:type="dxa"/>
            <w:vAlign w:val="center"/>
          </w:tcPr>
          <w:p>
            <w:pPr>
              <w:adjustRightInd w:val="0"/>
              <w:snapToGrid w:val="0"/>
              <w:spacing w:line="240" w:lineRule="exact"/>
              <w:jc w:val="center"/>
            </w:pPr>
            <w:r>
              <w:rPr>
                <w:rFonts w:hint="eastAsia"/>
              </w:rPr>
              <w:t>霍山经济开发区</w:t>
            </w:r>
          </w:p>
        </w:tc>
        <w:tc>
          <w:tcPr>
            <w:tcW w:w="5351" w:type="dxa"/>
            <w:vAlign w:val="center"/>
          </w:tcPr>
          <w:p>
            <w:pPr>
              <w:adjustRightInd w:val="0"/>
              <w:snapToGrid w:val="0"/>
              <w:spacing w:line="240" w:lineRule="exact"/>
            </w:pPr>
            <w:r>
              <w:rPr>
                <w:rFonts w:hint="eastAsia"/>
              </w:rPr>
              <w:t>重点发展高端装备基础零部件制造、绿色食品及生物医药等产业，加快省级重大新兴产业基地、大别山生态食品特色产业集群（基地）建设，争创国家级开发区。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4" w:type="dxa"/>
            <w:vAlign w:val="center"/>
          </w:tcPr>
          <w:p>
            <w:pPr>
              <w:adjustRightInd w:val="0"/>
              <w:snapToGrid w:val="0"/>
              <w:spacing w:line="240" w:lineRule="exact"/>
              <w:jc w:val="center"/>
            </w:pPr>
            <w:r>
              <w:rPr>
                <w:rFonts w:hint="eastAsia"/>
              </w:rPr>
              <w:t>7</w:t>
            </w:r>
          </w:p>
        </w:tc>
        <w:tc>
          <w:tcPr>
            <w:tcW w:w="2552" w:type="dxa"/>
            <w:vAlign w:val="center"/>
          </w:tcPr>
          <w:p>
            <w:pPr>
              <w:adjustRightInd w:val="0"/>
              <w:snapToGrid w:val="0"/>
              <w:spacing w:line="240" w:lineRule="exact"/>
              <w:jc w:val="center"/>
            </w:pPr>
            <w:r>
              <w:rPr>
                <w:rFonts w:hint="eastAsia"/>
              </w:rPr>
              <w:t>金寨经济开发区（金寨现代产业园区）</w:t>
            </w:r>
          </w:p>
        </w:tc>
        <w:tc>
          <w:tcPr>
            <w:tcW w:w="5351" w:type="dxa"/>
            <w:vAlign w:val="center"/>
          </w:tcPr>
          <w:p>
            <w:pPr>
              <w:adjustRightInd w:val="0"/>
              <w:snapToGrid w:val="0"/>
              <w:spacing w:line="240" w:lineRule="exact"/>
            </w:pPr>
            <w:r>
              <w:rPr>
                <w:rFonts w:hint="eastAsia"/>
              </w:rPr>
              <w:t>重点发展新能源及新能源汽车、电子信息、绿色食品及生物医药等产业，加快中医药大健康特色产业集群（基地）建设，争创省级高新技术园区。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04" w:type="dxa"/>
            <w:vAlign w:val="center"/>
          </w:tcPr>
          <w:p>
            <w:pPr>
              <w:adjustRightInd w:val="0"/>
              <w:snapToGrid w:val="0"/>
              <w:spacing w:line="240" w:lineRule="exact"/>
              <w:jc w:val="center"/>
            </w:pPr>
            <w:r>
              <w:rPr>
                <w:rFonts w:hint="eastAsia"/>
              </w:rPr>
              <w:t>8</w:t>
            </w:r>
          </w:p>
        </w:tc>
        <w:tc>
          <w:tcPr>
            <w:tcW w:w="2552" w:type="dxa"/>
            <w:vAlign w:val="center"/>
          </w:tcPr>
          <w:p>
            <w:pPr>
              <w:adjustRightInd w:val="0"/>
              <w:snapToGrid w:val="0"/>
              <w:spacing w:line="240" w:lineRule="exact"/>
              <w:jc w:val="center"/>
            </w:pPr>
            <w:r>
              <w:rPr>
                <w:rFonts w:hint="eastAsia"/>
              </w:rPr>
              <w:t>叶集经济开发区</w:t>
            </w:r>
          </w:p>
        </w:tc>
        <w:tc>
          <w:tcPr>
            <w:tcW w:w="5351" w:type="dxa"/>
            <w:vAlign w:val="center"/>
          </w:tcPr>
          <w:p>
            <w:pPr>
              <w:adjustRightInd w:val="0"/>
              <w:snapToGrid w:val="0"/>
              <w:spacing w:line="240" w:lineRule="exact"/>
            </w:pPr>
            <w:r>
              <w:rPr>
                <w:rFonts w:hint="eastAsia"/>
              </w:rPr>
              <w:t>重点发展绿色板材产业，延伸发展家居产品、全屋定制，构建大家居生态链，加快互联网大数据产业园、省级人造板产品质量监督检验中心等项目建设，打造长三角（全国）有重要影响的板材家居生产基地和交易中心。</w:t>
            </w:r>
          </w:p>
        </w:tc>
      </w:tr>
    </w:tbl>
    <w:p>
      <w:pPr>
        <w:adjustRightInd w:val="0"/>
        <w:snapToGrid w:val="0"/>
        <w:spacing w:line="360" w:lineRule="auto"/>
        <w:rPr>
          <w:rFonts w:hAnsi="宋体"/>
          <w:b/>
          <w:color w:val="FF0000"/>
        </w:rPr>
      </w:pPr>
    </w:p>
    <w:p>
      <w:pPr>
        <w:adjustRightInd w:val="0"/>
        <w:snapToGrid w:val="0"/>
        <w:spacing w:line="360" w:lineRule="auto"/>
        <w:ind w:firstLine="480" w:firstLineChars="200"/>
        <w:rPr>
          <w:sz w:val="24"/>
        </w:rPr>
      </w:pPr>
      <w:r>
        <w:rPr>
          <w:sz w:val="24"/>
        </w:rPr>
        <w:t>3</w:t>
      </w:r>
      <w:r>
        <w:rPr>
          <w:rFonts w:hint="eastAsia"/>
          <w:sz w:val="24"/>
        </w:rPr>
        <w:t>、农业发展布局</w:t>
      </w:r>
    </w:p>
    <w:p>
      <w:pPr>
        <w:adjustRightInd w:val="0"/>
        <w:snapToGrid w:val="0"/>
        <w:spacing w:line="360" w:lineRule="auto"/>
        <w:ind w:firstLine="480" w:firstLineChars="200"/>
        <w:rPr>
          <w:sz w:val="24"/>
        </w:rPr>
      </w:pPr>
      <w:r>
        <w:rPr>
          <w:rFonts w:hint="eastAsia"/>
          <w:sz w:val="24"/>
        </w:rPr>
        <w:t>构建特色农业产业体系。因地制宜，精准施策，依托“一谷一带”“一岭一库”，推深做实“138+N”工程，全力打造茶叶、蔬菜、水果坚果、中药材、小龙虾、皖西白鹅、霍寿黑猪、皖西麻黄鸡等八大特色产业集群。六安市主要农业特色产业发展规模见表4</w:t>
      </w:r>
      <w:r>
        <w:rPr>
          <w:sz w:val="24"/>
        </w:rPr>
        <w:t>.1.2</w:t>
      </w:r>
      <w:r>
        <w:rPr>
          <w:rFonts w:hint="eastAsia"/>
          <w:sz w:val="24"/>
        </w:rPr>
        <w:t>。</w:t>
      </w:r>
    </w:p>
    <w:p>
      <w:pPr>
        <w:adjustRightInd w:val="0"/>
        <w:snapToGrid w:val="0"/>
        <w:spacing w:line="360" w:lineRule="auto"/>
        <w:jc w:val="center"/>
        <w:rPr>
          <w:rFonts w:hAnsi="宋体"/>
          <w:b/>
          <w:sz w:val="24"/>
          <w:szCs w:val="24"/>
        </w:rPr>
      </w:pPr>
      <w:r>
        <w:rPr>
          <w:rFonts w:hAnsi="宋体"/>
          <w:b/>
          <w:sz w:val="24"/>
          <w:szCs w:val="24"/>
        </w:rPr>
        <w:t xml:space="preserve">表4.1.2  </w:t>
      </w:r>
      <w:r>
        <w:rPr>
          <w:rFonts w:hint="eastAsia" w:hAnsi="宋体"/>
          <w:b/>
          <w:sz w:val="24"/>
          <w:szCs w:val="24"/>
        </w:rPr>
        <w:t>六安市主要农业特色产业发展规模</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037"/>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Align w:val="center"/>
          </w:tcPr>
          <w:p>
            <w:pPr>
              <w:adjustRightInd w:val="0"/>
              <w:snapToGrid w:val="0"/>
              <w:spacing w:line="240" w:lineRule="exact"/>
              <w:jc w:val="center"/>
            </w:pPr>
            <w:r>
              <w:rPr>
                <w:rFonts w:hint="eastAsia"/>
              </w:rPr>
              <w:t>序号</w:t>
            </w:r>
          </w:p>
        </w:tc>
        <w:tc>
          <w:tcPr>
            <w:tcW w:w="1985" w:type="dxa"/>
            <w:vAlign w:val="center"/>
          </w:tcPr>
          <w:p>
            <w:pPr>
              <w:adjustRightInd w:val="0"/>
              <w:snapToGrid w:val="0"/>
              <w:spacing w:line="240" w:lineRule="exact"/>
              <w:jc w:val="center"/>
            </w:pPr>
            <w:r>
              <w:rPr>
                <w:rFonts w:hint="eastAsia"/>
              </w:rPr>
              <w:t>农业特色产业</w:t>
            </w:r>
          </w:p>
        </w:tc>
        <w:tc>
          <w:tcPr>
            <w:tcW w:w="5918" w:type="dxa"/>
            <w:vAlign w:val="center"/>
          </w:tcPr>
          <w:p>
            <w:pPr>
              <w:adjustRightInd w:val="0"/>
              <w:snapToGrid w:val="0"/>
              <w:spacing w:line="240" w:lineRule="exact"/>
              <w:jc w:val="center"/>
            </w:pPr>
            <w:r>
              <w:rPr>
                <w:rFonts w:hint="eastAsia"/>
              </w:rPr>
              <w:t>产业发展规模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04" w:type="dxa"/>
            <w:vAlign w:val="center"/>
          </w:tcPr>
          <w:p>
            <w:pPr>
              <w:adjustRightInd w:val="0"/>
              <w:snapToGrid w:val="0"/>
              <w:spacing w:line="240" w:lineRule="exact"/>
              <w:jc w:val="center"/>
            </w:pPr>
            <w:r>
              <w:rPr>
                <w:rFonts w:hint="eastAsia"/>
              </w:rPr>
              <w:t>1</w:t>
            </w:r>
          </w:p>
        </w:tc>
        <w:tc>
          <w:tcPr>
            <w:tcW w:w="1985" w:type="dxa"/>
            <w:vAlign w:val="center"/>
          </w:tcPr>
          <w:p>
            <w:pPr>
              <w:adjustRightInd w:val="0"/>
              <w:snapToGrid w:val="0"/>
              <w:spacing w:line="240" w:lineRule="exact"/>
              <w:jc w:val="center"/>
            </w:pPr>
            <w:r>
              <w:rPr>
                <w:rFonts w:hint="eastAsia"/>
              </w:rPr>
              <w:t>茶叶产业</w:t>
            </w:r>
          </w:p>
        </w:tc>
        <w:tc>
          <w:tcPr>
            <w:tcW w:w="5918" w:type="dxa"/>
            <w:vAlign w:val="center"/>
          </w:tcPr>
          <w:p>
            <w:pPr>
              <w:adjustRightInd w:val="0"/>
              <w:snapToGrid w:val="0"/>
              <w:spacing w:line="240" w:lineRule="exact"/>
            </w:pPr>
            <w:r>
              <w:rPr>
                <w:rFonts w:hint="eastAsia"/>
              </w:rPr>
              <w:t>以六安茶谷为载体，以六安瓜片区域公用品牌为引领，建设六安瓜片产业融合示范园，新建2万亩良种茶园，创建4万亩高效标准茶园、3万亩双替代绿色防控示范茶园和1000亩茶树良种繁殖苗圃园。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04" w:type="dxa"/>
            <w:vAlign w:val="center"/>
          </w:tcPr>
          <w:p>
            <w:pPr>
              <w:adjustRightInd w:val="0"/>
              <w:snapToGrid w:val="0"/>
              <w:spacing w:line="240" w:lineRule="exact"/>
              <w:jc w:val="center"/>
            </w:pPr>
            <w:r>
              <w:rPr>
                <w:rFonts w:hint="eastAsia"/>
              </w:rPr>
              <w:t>2</w:t>
            </w:r>
          </w:p>
        </w:tc>
        <w:tc>
          <w:tcPr>
            <w:tcW w:w="1985" w:type="dxa"/>
            <w:vAlign w:val="center"/>
          </w:tcPr>
          <w:p>
            <w:pPr>
              <w:adjustRightInd w:val="0"/>
              <w:snapToGrid w:val="0"/>
              <w:spacing w:line="240" w:lineRule="exact"/>
              <w:jc w:val="center"/>
            </w:pPr>
            <w:r>
              <w:rPr>
                <w:rFonts w:hint="eastAsia"/>
              </w:rPr>
              <w:t>稻虾综合种养产业</w:t>
            </w:r>
          </w:p>
        </w:tc>
        <w:tc>
          <w:tcPr>
            <w:tcW w:w="5918" w:type="dxa"/>
            <w:vAlign w:val="center"/>
          </w:tcPr>
          <w:p>
            <w:pPr>
              <w:adjustRightInd w:val="0"/>
              <w:snapToGrid w:val="0"/>
              <w:spacing w:line="240" w:lineRule="exact"/>
            </w:pPr>
            <w:r>
              <w:rPr>
                <w:rFonts w:hint="eastAsia"/>
              </w:rPr>
              <w:t>以淠淮生态经济带为载体，建设1个稻虾综合种养面积达80万亩以上的重点县，10个稻虾综合种养面积达5万亩以上的重点乡镇，建设5个连片规模5000亩以上“四化”（标准化、规模化、园林化、智能化）高规格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04" w:type="dxa"/>
            <w:vAlign w:val="center"/>
          </w:tcPr>
          <w:p>
            <w:pPr>
              <w:adjustRightInd w:val="0"/>
              <w:snapToGrid w:val="0"/>
              <w:spacing w:line="240" w:lineRule="exact"/>
              <w:jc w:val="center"/>
            </w:pPr>
            <w:r>
              <w:rPr>
                <w:rFonts w:hint="eastAsia"/>
              </w:rPr>
              <w:t>3</w:t>
            </w:r>
          </w:p>
        </w:tc>
        <w:tc>
          <w:tcPr>
            <w:tcW w:w="1985" w:type="dxa"/>
            <w:vAlign w:val="center"/>
          </w:tcPr>
          <w:p>
            <w:pPr>
              <w:adjustRightInd w:val="0"/>
              <w:snapToGrid w:val="0"/>
              <w:spacing w:line="240" w:lineRule="exact"/>
              <w:jc w:val="center"/>
            </w:pPr>
            <w:r>
              <w:rPr>
                <w:rFonts w:hint="eastAsia"/>
              </w:rPr>
              <w:t>水果产业</w:t>
            </w:r>
          </w:p>
        </w:tc>
        <w:tc>
          <w:tcPr>
            <w:tcW w:w="5918" w:type="dxa"/>
            <w:vAlign w:val="center"/>
          </w:tcPr>
          <w:p>
            <w:pPr>
              <w:adjustRightInd w:val="0"/>
              <w:snapToGrid w:val="0"/>
              <w:spacing w:line="240" w:lineRule="exact"/>
            </w:pPr>
            <w:r>
              <w:rPr>
                <w:rFonts w:hint="eastAsia"/>
              </w:rPr>
              <w:t>以江淮果岭为载体，以桃、葡萄、猕猴桃为重点，金安重点打造江淮果岭十里果乡示范基地建设，沿椿树、三十铺镇打造城市田园综合体；裕安建设标准化果园1000亩；叶集实施老果园更新面积2万亩；霍邱建设冬枣、黄桃4000亩；舒城重点发展脆桃种植基地2.6万亩、葡萄及草莓种植基地3800亩、西瓜种植基地3000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04" w:type="dxa"/>
            <w:vAlign w:val="center"/>
          </w:tcPr>
          <w:p>
            <w:pPr>
              <w:adjustRightInd w:val="0"/>
              <w:snapToGrid w:val="0"/>
              <w:spacing w:line="240" w:lineRule="exact"/>
              <w:jc w:val="center"/>
            </w:pPr>
            <w:r>
              <w:rPr>
                <w:rFonts w:hint="eastAsia"/>
              </w:rPr>
              <w:t>4</w:t>
            </w:r>
          </w:p>
        </w:tc>
        <w:tc>
          <w:tcPr>
            <w:tcW w:w="1985" w:type="dxa"/>
            <w:vAlign w:val="center"/>
          </w:tcPr>
          <w:p>
            <w:pPr>
              <w:adjustRightInd w:val="0"/>
              <w:snapToGrid w:val="0"/>
              <w:spacing w:line="240" w:lineRule="exact"/>
              <w:jc w:val="center"/>
            </w:pPr>
            <w:r>
              <w:rPr>
                <w:rFonts w:hint="eastAsia"/>
              </w:rPr>
              <w:t>中药材产业</w:t>
            </w:r>
          </w:p>
        </w:tc>
        <w:tc>
          <w:tcPr>
            <w:tcW w:w="5918" w:type="dxa"/>
            <w:vAlign w:val="center"/>
          </w:tcPr>
          <w:p>
            <w:pPr>
              <w:adjustRightInd w:val="0"/>
              <w:snapToGrid w:val="0"/>
              <w:spacing w:line="240" w:lineRule="exact"/>
            </w:pPr>
            <w:r>
              <w:rPr>
                <w:rFonts w:hint="eastAsia"/>
              </w:rPr>
              <w:t>以西山药库为载体，建设道地特色药材原种保护基地2个、良种繁育基地5个，金寨高山区重点发展天麻、灵芝、茯苓等，低山丘陵区重点发展白及、黄精等；霍山里山区重点发展霍山石斛、漫水河百合等，外山区重点发展黄精、石菖蒲、断血流、白及等；舒城重点发展生姜、半夏、桔梗等；金安、裕安、叶集重点发展柴胡、苍术、花椒等；霍邱重点发展芡实、艾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4" w:type="dxa"/>
            <w:vAlign w:val="center"/>
          </w:tcPr>
          <w:p>
            <w:pPr>
              <w:adjustRightInd w:val="0"/>
              <w:snapToGrid w:val="0"/>
              <w:spacing w:line="240" w:lineRule="exact"/>
              <w:jc w:val="center"/>
            </w:pPr>
            <w:r>
              <w:rPr>
                <w:rFonts w:hint="eastAsia"/>
              </w:rPr>
              <w:t>5</w:t>
            </w:r>
          </w:p>
        </w:tc>
        <w:tc>
          <w:tcPr>
            <w:tcW w:w="1985" w:type="dxa"/>
            <w:vAlign w:val="center"/>
          </w:tcPr>
          <w:p>
            <w:pPr>
              <w:adjustRightInd w:val="0"/>
              <w:snapToGrid w:val="0"/>
              <w:spacing w:line="240" w:lineRule="exact"/>
              <w:jc w:val="center"/>
            </w:pPr>
            <w:r>
              <w:rPr>
                <w:rFonts w:hint="eastAsia"/>
              </w:rPr>
              <w:t>蔬菜产业</w:t>
            </w:r>
          </w:p>
        </w:tc>
        <w:tc>
          <w:tcPr>
            <w:tcW w:w="5918" w:type="dxa"/>
            <w:vAlign w:val="center"/>
          </w:tcPr>
          <w:p>
            <w:pPr>
              <w:adjustRightInd w:val="0"/>
              <w:snapToGrid w:val="0"/>
              <w:spacing w:line="240" w:lineRule="exact"/>
            </w:pPr>
            <w:r>
              <w:rPr>
                <w:rFonts w:hint="eastAsia"/>
              </w:rPr>
              <w:t>重点发展有机蔬菜、水生蔬菜、高山蔬菜和食用菌，建设霍邱莲藕种植基地3万亩、金安马头镇富强西兰花千亩基地、舒城安徽省瓜菜集约化育苗中心等项目，支持霍山“红灯笼”、霍邱莲藕、舒城黄心乌等地方特色品申报地理标志产品，培育区域公共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4" w:type="dxa"/>
            <w:vAlign w:val="center"/>
          </w:tcPr>
          <w:p>
            <w:pPr>
              <w:adjustRightInd w:val="0"/>
              <w:snapToGrid w:val="0"/>
              <w:spacing w:line="240" w:lineRule="exact"/>
              <w:jc w:val="center"/>
            </w:pPr>
            <w:r>
              <w:rPr>
                <w:rFonts w:hint="eastAsia"/>
              </w:rPr>
              <w:t>6</w:t>
            </w:r>
          </w:p>
        </w:tc>
        <w:tc>
          <w:tcPr>
            <w:tcW w:w="1985" w:type="dxa"/>
            <w:vAlign w:val="center"/>
          </w:tcPr>
          <w:p>
            <w:pPr>
              <w:adjustRightInd w:val="0"/>
              <w:snapToGrid w:val="0"/>
              <w:spacing w:line="240" w:lineRule="exact"/>
              <w:jc w:val="center"/>
            </w:pPr>
            <w:r>
              <w:rPr>
                <w:rFonts w:hint="eastAsia"/>
              </w:rPr>
              <w:t>特色畜禽养殖产业</w:t>
            </w:r>
          </w:p>
        </w:tc>
        <w:tc>
          <w:tcPr>
            <w:tcW w:w="5918" w:type="dxa"/>
            <w:vAlign w:val="center"/>
          </w:tcPr>
          <w:p>
            <w:pPr>
              <w:adjustRightInd w:val="0"/>
              <w:snapToGrid w:val="0"/>
              <w:spacing w:line="240" w:lineRule="exact"/>
            </w:pPr>
            <w:r>
              <w:rPr>
                <w:rFonts w:hint="eastAsia"/>
              </w:rPr>
              <w:t>依托重点种质优质企业，发展霍寿黑猪特色养殖产业，打造黑毛猪等公共品牌。加快发展皖西白鹅、朗德鹅养殖产业，提升种质品质。提升麻黄鸡养殖规模。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4" w:type="dxa"/>
            <w:vAlign w:val="center"/>
          </w:tcPr>
          <w:p>
            <w:pPr>
              <w:adjustRightInd w:val="0"/>
              <w:snapToGrid w:val="0"/>
              <w:spacing w:line="240" w:lineRule="exact"/>
              <w:jc w:val="center"/>
            </w:pPr>
            <w:r>
              <w:rPr>
                <w:rFonts w:hint="eastAsia"/>
              </w:rPr>
              <w:t>7</w:t>
            </w:r>
          </w:p>
        </w:tc>
        <w:tc>
          <w:tcPr>
            <w:tcW w:w="1985" w:type="dxa"/>
            <w:vAlign w:val="center"/>
          </w:tcPr>
          <w:p>
            <w:pPr>
              <w:adjustRightInd w:val="0"/>
              <w:snapToGrid w:val="0"/>
              <w:spacing w:line="240" w:lineRule="exact"/>
              <w:jc w:val="center"/>
            </w:pPr>
            <w:r>
              <w:rPr>
                <w:rFonts w:hint="eastAsia"/>
              </w:rPr>
              <w:t>油茶产业</w:t>
            </w:r>
          </w:p>
        </w:tc>
        <w:tc>
          <w:tcPr>
            <w:tcW w:w="5918" w:type="dxa"/>
            <w:vAlign w:val="center"/>
          </w:tcPr>
          <w:p>
            <w:pPr>
              <w:adjustRightInd w:val="0"/>
              <w:snapToGrid w:val="0"/>
              <w:spacing w:line="240" w:lineRule="exact"/>
            </w:pPr>
            <w:r>
              <w:rPr>
                <w:rFonts w:hint="eastAsia"/>
              </w:rPr>
              <w:t>舒城、金寨、霍山重点开展油茶低产低效林改造和现有林培育，金安、裕安和山区县平畈乡镇以新造油茶为主建设油茶示范基地，打造一批油茶丰产示范园区。</w:t>
            </w:r>
          </w:p>
        </w:tc>
      </w:tr>
    </w:tbl>
    <w:p>
      <w:pPr>
        <w:adjustRightInd w:val="0"/>
        <w:snapToGrid w:val="0"/>
        <w:spacing w:line="360" w:lineRule="auto"/>
        <w:rPr>
          <w:rFonts w:hAnsi="宋体"/>
          <w:b/>
          <w:color w:val="FF0000"/>
        </w:rPr>
      </w:pPr>
    </w:p>
    <w:p>
      <w:pPr>
        <w:adjustRightInd w:val="0"/>
        <w:snapToGrid w:val="0"/>
        <w:spacing w:line="360" w:lineRule="auto"/>
        <w:rPr>
          <w:rFonts w:hAnsi="宋体"/>
          <w:b/>
          <w:color w:val="FF0000"/>
        </w:rPr>
      </w:pPr>
    </w:p>
    <w:p>
      <w:pPr>
        <w:adjustRightInd w:val="0"/>
        <w:snapToGrid w:val="0"/>
        <w:spacing w:line="360" w:lineRule="auto"/>
        <w:rPr>
          <w:rFonts w:hAnsi="宋体"/>
          <w:b/>
          <w:color w:val="FF0000"/>
        </w:rPr>
      </w:pPr>
    </w:p>
    <w:p>
      <w:pPr>
        <w:pStyle w:val="4"/>
        <w:spacing w:before="156" w:beforeLines="50" w:after="156" w:afterLines="50"/>
        <w:rPr>
          <w:b w:val="0"/>
          <w:bCs w:val="0"/>
          <w:sz w:val="28"/>
        </w:rPr>
      </w:pPr>
      <w:bookmarkStart w:id="264" w:name="_Toc95382480"/>
      <w:r>
        <w:rPr>
          <w:rFonts w:hint="eastAsia"/>
          <w:sz w:val="28"/>
        </w:rPr>
        <w:t>二</w:t>
      </w:r>
      <w:r>
        <w:rPr>
          <w:sz w:val="28"/>
        </w:rPr>
        <w:t>、人口与城镇化</w:t>
      </w:r>
      <w:bookmarkEnd w:id="260"/>
      <w:bookmarkEnd w:id="262"/>
      <w:bookmarkEnd w:id="263"/>
      <w:r>
        <w:rPr>
          <w:rFonts w:hint="eastAsia"/>
          <w:sz w:val="28"/>
        </w:rPr>
        <w:t>预测</w:t>
      </w:r>
      <w:bookmarkEnd w:id="264"/>
    </w:p>
    <w:p>
      <w:pPr>
        <w:adjustRightInd w:val="0"/>
        <w:snapToGrid w:val="0"/>
        <w:spacing w:line="360" w:lineRule="auto"/>
        <w:ind w:firstLine="480" w:firstLineChars="200"/>
        <w:rPr>
          <w:sz w:val="24"/>
        </w:rPr>
      </w:pPr>
      <w:bookmarkStart w:id="265" w:name="_Toc306734669"/>
      <w:r>
        <w:rPr>
          <w:sz w:val="24"/>
        </w:rPr>
        <w:t>六安市</w:t>
      </w:r>
      <w:r>
        <w:rPr>
          <w:rFonts w:hint="eastAsia"/>
          <w:sz w:val="24"/>
        </w:rPr>
        <w:t>2</w:t>
      </w:r>
      <w:r>
        <w:rPr>
          <w:sz w:val="24"/>
        </w:rPr>
        <w:t>020年全市</w:t>
      </w:r>
      <w:r>
        <w:rPr>
          <w:rFonts w:hint="eastAsia"/>
          <w:sz w:val="24"/>
        </w:rPr>
        <w:t>常住</w:t>
      </w:r>
      <w:r>
        <w:rPr>
          <w:sz w:val="24"/>
        </w:rPr>
        <w:t>人口为439.37万人</w:t>
      </w:r>
      <w:r>
        <w:rPr>
          <w:rFonts w:hint="eastAsia"/>
          <w:sz w:val="24"/>
        </w:rPr>
        <w:t>，其中城镇人口为213.03万人，</w:t>
      </w:r>
      <w:r>
        <w:rPr>
          <w:sz w:val="24"/>
        </w:rPr>
        <w:t>城镇化率为48.5%。</w:t>
      </w:r>
    </w:p>
    <w:p>
      <w:pPr>
        <w:adjustRightInd w:val="0"/>
        <w:snapToGrid w:val="0"/>
        <w:spacing w:line="360" w:lineRule="auto"/>
        <w:ind w:firstLine="480" w:firstLineChars="200"/>
        <w:rPr>
          <w:sz w:val="24"/>
        </w:rPr>
      </w:pPr>
      <w:r>
        <w:rPr>
          <w:sz w:val="24"/>
        </w:rPr>
        <w:t>预测至2025年全市</w:t>
      </w:r>
      <w:r>
        <w:rPr>
          <w:rFonts w:hint="eastAsia"/>
          <w:sz w:val="24"/>
        </w:rPr>
        <w:t>常住</w:t>
      </w:r>
      <w:r>
        <w:rPr>
          <w:sz w:val="24"/>
        </w:rPr>
        <w:t>人口为457.67万人，</w:t>
      </w:r>
      <w:r>
        <w:rPr>
          <w:rFonts w:hint="eastAsia"/>
          <w:sz w:val="24"/>
        </w:rPr>
        <w:t>其中城镇人口为</w:t>
      </w:r>
      <w:r>
        <w:rPr>
          <w:sz w:val="24"/>
        </w:rPr>
        <w:t>247.49</w:t>
      </w:r>
      <w:r>
        <w:rPr>
          <w:rFonts w:hint="eastAsia"/>
          <w:sz w:val="24"/>
        </w:rPr>
        <w:t>万人，</w:t>
      </w:r>
      <w:r>
        <w:rPr>
          <w:sz w:val="24"/>
        </w:rPr>
        <w:t>城镇化率为54.1</w:t>
      </w:r>
      <w:r>
        <w:rPr>
          <w:rFonts w:hint="eastAsia"/>
          <w:sz w:val="24"/>
        </w:rPr>
        <w:t>%</w:t>
      </w:r>
      <w:r>
        <w:rPr>
          <w:sz w:val="24"/>
        </w:rPr>
        <w:t>；至2030年全市</w:t>
      </w:r>
      <w:r>
        <w:rPr>
          <w:rFonts w:hint="eastAsia"/>
          <w:sz w:val="24"/>
        </w:rPr>
        <w:t>常住</w:t>
      </w:r>
      <w:r>
        <w:rPr>
          <w:sz w:val="24"/>
        </w:rPr>
        <w:t>人口为472.37万人</w:t>
      </w:r>
      <w:r>
        <w:rPr>
          <w:rFonts w:hint="eastAsia"/>
          <w:sz w:val="24"/>
        </w:rPr>
        <w:t>，其中城镇人口为</w:t>
      </w:r>
      <w:r>
        <w:rPr>
          <w:sz w:val="24"/>
        </w:rPr>
        <w:t>280.75</w:t>
      </w:r>
      <w:r>
        <w:rPr>
          <w:rFonts w:hint="eastAsia"/>
          <w:sz w:val="24"/>
        </w:rPr>
        <w:t>万人，</w:t>
      </w:r>
      <w:r>
        <w:rPr>
          <w:sz w:val="24"/>
        </w:rPr>
        <w:t>城镇化率为59.4</w:t>
      </w:r>
      <w:r>
        <w:rPr>
          <w:rFonts w:hint="eastAsia"/>
          <w:sz w:val="24"/>
        </w:rPr>
        <w:t>%</w:t>
      </w:r>
      <w:r>
        <w:rPr>
          <w:sz w:val="24"/>
        </w:rPr>
        <w:t>。六市人口与城镇化率预测见表4.1</w:t>
      </w:r>
      <w:r>
        <w:rPr>
          <w:rFonts w:hint="eastAsia"/>
          <w:sz w:val="24"/>
        </w:rPr>
        <w:t>.</w:t>
      </w:r>
      <w:r>
        <w:rPr>
          <w:sz w:val="24"/>
        </w:rPr>
        <w:t>3。</w:t>
      </w:r>
    </w:p>
    <w:p>
      <w:pPr>
        <w:adjustRightInd w:val="0"/>
        <w:snapToGrid w:val="0"/>
        <w:spacing w:line="360" w:lineRule="auto"/>
        <w:jc w:val="center"/>
        <w:rPr>
          <w:rFonts w:hAnsi="宋体"/>
          <w:b/>
          <w:sz w:val="24"/>
          <w:szCs w:val="24"/>
        </w:rPr>
      </w:pPr>
      <w:r>
        <w:rPr>
          <w:rFonts w:hAnsi="宋体"/>
          <w:b/>
          <w:sz w:val="24"/>
          <w:szCs w:val="24"/>
        </w:rPr>
        <w:t>表4.1.3  六安市人口与城镇化预测表</w:t>
      </w:r>
    </w:p>
    <w:tbl>
      <w:tblPr>
        <w:tblStyle w:val="36"/>
        <w:tblW w:w="4900" w:type="pct"/>
        <w:tblInd w:w="0" w:type="dxa"/>
        <w:tblLayout w:type="autofit"/>
        <w:tblCellMar>
          <w:top w:w="0" w:type="dxa"/>
          <w:left w:w="108" w:type="dxa"/>
          <w:bottom w:w="0" w:type="dxa"/>
          <w:right w:w="108" w:type="dxa"/>
        </w:tblCellMar>
      </w:tblPr>
      <w:tblGrid>
        <w:gridCol w:w="2035"/>
        <w:gridCol w:w="1655"/>
        <w:gridCol w:w="1655"/>
        <w:gridCol w:w="1655"/>
        <w:gridCol w:w="1656"/>
      </w:tblGrid>
      <w:tr>
        <w:tblPrEx>
          <w:tblCellMar>
            <w:top w:w="0" w:type="dxa"/>
            <w:left w:w="108" w:type="dxa"/>
            <w:bottom w:w="0" w:type="dxa"/>
            <w:right w:w="108" w:type="dxa"/>
          </w:tblCellMar>
        </w:tblPrEx>
        <w:trPr>
          <w:trHeight w:val="397" w:hRule="atLeast"/>
        </w:trPr>
        <w:tc>
          <w:tcPr>
            <w:tcW w:w="1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水平年</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总人口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城镇人口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农村人口</w:t>
            </w:r>
            <w:r>
              <w:rPr>
                <w:kern w:val="0"/>
                <w:sz w:val="18"/>
                <w:szCs w:val="18"/>
              </w:rPr>
              <w:t>(</w:t>
            </w:r>
            <w:r>
              <w:rPr>
                <w:rFonts w:hint="eastAsia" w:ascii="宋体" w:hAnsi="宋体" w:cs="宋体"/>
                <w:kern w:val="0"/>
                <w:sz w:val="18"/>
                <w:szCs w:val="18"/>
              </w:rPr>
              <w:t>万人</w:t>
            </w:r>
            <w:r>
              <w:rPr>
                <w:kern w:val="0"/>
                <w:sz w:val="18"/>
                <w:szCs w:val="18"/>
              </w:rPr>
              <w:t>)</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城镇化率</w:t>
            </w:r>
            <w:r>
              <w:rPr>
                <w:kern w:val="0"/>
                <w:sz w:val="18"/>
                <w:szCs w:val="18"/>
              </w:rPr>
              <w:t>(%)</w:t>
            </w:r>
          </w:p>
        </w:tc>
      </w:tr>
      <w:tr>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439.37 </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213.03 </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226.34 </w:t>
            </w:r>
          </w:p>
        </w:tc>
        <w:tc>
          <w:tcPr>
            <w:tcW w:w="16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48.5</w:t>
            </w:r>
          </w:p>
        </w:tc>
      </w:tr>
      <w:tr>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16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457.67 </w:t>
            </w:r>
          </w:p>
        </w:tc>
        <w:tc>
          <w:tcPr>
            <w:tcW w:w="161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247.49 </w:t>
            </w:r>
          </w:p>
        </w:tc>
        <w:tc>
          <w:tcPr>
            <w:tcW w:w="161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210.18 </w:t>
            </w:r>
          </w:p>
        </w:tc>
        <w:tc>
          <w:tcPr>
            <w:tcW w:w="161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54.1</w:t>
            </w:r>
          </w:p>
        </w:tc>
      </w:tr>
      <w:tr>
        <w:tblPrEx>
          <w:tblCellMar>
            <w:top w:w="0" w:type="dxa"/>
            <w:left w:w="108" w:type="dxa"/>
            <w:bottom w:w="0" w:type="dxa"/>
            <w:right w:w="108" w:type="dxa"/>
          </w:tblCellMar>
        </w:tblPrEx>
        <w:trPr>
          <w:trHeight w:val="39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16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472.37 </w:t>
            </w:r>
          </w:p>
        </w:tc>
        <w:tc>
          <w:tcPr>
            <w:tcW w:w="161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280.75 </w:t>
            </w:r>
          </w:p>
        </w:tc>
        <w:tc>
          <w:tcPr>
            <w:tcW w:w="161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 xml:space="preserve">191.62 </w:t>
            </w:r>
          </w:p>
        </w:tc>
        <w:tc>
          <w:tcPr>
            <w:tcW w:w="161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59.4</w:t>
            </w:r>
          </w:p>
        </w:tc>
      </w:tr>
    </w:tbl>
    <w:p>
      <w:pPr>
        <w:adjustRightInd w:val="0"/>
        <w:snapToGrid w:val="0"/>
        <w:spacing w:line="360" w:lineRule="auto"/>
        <w:rPr>
          <w:rFonts w:hAnsi="宋体"/>
          <w:b/>
          <w:color w:val="FF0000"/>
        </w:rPr>
      </w:pPr>
    </w:p>
    <w:p>
      <w:pPr>
        <w:pStyle w:val="4"/>
        <w:spacing w:before="156" w:beforeLines="50" w:after="156" w:afterLines="50"/>
        <w:rPr>
          <w:b w:val="0"/>
          <w:bCs w:val="0"/>
          <w:sz w:val="28"/>
        </w:rPr>
      </w:pPr>
      <w:bookmarkStart w:id="266" w:name="_Toc432782545"/>
      <w:bookmarkStart w:id="267" w:name="_Toc382472217"/>
      <w:bookmarkStart w:id="268" w:name="_Toc95382481"/>
      <w:r>
        <w:rPr>
          <w:rFonts w:hint="eastAsia"/>
          <w:sz w:val="28"/>
        </w:rPr>
        <w:t>三</w:t>
      </w:r>
      <w:r>
        <w:rPr>
          <w:sz w:val="28"/>
        </w:rPr>
        <w:t>、经济发展指标预测</w:t>
      </w:r>
      <w:bookmarkEnd w:id="265"/>
      <w:bookmarkEnd w:id="266"/>
      <w:bookmarkEnd w:id="267"/>
      <w:bookmarkEnd w:id="268"/>
    </w:p>
    <w:p>
      <w:pPr>
        <w:adjustRightInd w:val="0"/>
        <w:snapToGrid w:val="0"/>
        <w:spacing w:line="360" w:lineRule="auto"/>
        <w:ind w:firstLine="480" w:firstLineChars="200"/>
        <w:rPr>
          <w:sz w:val="24"/>
        </w:rPr>
      </w:pPr>
      <w:r>
        <w:rPr>
          <w:rFonts w:hint="eastAsia"/>
          <w:sz w:val="24"/>
        </w:rPr>
        <w:t>根据《六安市国民经济和社会发展第十四个五年规划和2035年远景目标纲要》（草案），预测至20</w:t>
      </w:r>
      <w:r>
        <w:rPr>
          <w:sz w:val="24"/>
        </w:rPr>
        <w:t>2</w:t>
      </w:r>
      <w:r>
        <w:rPr>
          <w:rFonts w:hint="eastAsia"/>
          <w:sz w:val="24"/>
        </w:rPr>
        <w:t>5年全市GDP将达到</w:t>
      </w:r>
      <w:r>
        <w:rPr>
          <w:sz w:val="24"/>
        </w:rPr>
        <w:t>2650</w:t>
      </w:r>
      <w:r>
        <w:rPr>
          <w:rFonts w:hint="eastAsia"/>
          <w:sz w:val="24"/>
        </w:rPr>
        <w:t>亿元，主要经济指标增幅高于全省平均水平，经济总量全省居中，人均水平与全省差距明显缩小，基本形成现代化建设框架格局。全市经济综合实力和区域竞争力显著提高，产业结构不断优化，战略性新兴产业产值占规上工业产值比重逐步上升，形成全方位对内对外开放新格局</w:t>
      </w:r>
      <w:r>
        <w:rPr>
          <w:sz w:val="24"/>
        </w:rPr>
        <w:t>。</w:t>
      </w:r>
    </w:p>
    <w:p>
      <w:pPr>
        <w:adjustRightInd w:val="0"/>
        <w:snapToGrid w:val="0"/>
        <w:spacing w:line="360" w:lineRule="auto"/>
        <w:ind w:firstLine="480" w:firstLineChars="200"/>
        <w:rPr>
          <w:sz w:val="24"/>
        </w:rPr>
      </w:pPr>
      <w:r>
        <w:rPr>
          <w:sz w:val="24"/>
        </w:rPr>
        <w:t>到2025年，</w:t>
      </w:r>
      <w:r>
        <w:rPr>
          <w:rFonts w:hint="eastAsia"/>
          <w:sz w:val="24"/>
        </w:rPr>
        <w:t>预测全市</w:t>
      </w:r>
      <w:r>
        <w:rPr>
          <w:sz w:val="24"/>
        </w:rPr>
        <w:t>GDP将达到2650</w:t>
      </w:r>
      <w:r>
        <w:rPr>
          <w:rFonts w:hint="eastAsia"/>
          <w:sz w:val="24"/>
        </w:rPr>
        <w:t>亿元</w:t>
      </w:r>
      <w:r>
        <w:rPr>
          <w:sz w:val="24"/>
        </w:rPr>
        <w:t>，工业增加值将达到630亿元；到2030年</w:t>
      </w:r>
      <w:r>
        <w:rPr>
          <w:rFonts w:hint="eastAsia"/>
          <w:sz w:val="24"/>
        </w:rPr>
        <w:t>，预测全市</w:t>
      </w:r>
      <w:r>
        <w:rPr>
          <w:sz w:val="24"/>
        </w:rPr>
        <w:t>GDP达到3072亿元，工业增加值将达到812亿元。</w:t>
      </w:r>
    </w:p>
    <w:p>
      <w:pPr>
        <w:adjustRightInd w:val="0"/>
        <w:snapToGrid w:val="0"/>
        <w:spacing w:line="360" w:lineRule="auto"/>
        <w:ind w:firstLine="480" w:firstLineChars="200"/>
        <w:rPr>
          <w:sz w:val="24"/>
        </w:rPr>
      </w:pPr>
      <w:r>
        <w:rPr>
          <w:sz w:val="24"/>
        </w:rPr>
        <w:t>2020～2025年GDP增长速度为9.7%；2025～2030年GDP增长速度为3.0%；2020～2030年GDP增长速度为</w:t>
      </w:r>
      <w:r>
        <w:rPr>
          <w:rFonts w:hint="eastAsia"/>
          <w:sz w:val="24"/>
        </w:rPr>
        <w:t>6.</w:t>
      </w:r>
      <w:r>
        <w:rPr>
          <w:sz w:val="24"/>
        </w:rPr>
        <w:t>3%</w:t>
      </w:r>
      <w:r>
        <w:rPr>
          <w:rFonts w:hint="eastAsia"/>
          <w:sz w:val="24"/>
        </w:rPr>
        <w:t>。</w:t>
      </w:r>
      <w:r>
        <w:rPr>
          <w:sz w:val="24"/>
        </w:rPr>
        <w:t>随着国民经济的快速发展，经济结构也在不断的改变，一产在GDP中所占的比重逐渐降低，而三产在GDP中所占比例在不断上升。</w:t>
      </w:r>
    </w:p>
    <w:p>
      <w:pPr>
        <w:adjustRightInd w:val="0"/>
        <w:snapToGrid w:val="0"/>
        <w:spacing w:line="360" w:lineRule="auto"/>
        <w:ind w:firstLine="480" w:firstLineChars="200"/>
        <w:rPr>
          <w:sz w:val="24"/>
        </w:rPr>
      </w:pPr>
      <w:r>
        <w:rPr>
          <w:sz w:val="24"/>
        </w:rPr>
        <w:t>六安市国民经济发展预测见表4.1</w:t>
      </w:r>
      <w:r>
        <w:rPr>
          <w:rFonts w:hint="eastAsia"/>
          <w:sz w:val="24"/>
        </w:rPr>
        <w:t>.</w:t>
      </w:r>
      <w:r>
        <w:rPr>
          <w:sz w:val="24"/>
        </w:rPr>
        <w:t>4～4.1</w:t>
      </w:r>
      <w:r>
        <w:rPr>
          <w:rFonts w:hint="eastAsia"/>
          <w:sz w:val="24"/>
        </w:rPr>
        <w:t>.</w:t>
      </w:r>
      <w:r>
        <w:rPr>
          <w:sz w:val="24"/>
        </w:rPr>
        <w:t>6。</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wordWrap w:val="0"/>
        <w:adjustRightInd w:val="0"/>
        <w:snapToGrid w:val="0"/>
        <w:spacing w:line="360" w:lineRule="auto"/>
        <w:jc w:val="right"/>
        <w:rPr>
          <w:sz w:val="18"/>
          <w:szCs w:val="18"/>
        </w:rPr>
      </w:pPr>
      <w:r>
        <w:rPr>
          <w:rFonts w:hAnsi="宋体"/>
          <w:b/>
          <w:sz w:val="24"/>
          <w:szCs w:val="24"/>
        </w:rPr>
        <w:t>表4</w:t>
      </w:r>
      <w:r>
        <w:rPr>
          <w:rFonts w:hint="eastAsia" w:hAnsi="宋体"/>
          <w:b/>
          <w:sz w:val="24"/>
          <w:szCs w:val="24"/>
        </w:rPr>
        <w:t>.</w:t>
      </w:r>
      <w:r>
        <w:rPr>
          <w:rFonts w:hAnsi="宋体"/>
          <w:b/>
          <w:sz w:val="24"/>
          <w:szCs w:val="24"/>
        </w:rPr>
        <w:t>1</w:t>
      </w:r>
      <w:r>
        <w:rPr>
          <w:rFonts w:hint="eastAsia" w:hAnsi="宋体"/>
          <w:b/>
          <w:sz w:val="24"/>
          <w:szCs w:val="24"/>
        </w:rPr>
        <w:t>.</w:t>
      </w:r>
      <w:r>
        <w:rPr>
          <w:rFonts w:hAnsi="宋体"/>
          <w:b/>
          <w:sz w:val="24"/>
          <w:szCs w:val="24"/>
        </w:rPr>
        <w:t>4  六安市国民经济发展预测表</w:t>
      </w:r>
      <w:r>
        <w:rPr>
          <w:rFonts w:hAnsi="宋体"/>
          <w:b/>
        </w:rPr>
        <w:t xml:space="preserve"> </w:t>
      </w:r>
      <w:r>
        <w:rPr>
          <w:rFonts w:hint="eastAsia" w:hAnsi="宋体"/>
          <w:b/>
        </w:rPr>
        <w:t xml:space="preserve">  </w:t>
      </w:r>
      <w:r>
        <w:rPr>
          <w:sz w:val="21"/>
        </w:rPr>
        <w:t xml:space="preserve">  </w:t>
      </w:r>
      <w:r>
        <w:rPr>
          <w:rFonts w:hint="eastAsia"/>
          <w:sz w:val="21"/>
        </w:rPr>
        <w:t xml:space="preserve">  </w:t>
      </w:r>
      <w:r>
        <w:rPr>
          <w:sz w:val="21"/>
        </w:rPr>
        <w:t xml:space="preserve">     </w:t>
      </w:r>
      <w:r>
        <w:rPr>
          <w:sz w:val="18"/>
          <w:szCs w:val="18"/>
        </w:rPr>
        <w:t>单位：亿元</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270"/>
        <w:gridCol w:w="1367"/>
        <w:gridCol w:w="1367"/>
        <w:gridCol w:w="1392"/>
        <w:gridCol w:w="124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vMerge w:val="restart"/>
            <w:vAlign w:val="center"/>
          </w:tcPr>
          <w:p>
            <w:pPr>
              <w:spacing w:line="240" w:lineRule="exact"/>
              <w:jc w:val="center"/>
              <w:rPr>
                <w:sz w:val="18"/>
                <w:szCs w:val="18"/>
              </w:rPr>
            </w:pPr>
            <w:r>
              <w:rPr>
                <w:sz w:val="18"/>
                <w:szCs w:val="18"/>
              </w:rPr>
              <w:t>水平年</w:t>
            </w:r>
          </w:p>
        </w:tc>
        <w:tc>
          <w:tcPr>
            <w:tcW w:w="719" w:type="pct"/>
            <w:vMerge w:val="restart"/>
            <w:vAlign w:val="center"/>
          </w:tcPr>
          <w:p>
            <w:pPr>
              <w:spacing w:line="240" w:lineRule="exact"/>
              <w:jc w:val="center"/>
              <w:rPr>
                <w:sz w:val="18"/>
                <w:szCs w:val="18"/>
              </w:rPr>
            </w:pPr>
            <w:r>
              <w:rPr>
                <w:sz w:val="18"/>
                <w:szCs w:val="18"/>
              </w:rPr>
              <w:t>一产</w:t>
            </w:r>
          </w:p>
        </w:tc>
        <w:tc>
          <w:tcPr>
            <w:tcW w:w="2335" w:type="pct"/>
            <w:gridSpan w:val="3"/>
            <w:noWrap/>
            <w:vAlign w:val="center"/>
          </w:tcPr>
          <w:p>
            <w:pPr>
              <w:spacing w:line="240" w:lineRule="exact"/>
              <w:jc w:val="center"/>
              <w:rPr>
                <w:sz w:val="18"/>
                <w:szCs w:val="18"/>
              </w:rPr>
            </w:pPr>
            <w:r>
              <w:rPr>
                <w:sz w:val="18"/>
                <w:szCs w:val="18"/>
              </w:rPr>
              <w:t>二产</w:t>
            </w:r>
          </w:p>
        </w:tc>
        <w:tc>
          <w:tcPr>
            <w:tcW w:w="705" w:type="pct"/>
            <w:vMerge w:val="restart"/>
            <w:vAlign w:val="center"/>
          </w:tcPr>
          <w:p>
            <w:pPr>
              <w:spacing w:line="240" w:lineRule="exact"/>
              <w:jc w:val="center"/>
              <w:rPr>
                <w:sz w:val="18"/>
                <w:szCs w:val="18"/>
              </w:rPr>
            </w:pPr>
            <w:r>
              <w:rPr>
                <w:sz w:val="18"/>
                <w:szCs w:val="18"/>
              </w:rPr>
              <w:t>三产</w:t>
            </w:r>
          </w:p>
        </w:tc>
        <w:tc>
          <w:tcPr>
            <w:tcW w:w="683" w:type="pct"/>
            <w:vMerge w:val="restart"/>
            <w:vAlign w:val="center"/>
          </w:tcPr>
          <w:p>
            <w:pPr>
              <w:spacing w:line="240" w:lineRule="exact"/>
              <w:jc w:val="center"/>
              <w:rPr>
                <w:sz w:val="18"/>
                <w:szCs w:val="18"/>
              </w:rPr>
            </w:pPr>
            <w:r>
              <w:rPr>
                <w:sz w:val="18"/>
                <w:szCs w:val="18"/>
              </w:rPr>
              <w:t>GDP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vMerge w:val="continue"/>
            <w:vAlign w:val="center"/>
          </w:tcPr>
          <w:p>
            <w:pPr>
              <w:spacing w:line="240" w:lineRule="exact"/>
              <w:rPr>
                <w:sz w:val="18"/>
                <w:szCs w:val="18"/>
              </w:rPr>
            </w:pPr>
          </w:p>
        </w:tc>
        <w:tc>
          <w:tcPr>
            <w:tcW w:w="719" w:type="pct"/>
            <w:vMerge w:val="continue"/>
            <w:vAlign w:val="center"/>
          </w:tcPr>
          <w:p>
            <w:pPr>
              <w:spacing w:line="240" w:lineRule="exact"/>
              <w:rPr>
                <w:sz w:val="18"/>
                <w:szCs w:val="18"/>
              </w:rPr>
            </w:pPr>
          </w:p>
        </w:tc>
        <w:tc>
          <w:tcPr>
            <w:tcW w:w="774" w:type="pct"/>
            <w:noWrap/>
            <w:vAlign w:val="center"/>
          </w:tcPr>
          <w:p>
            <w:pPr>
              <w:spacing w:line="240" w:lineRule="exact"/>
              <w:jc w:val="center"/>
              <w:rPr>
                <w:sz w:val="18"/>
                <w:szCs w:val="18"/>
              </w:rPr>
            </w:pPr>
            <w:r>
              <w:rPr>
                <w:sz w:val="18"/>
                <w:szCs w:val="18"/>
              </w:rPr>
              <w:t>工业</w:t>
            </w:r>
          </w:p>
        </w:tc>
        <w:tc>
          <w:tcPr>
            <w:tcW w:w="774" w:type="pct"/>
            <w:noWrap/>
            <w:vAlign w:val="center"/>
          </w:tcPr>
          <w:p>
            <w:pPr>
              <w:spacing w:line="240" w:lineRule="exact"/>
              <w:jc w:val="center"/>
              <w:rPr>
                <w:sz w:val="18"/>
                <w:szCs w:val="18"/>
              </w:rPr>
            </w:pPr>
            <w:r>
              <w:rPr>
                <w:sz w:val="18"/>
                <w:szCs w:val="18"/>
              </w:rPr>
              <w:t>建筑业</w:t>
            </w:r>
          </w:p>
        </w:tc>
        <w:tc>
          <w:tcPr>
            <w:tcW w:w="788" w:type="pct"/>
            <w:noWrap/>
            <w:vAlign w:val="center"/>
          </w:tcPr>
          <w:p>
            <w:pPr>
              <w:spacing w:line="240" w:lineRule="exact"/>
              <w:jc w:val="center"/>
              <w:rPr>
                <w:sz w:val="18"/>
                <w:szCs w:val="18"/>
              </w:rPr>
            </w:pPr>
            <w:r>
              <w:rPr>
                <w:sz w:val="18"/>
                <w:szCs w:val="18"/>
              </w:rPr>
              <w:t>小计</w:t>
            </w:r>
          </w:p>
        </w:tc>
        <w:tc>
          <w:tcPr>
            <w:tcW w:w="705" w:type="pct"/>
            <w:vMerge w:val="continue"/>
            <w:vAlign w:val="center"/>
          </w:tcPr>
          <w:p>
            <w:pPr>
              <w:spacing w:line="240" w:lineRule="exact"/>
              <w:rPr>
                <w:sz w:val="18"/>
                <w:szCs w:val="18"/>
              </w:rPr>
            </w:pPr>
          </w:p>
        </w:tc>
        <w:tc>
          <w:tcPr>
            <w:tcW w:w="683" w:type="pct"/>
            <w:vMerge w:val="continue"/>
            <w:vAlign w:val="center"/>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pPr>
              <w:widowControl/>
              <w:adjustRightInd w:val="0"/>
              <w:snapToGrid w:val="0"/>
              <w:spacing w:line="240" w:lineRule="exact"/>
              <w:jc w:val="center"/>
              <w:rPr>
                <w:kern w:val="0"/>
                <w:sz w:val="18"/>
                <w:szCs w:val="18"/>
              </w:rPr>
            </w:pPr>
            <w:r>
              <w:rPr>
                <w:rFonts w:eastAsia="等线"/>
                <w:sz w:val="18"/>
                <w:szCs w:val="18"/>
              </w:rPr>
              <w:t>2020</w:t>
            </w:r>
            <w:r>
              <w:rPr>
                <w:rFonts w:hint="eastAsia"/>
                <w:sz w:val="18"/>
                <w:szCs w:val="18"/>
              </w:rPr>
              <w:t>年</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238.7</w:t>
            </w:r>
          </w:p>
        </w:tc>
        <w:tc>
          <w:tcPr>
            <w:tcW w:w="774" w:type="pct"/>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429.0</w:t>
            </w:r>
          </w:p>
        </w:tc>
        <w:tc>
          <w:tcPr>
            <w:tcW w:w="774" w:type="pct"/>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177.6</w:t>
            </w:r>
          </w:p>
        </w:tc>
        <w:tc>
          <w:tcPr>
            <w:tcW w:w="788" w:type="pct"/>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606.6</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824.2</w:t>
            </w:r>
          </w:p>
        </w:tc>
        <w:tc>
          <w:tcPr>
            <w:tcW w:w="683" w:type="pct"/>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 xml:space="preserve">1669.5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pPr>
              <w:widowControl/>
              <w:adjustRightInd w:val="0"/>
              <w:snapToGrid w:val="0"/>
              <w:spacing w:line="240" w:lineRule="exact"/>
              <w:jc w:val="center"/>
              <w:rPr>
                <w:kern w:val="0"/>
                <w:sz w:val="18"/>
                <w:szCs w:val="18"/>
              </w:rPr>
            </w:pPr>
            <w:r>
              <w:rPr>
                <w:rFonts w:eastAsia="等线"/>
                <w:sz w:val="18"/>
                <w:szCs w:val="18"/>
              </w:rPr>
              <w:t>2025</w:t>
            </w:r>
            <w:r>
              <w:rPr>
                <w:rFonts w:hint="eastAsia"/>
                <w:sz w:val="18"/>
                <w:szCs w:val="18"/>
              </w:rPr>
              <w:t>年</w:t>
            </w:r>
          </w:p>
        </w:tc>
        <w:tc>
          <w:tcPr>
            <w:tcW w:w="719"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272.8</w:t>
            </w:r>
          </w:p>
        </w:tc>
        <w:tc>
          <w:tcPr>
            <w:tcW w:w="774"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630.1</w:t>
            </w:r>
          </w:p>
        </w:tc>
        <w:tc>
          <w:tcPr>
            <w:tcW w:w="774"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422.7</w:t>
            </w:r>
          </w:p>
        </w:tc>
        <w:tc>
          <w:tcPr>
            <w:tcW w:w="78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1052.8</w:t>
            </w:r>
          </w:p>
        </w:tc>
        <w:tc>
          <w:tcPr>
            <w:tcW w:w="705"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1324.5</w:t>
            </w:r>
          </w:p>
        </w:tc>
        <w:tc>
          <w:tcPr>
            <w:tcW w:w="683"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 xml:space="preserve">2650.1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57" w:type="pct"/>
            <w:noWrap/>
            <w:vAlign w:val="center"/>
          </w:tcPr>
          <w:p>
            <w:pPr>
              <w:widowControl/>
              <w:adjustRightInd w:val="0"/>
              <w:snapToGrid w:val="0"/>
              <w:spacing w:line="240" w:lineRule="exact"/>
              <w:jc w:val="center"/>
              <w:rPr>
                <w:kern w:val="0"/>
                <w:sz w:val="18"/>
                <w:szCs w:val="18"/>
              </w:rPr>
            </w:pPr>
            <w:r>
              <w:rPr>
                <w:rFonts w:eastAsia="等线"/>
                <w:sz w:val="18"/>
                <w:szCs w:val="18"/>
              </w:rPr>
              <w:t>2030</w:t>
            </w:r>
            <w:r>
              <w:rPr>
                <w:rFonts w:hint="eastAsia"/>
                <w:sz w:val="18"/>
                <w:szCs w:val="18"/>
              </w:rPr>
              <w:t>年</w:t>
            </w:r>
          </w:p>
        </w:tc>
        <w:tc>
          <w:tcPr>
            <w:tcW w:w="719" w:type="pct"/>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315.3</w:t>
            </w:r>
          </w:p>
        </w:tc>
        <w:tc>
          <w:tcPr>
            <w:tcW w:w="774"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812.2</w:t>
            </w:r>
          </w:p>
        </w:tc>
        <w:tc>
          <w:tcPr>
            <w:tcW w:w="774"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255.7</w:t>
            </w:r>
          </w:p>
        </w:tc>
        <w:tc>
          <w:tcPr>
            <w:tcW w:w="788"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1067.9</w:t>
            </w:r>
          </w:p>
        </w:tc>
        <w:tc>
          <w:tcPr>
            <w:tcW w:w="705"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1688.9</w:t>
            </w:r>
          </w:p>
        </w:tc>
        <w:tc>
          <w:tcPr>
            <w:tcW w:w="683"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sz w:val="18"/>
                <w:szCs w:val="18"/>
              </w:rPr>
            </w:pPr>
            <w:r>
              <w:rPr>
                <w:rFonts w:eastAsia="等线"/>
                <w:sz w:val="18"/>
                <w:szCs w:val="18"/>
              </w:rPr>
              <w:t xml:space="preserve">3072.1 </w:t>
            </w:r>
          </w:p>
        </w:tc>
      </w:tr>
    </w:tbl>
    <w:p>
      <w:pPr>
        <w:adjustRightInd w:val="0"/>
        <w:snapToGrid w:val="0"/>
        <w:ind w:firstLine="270" w:firstLineChars="150"/>
        <w:rPr>
          <w:sz w:val="18"/>
          <w:szCs w:val="18"/>
        </w:rPr>
      </w:pPr>
      <w:r>
        <w:rPr>
          <w:sz w:val="18"/>
          <w:szCs w:val="18"/>
        </w:rPr>
        <w:t>注：表中2025、2030年GDP以2020年为基准年。</w:t>
      </w:r>
    </w:p>
    <w:p>
      <w:pPr>
        <w:adjustRightInd w:val="0"/>
        <w:snapToGrid w:val="0"/>
        <w:spacing w:before="156" w:beforeLines="50" w:line="360" w:lineRule="auto"/>
        <w:jc w:val="right"/>
        <w:rPr>
          <w:sz w:val="21"/>
          <w:szCs w:val="21"/>
        </w:rPr>
      </w:pPr>
      <w:r>
        <w:rPr>
          <w:rFonts w:hAnsi="宋体"/>
          <w:b/>
          <w:sz w:val="24"/>
          <w:szCs w:val="24"/>
        </w:rPr>
        <w:t>表4.1</w:t>
      </w:r>
      <w:r>
        <w:rPr>
          <w:rFonts w:hint="eastAsia" w:hAnsi="宋体"/>
          <w:b/>
          <w:sz w:val="24"/>
          <w:szCs w:val="24"/>
        </w:rPr>
        <w:t>.</w:t>
      </w:r>
      <w:r>
        <w:rPr>
          <w:rFonts w:hAnsi="宋体"/>
          <w:b/>
          <w:sz w:val="24"/>
          <w:szCs w:val="24"/>
        </w:rPr>
        <w:t>5  六安市不同阶段经济增长速度预测表</w:t>
      </w:r>
      <w:r>
        <w:rPr>
          <w:sz w:val="21"/>
        </w:rPr>
        <w:t xml:space="preserve">     </w:t>
      </w:r>
      <w:r>
        <w:rPr>
          <w:rFonts w:hint="eastAsia"/>
          <w:sz w:val="21"/>
        </w:rPr>
        <w:t xml:space="preserve"> </w:t>
      </w:r>
      <w:r>
        <w:rPr>
          <w:sz w:val="18"/>
          <w:szCs w:val="18"/>
        </w:rPr>
        <w:t xml:space="preserve">   单位：%</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1178"/>
        <w:gridCol w:w="1143"/>
        <w:gridCol w:w="1579"/>
        <w:gridCol w:w="1143"/>
        <w:gridCol w:w="107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Merge w:val="restart"/>
            <w:vAlign w:val="center"/>
          </w:tcPr>
          <w:p>
            <w:pPr>
              <w:spacing w:line="240" w:lineRule="exact"/>
              <w:jc w:val="center"/>
              <w:rPr>
                <w:sz w:val="18"/>
                <w:szCs w:val="18"/>
              </w:rPr>
            </w:pPr>
            <w:r>
              <w:rPr>
                <w:sz w:val="18"/>
                <w:szCs w:val="18"/>
              </w:rPr>
              <w:t>水平年</w:t>
            </w:r>
          </w:p>
        </w:tc>
        <w:tc>
          <w:tcPr>
            <w:tcW w:w="667" w:type="pct"/>
            <w:vMerge w:val="restart"/>
            <w:vAlign w:val="center"/>
          </w:tcPr>
          <w:p>
            <w:pPr>
              <w:spacing w:line="240" w:lineRule="exact"/>
              <w:jc w:val="center"/>
              <w:rPr>
                <w:sz w:val="18"/>
                <w:szCs w:val="18"/>
              </w:rPr>
            </w:pPr>
            <w:r>
              <w:rPr>
                <w:sz w:val="18"/>
                <w:szCs w:val="18"/>
              </w:rPr>
              <w:t>一产</w:t>
            </w:r>
          </w:p>
        </w:tc>
        <w:tc>
          <w:tcPr>
            <w:tcW w:w="2188" w:type="pct"/>
            <w:gridSpan w:val="3"/>
            <w:noWrap/>
            <w:vAlign w:val="center"/>
          </w:tcPr>
          <w:p>
            <w:pPr>
              <w:spacing w:line="240" w:lineRule="exact"/>
              <w:jc w:val="center"/>
              <w:rPr>
                <w:sz w:val="18"/>
                <w:szCs w:val="18"/>
              </w:rPr>
            </w:pPr>
            <w:r>
              <w:rPr>
                <w:sz w:val="18"/>
                <w:szCs w:val="18"/>
              </w:rPr>
              <w:t>二产</w:t>
            </w:r>
          </w:p>
        </w:tc>
        <w:tc>
          <w:tcPr>
            <w:tcW w:w="606" w:type="pct"/>
            <w:vMerge w:val="restart"/>
            <w:vAlign w:val="center"/>
          </w:tcPr>
          <w:p>
            <w:pPr>
              <w:spacing w:line="240" w:lineRule="exact"/>
              <w:jc w:val="center"/>
              <w:rPr>
                <w:sz w:val="18"/>
                <w:szCs w:val="18"/>
              </w:rPr>
            </w:pPr>
            <w:r>
              <w:rPr>
                <w:sz w:val="18"/>
                <w:szCs w:val="18"/>
              </w:rPr>
              <w:t>三产</w:t>
            </w:r>
          </w:p>
        </w:tc>
        <w:tc>
          <w:tcPr>
            <w:tcW w:w="603" w:type="pct"/>
            <w:vMerge w:val="restart"/>
            <w:vAlign w:val="center"/>
          </w:tcPr>
          <w:p>
            <w:pPr>
              <w:spacing w:line="240" w:lineRule="exact"/>
              <w:jc w:val="center"/>
              <w:rPr>
                <w:sz w:val="18"/>
                <w:szCs w:val="18"/>
              </w:rPr>
            </w:pPr>
            <w:r>
              <w:rPr>
                <w:sz w:val="18"/>
                <w:szCs w:val="18"/>
              </w:rPr>
              <w:t>GDP</w:t>
            </w:r>
          </w:p>
          <w:p>
            <w:pPr>
              <w:spacing w:line="240" w:lineRule="exact"/>
              <w:jc w:val="center"/>
              <w:rPr>
                <w:sz w:val="18"/>
                <w:szCs w:val="18"/>
              </w:rPr>
            </w:pPr>
            <w:r>
              <w:rPr>
                <w:sz w:val="18"/>
                <w:szCs w:val="18"/>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Merge w:val="continue"/>
            <w:vAlign w:val="center"/>
          </w:tcPr>
          <w:p>
            <w:pPr>
              <w:spacing w:line="240" w:lineRule="exact"/>
              <w:jc w:val="center"/>
              <w:rPr>
                <w:sz w:val="18"/>
                <w:szCs w:val="18"/>
              </w:rPr>
            </w:pPr>
          </w:p>
        </w:tc>
        <w:tc>
          <w:tcPr>
            <w:tcW w:w="667" w:type="pct"/>
            <w:vMerge w:val="continue"/>
            <w:vAlign w:val="center"/>
          </w:tcPr>
          <w:p>
            <w:pPr>
              <w:spacing w:line="240" w:lineRule="exact"/>
              <w:jc w:val="center"/>
              <w:rPr>
                <w:sz w:val="18"/>
                <w:szCs w:val="18"/>
              </w:rPr>
            </w:pPr>
          </w:p>
        </w:tc>
        <w:tc>
          <w:tcPr>
            <w:tcW w:w="647" w:type="pct"/>
            <w:noWrap/>
            <w:vAlign w:val="center"/>
          </w:tcPr>
          <w:p>
            <w:pPr>
              <w:spacing w:line="240" w:lineRule="exact"/>
              <w:jc w:val="center"/>
              <w:rPr>
                <w:sz w:val="18"/>
                <w:szCs w:val="18"/>
              </w:rPr>
            </w:pPr>
            <w:r>
              <w:rPr>
                <w:sz w:val="18"/>
                <w:szCs w:val="18"/>
              </w:rPr>
              <w:t>工业</w:t>
            </w:r>
          </w:p>
        </w:tc>
        <w:tc>
          <w:tcPr>
            <w:tcW w:w="894" w:type="pct"/>
            <w:noWrap/>
            <w:vAlign w:val="center"/>
          </w:tcPr>
          <w:p>
            <w:pPr>
              <w:spacing w:line="240" w:lineRule="exact"/>
              <w:jc w:val="center"/>
              <w:rPr>
                <w:sz w:val="18"/>
                <w:szCs w:val="18"/>
              </w:rPr>
            </w:pPr>
            <w:r>
              <w:rPr>
                <w:sz w:val="18"/>
                <w:szCs w:val="18"/>
              </w:rPr>
              <w:t>建筑业</w:t>
            </w:r>
          </w:p>
        </w:tc>
        <w:tc>
          <w:tcPr>
            <w:tcW w:w="647" w:type="pct"/>
            <w:noWrap/>
            <w:vAlign w:val="center"/>
          </w:tcPr>
          <w:p>
            <w:pPr>
              <w:spacing w:line="240" w:lineRule="exact"/>
              <w:jc w:val="center"/>
              <w:rPr>
                <w:sz w:val="18"/>
                <w:szCs w:val="18"/>
              </w:rPr>
            </w:pPr>
            <w:r>
              <w:rPr>
                <w:sz w:val="18"/>
                <w:szCs w:val="18"/>
              </w:rPr>
              <w:t>小计</w:t>
            </w:r>
          </w:p>
        </w:tc>
        <w:tc>
          <w:tcPr>
            <w:tcW w:w="606" w:type="pct"/>
            <w:vMerge w:val="continue"/>
            <w:vAlign w:val="center"/>
          </w:tcPr>
          <w:p>
            <w:pPr>
              <w:spacing w:line="240" w:lineRule="exact"/>
              <w:jc w:val="center"/>
              <w:rPr>
                <w:sz w:val="18"/>
                <w:szCs w:val="18"/>
              </w:rPr>
            </w:pPr>
          </w:p>
        </w:tc>
        <w:tc>
          <w:tcPr>
            <w:tcW w:w="603" w:type="pct"/>
            <w:vMerge w:val="continue"/>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pPr>
              <w:widowControl/>
              <w:adjustRightInd w:val="0"/>
              <w:snapToGrid w:val="0"/>
              <w:spacing w:line="240" w:lineRule="exact"/>
              <w:jc w:val="center"/>
              <w:rPr>
                <w:b/>
                <w:kern w:val="0"/>
                <w:sz w:val="18"/>
                <w:szCs w:val="18"/>
              </w:rPr>
            </w:pPr>
            <w:r>
              <w:rPr>
                <w:rFonts w:eastAsia="等线"/>
                <w:sz w:val="18"/>
                <w:szCs w:val="18"/>
              </w:rPr>
              <w:t>2020</w:t>
            </w:r>
            <w:r>
              <w:rPr>
                <w:rFonts w:hint="eastAsia"/>
                <w:sz w:val="18"/>
                <w:szCs w:val="18"/>
              </w:rPr>
              <w:t>～</w:t>
            </w:r>
            <w:r>
              <w:rPr>
                <w:rFonts w:eastAsia="等线"/>
                <w:sz w:val="18"/>
                <w:szCs w:val="18"/>
              </w:rPr>
              <w:t>2025</w:t>
            </w:r>
            <w:r>
              <w:rPr>
                <w:rFonts w:hint="eastAsia"/>
                <w:sz w:val="18"/>
                <w:szCs w:val="18"/>
              </w:rPr>
              <w:t>年</w:t>
            </w:r>
          </w:p>
        </w:tc>
        <w:tc>
          <w:tcPr>
            <w:tcW w:w="667" w:type="pct"/>
            <w:noWrap/>
            <w:vAlign w:val="center"/>
          </w:tcPr>
          <w:p>
            <w:pPr>
              <w:spacing w:line="240" w:lineRule="exact"/>
              <w:jc w:val="center"/>
              <w:rPr>
                <w:sz w:val="18"/>
                <w:szCs w:val="18"/>
              </w:rPr>
            </w:pPr>
            <w:r>
              <w:rPr>
                <w:rFonts w:eastAsia="等线"/>
                <w:sz w:val="18"/>
                <w:szCs w:val="18"/>
              </w:rPr>
              <w:t>2.7</w:t>
            </w:r>
          </w:p>
        </w:tc>
        <w:tc>
          <w:tcPr>
            <w:tcW w:w="647" w:type="pct"/>
            <w:noWrap/>
            <w:vAlign w:val="center"/>
          </w:tcPr>
          <w:p>
            <w:pPr>
              <w:spacing w:line="240" w:lineRule="exact"/>
              <w:jc w:val="center"/>
              <w:rPr>
                <w:sz w:val="18"/>
                <w:szCs w:val="18"/>
              </w:rPr>
            </w:pPr>
            <w:r>
              <w:rPr>
                <w:rFonts w:eastAsia="等线"/>
                <w:sz w:val="18"/>
                <w:szCs w:val="18"/>
              </w:rPr>
              <w:t>8.0</w:t>
            </w:r>
          </w:p>
        </w:tc>
        <w:tc>
          <w:tcPr>
            <w:tcW w:w="894" w:type="pct"/>
            <w:noWrap/>
            <w:vAlign w:val="center"/>
          </w:tcPr>
          <w:p>
            <w:pPr>
              <w:spacing w:line="240" w:lineRule="exact"/>
              <w:jc w:val="center"/>
              <w:rPr>
                <w:sz w:val="18"/>
                <w:szCs w:val="18"/>
              </w:rPr>
            </w:pPr>
            <w:r>
              <w:rPr>
                <w:rFonts w:eastAsia="等线"/>
                <w:sz w:val="18"/>
                <w:szCs w:val="18"/>
              </w:rPr>
              <w:t>18.9</w:t>
            </w:r>
          </w:p>
        </w:tc>
        <w:tc>
          <w:tcPr>
            <w:tcW w:w="647" w:type="pct"/>
            <w:noWrap/>
            <w:vAlign w:val="center"/>
          </w:tcPr>
          <w:p>
            <w:pPr>
              <w:spacing w:line="240" w:lineRule="exact"/>
              <w:jc w:val="center"/>
              <w:rPr>
                <w:sz w:val="18"/>
                <w:szCs w:val="18"/>
              </w:rPr>
            </w:pPr>
            <w:r>
              <w:rPr>
                <w:rFonts w:eastAsia="等线"/>
                <w:sz w:val="18"/>
                <w:szCs w:val="18"/>
              </w:rPr>
              <w:t>11.7</w:t>
            </w:r>
          </w:p>
        </w:tc>
        <w:tc>
          <w:tcPr>
            <w:tcW w:w="606" w:type="pct"/>
            <w:noWrap/>
            <w:vAlign w:val="center"/>
          </w:tcPr>
          <w:p>
            <w:pPr>
              <w:spacing w:line="240" w:lineRule="exact"/>
              <w:jc w:val="center"/>
              <w:rPr>
                <w:sz w:val="18"/>
                <w:szCs w:val="18"/>
              </w:rPr>
            </w:pPr>
            <w:r>
              <w:rPr>
                <w:rFonts w:eastAsia="等线"/>
                <w:sz w:val="18"/>
                <w:szCs w:val="18"/>
              </w:rPr>
              <w:t>10.0</w:t>
            </w:r>
          </w:p>
        </w:tc>
        <w:tc>
          <w:tcPr>
            <w:tcW w:w="603" w:type="pct"/>
            <w:noWrap/>
            <w:vAlign w:val="center"/>
          </w:tcPr>
          <w:p>
            <w:pPr>
              <w:spacing w:line="240" w:lineRule="exact"/>
              <w:jc w:val="center"/>
              <w:rPr>
                <w:sz w:val="18"/>
                <w:szCs w:val="18"/>
              </w:rPr>
            </w:pPr>
            <w:r>
              <w:rPr>
                <w:rFonts w:eastAsia="等线"/>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pPr>
              <w:widowControl/>
              <w:adjustRightInd w:val="0"/>
              <w:snapToGrid w:val="0"/>
              <w:spacing w:line="240" w:lineRule="exact"/>
              <w:jc w:val="center"/>
              <w:rPr>
                <w:kern w:val="0"/>
                <w:sz w:val="18"/>
                <w:szCs w:val="18"/>
              </w:rPr>
            </w:pPr>
            <w:r>
              <w:rPr>
                <w:rFonts w:eastAsia="等线"/>
                <w:sz w:val="18"/>
                <w:szCs w:val="18"/>
              </w:rPr>
              <w:t>2025</w:t>
            </w:r>
            <w:r>
              <w:rPr>
                <w:rFonts w:hint="eastAsia"/>
                <w:sz w:val="18"/>
                <w:szCs w:val="18"/>
              </w:rPr>
              <w:t>～</w:t>
            </w:r>
            <w:r>
              <w:rPr>
                <w:rFonts w:eastAsia="等线"/>
                <w:sz w:val="18"/>
                <w:szCs w:val="18"/>
              </w:rPr>
              <w:t>2030</w:t>
            </w:r>
            <w:r>
              <w:rPr>
                <w:rFonts w:hint="eastAsia"/>
                <w:sz w:val="18"/>
                <w:szCs w:val="18"/>
              </w:rPr>
              <w:t>年</w:t>
            </w:r>
          </w:p>
        </w:tc>
        <w:tc>
          <w:tcPr>
            <w:tcW w:w="667" w:type="pct"/>
            <w:noWrap/>
            <w:vAlign w:val="center"/>
          </w:tcPr>
          <w:p>
            <w:pPr>
              <w:spacing w:line="240" w:lineRule="exact"/>
              <w:jc w:val="center"/>
              <w:rPr>
                <w:sz w:val="18"/>
                <w:szCs w:val="18"/>
              </w:rPr>
            </w:pPr>
            <w:r>
              <w:rPr>
                <w:rFonts w:eastAsia="等线"/>
                <w:sz w:val="18"/>
                <w:szCs w:val="18"/>
              </w:rPr>
              <w:t>2.9</w:t>
            </w:r>
          </w:p>
        </w:tc>
        <w:tc>
          <w:tcPr>
            <w:tcW w:w="647" w:type="pct"/>
            <w:noWrap/>
            <w:vAlign w:val="center"/>
          </w:tcPr>
          <w:p>
            <w:pPr>
              <w:spacing w:line="240" w:lineRule="exact"/>
              <w:jc w:val="center"/>
              <w:rPr>
                <w:sz w:val="18"/>
                <w:szCs w:val="18"/>
              </w:rPr>
            </w:pPr>
            <w:r>
              <w:rPr>
                <w:rFonts w:eastAsia="等线"/>
                <w:sz w:val="18"/>
                <w:szCs w:val="18"/>
              </w:rPr>
              <w:t>5.2</w:t>
            </w:r>
          </w:p>
        </w:tc>
        <w:tc>
          <w:tcPr>
            <w:tcW w:w="894" w:type="pct"/>
            <w:noWrap/>
            <w:vAlign w:val="center"/>
          </w:tcPr>
          <w:p>
            <w:pPr>
              <w:spacing w:line="240" w:lineRule="exact"/>
              <w:jc w:val="center"/>
              <w:rPr>
                <w:sz w:val="18"/>
                <w:szCs w:val="18"/>
              </w:rPr>
            </w:pPr>
            <w:r>
              <w:rPr>
                <w:rFonts w:eastAsia="等线"/>
                <w:sz w:val="18"/>
                <w:szCs w:val="18"/>
              </w:rPr>
              <w:t>-9.6</w:t>
            </w:r>
          </w:p>
        </w:tc>
        <w:tc>
          <w:tcPr>
            <w:tcW w:w="647" w:type="pct"/>
            <w:noWrap/>
            <w:vAlign w:val="center"/>
          </w:tcPr>
          <w:p>
            <w:pPr>
              <w:spacing w:line="240" w:lineRule="exact"/>
              <w:jc w:val="center"/>
              <w:rPr>
                <w:sz w:val="18"/>
                <w:szCs w:val="18"/>
              </w:rPr>
            </w:pPr>
            <w:r>
              <w:rPr>
                <w:rFonts w:eastAsia="等线"/>
                <w:sz w:val="18"/>
                <w:szCs w:val="18"/>
              </w:rPr>
              <w:t>0.3</w:t>
            </w:r>
          </w:p>
        </w:tc>
        <w:tc>
          <w:tcPr>
            <w:tcW w:w="606" w:type="pct"/>
            <w:noWrap/>
            <w:vAlign w:val="center"/>
          </w:tcPr>
          <w:p>
            <w:pPr>
              <w:spacing w:line="240" w:lineRule="exact"/>
              <w:jc w:val="center"/>
              <w:rPr>
                <w:sz w:val="18"/>
                <w:szCs w:val="18"/>
              </w:rPr>
            </w:pPr>
            <w:r>
              <w:rPr>
                <w:rFonts w:eastAsia="等线"/>
                <w:sz w:val="18"/>
                <w:szCs w:val="18"/>
              </w:rPr>
              <w:t>5.0</w:t>
            </w:r>
          </w:p>
        </w:tc>
        <w:tc>
          <w:tcPr>
            <w:tcW w:w="603" w:type="pct"/>
            <w:noWrap/>
            <w:vAlign w:val="center"/>
          </w:tcPr>
          <w:p>
            <w:pPr>
              <w:spacing w:line="240" w:lineRule="exact"/>
              <w:jc w:val="center"/>
              <w:rPr>
                <w:sz w:val="18"/>
                <w:szCs w:val="18"/>
              </w:rPr>
            </w:pPr>
            <w:r>
              <w:rPr>
                <w:rFonts w:eastAsia="等线"/>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6" w:type="pct"/>
            <w:vAlign w:val="center"/>
          </w:tcPr>
          <w:p>
            <w:pPr>
              <w:widowControl/>
              <w:adjustRightInd w:val="0"/>
              <w:snapToGrid w:val="0"/>
              <w:spacing w:line="240" w:lineRule="exact"/>
              <w:jc w:val="center"/>
              <w:rPr>
                <w:kern w:val="0"/>
                <w:sz w:val="18"/>
                <w:szCs w:val="18"/>
              </w:rPr>
            </w:pPr>
            <w:r>
              <w:rPr>
                <w:rFonts w:eastAsia="等线"/>
                <w:sz w:val="18"/>
                <w:szCs w:val="18"/>
              </w:rPr>
              <w:t>2020</w:t>
            </w:r>
            <w:r>
              <w:rPr>
                <w:rFonts w:hint="eastAsia"/>
                <w:sz w:val="18"/>
                <w:szCs w:val="18"/>
              </w:rPr>
              <w:t>～</w:t>
            </w:r>
            <w:r>
              <w:rPr>
                <w:rFonts w:eastAsia="等线"/>
                <w:sz w:val="18"/>
                <w:szCs w:val="18"/>
              </w:rPr>
              <w:t>2030</w:t>
            </w:r>
            <w:r>
              <w:rPr>
                <w:rFonts w:hint="eastAsia"/>
                <w:sz w:val="18"/>
                <w:szCs w:val="18"/>
              </w:rPr>
              <w:t>年</w:t>
            </w:r>
          </w:p>
        </w:tc>
        <w:tc>
          <w:tcPr>
            <w:tcW w:w="667" w:type="pct"/>
            <w:noWrap/>
            <w:vAlign w:val="center"/>
          </w:tcPr>
          <w:p>
            <w:pPr>
              <w:spacing w:line="240" w:lineRule="exact"/>
              <w:jc w:val="center"/>
              <w:rPr>
                <w:sz w:val="18"/>
                <w:szCs w:val="18"/>
              </w:rPr>
            </w:pPr>
            <w:r>
              <w:rPr>
                <w:rFonts w:eastAsia="等线"/>
                <w:sz w:val="18"/>
                <w:szCs w:val="18"/>
              </w:rPr>
              <w:t>2.8</w:t>
            </w:r>
          </w:p>
        </w:tc>
        <w:tc>
          <w:tcPr>
            <w:tcW w:w="647" w:type="pct"/>
            <w:noWrap/>
            <w:vAlign w:val="center"/>
          </w:tcPr>
          <w:p>
            <w:pPr>
              <w:spacing w:line="240" w:lineRule="exact"/>
              <w:jc w:val="center"/>
              <w:rPr>
                <w:sz w:val="18"/>
                <w:szCs w:val="18"/>
              </w:rPr>
            </w:pPr>
            <w:r>
              <w:rPr>
                <w:rFonts w:eastAsia="等线"/>
                <w:sz w:val="18"/>
                <w:szCs w:val="18"/>
              </w:rPr>
              <w:t>6.6</w:t>
            </w:r>
          </w:p>
        </w:tc>
        <w:tc>
          <w:tcPr>
            <w:tcW w:w="894" w:type="pct"/>
            <w:noWrap/>
            <w:vAlign w:val="center"/>
          </w:tcPr>
          <w:p>
            <w:pPr>
              <w:spacing w:line="240" w:lineRule="exact"/>
              <w:jc w:val="center"/>
              <w:rPr>
                <w:sz w:val="18"/>
                <w:szCs w:val="18"/>
              </w:rPr>
            </w:pPr>
            <w:r>
              <w:rPr>
                <w:rFonts w:eastAsia="等线"/>
                <w:sz w:val="18"/>
                <w:szCs w:val="18"/>
              </w:rPr>
              <w:t>3.7</w:t>
            </w:r>
          </w:p>
        </w:tc>
        <w:tc>
          <w:tcPr>
            <w:tcW w:w="647" w:type="pct"/>
            <w:noWrap/>
            <w:vAlign w:val="center"/>
          </w:tcPr>
          <w:p>
            <w:pPr>
              <w:spacing w:line="240" w:lineRule="exact"/>
              <w:jc w:val="center"/>
              <w:rPr>
                <w:sz w:val="18"/>
                <w:szCs w:val="18"/>
              </w:rPr>
            </w:pPr>
            <w:r>
              <w:rPr>
                <w:rFonts w:eastAsia="等线"/>
                <w:sz w:val="18"/>
                <w:szCs w:val="18"/>
              </w:rPr>
              <w:t>5.8</w:t>
            </w:r>
          </w:p>
        </w:tc>
        <w:tc>
          <w:tcPr>
            <w:tcW w:w="606" w:type="pct"/>
            <w:noWrap/>
            <w:vAlign w:val="center"/>
          </w:tcPr>
          <w:p>
            <w:pPr>
              <w:spacing w:line="240" w:lineRule="exact"/>
              <w:jc w:val="center"/>
              <w:rPr>
                <w:sz w:val="18"/>
                <w:szCs w:val="18"/>
              </w:rPr>
            </w:pPr>
            <w:r>
              <w:rPr>
                <w:rFonts w:eastAsia="等线"/>
                <w:sz w:val="18"/>
                <w:szCs w:val="18"/>
              </w:rPr>
              <w:t>7.4</w:t>
            </w:r>
          </w:p>
        </w:tc>
        <w:tc>
          <w:tcPr>
            <w:tcW w:w="603" w:type="pct"/>
            <w:noWrap/>
            <w:vAlign w:val="center"/>
          </w:tcPr>
          <w:p>
            <w:pPr>
              <w:spacing w:line="240" w:lineRule="exact"/>
              <w:jc w:val="center"/>
              <w:rPr>
                <w:sz w:val="18"/>
                <w:szCs w:val="18"/>
              </w:rPr>
            </w:pPr>
            <w:r>
              <w:rPr>
                <w:rFonts w:eastAsia="等线"/>
                <w:sz w:val="18"/>
                <w:szCs w:val="18"/>
              </w:rPr>
              <w:t>6.3</w:t>
            </w:r>
          </w:p>
        </w:tc>
      </w:tr>
    </w:tbl>
    <w:p>
      <w:pPr>
        <w:adjustRightInd w:val="0"/>
        <w:snapToGrid w:val="0"/>
        <w:ind w:firstLine="270" w:firstLineChars="150"/>
        <w:rPr>
          <w:sz w:val="18"/>
          <w:szCs w:val="18"/>
        </w:rPr>
      </w:pPr>
    </w:p>
    <w:p>
      <w:pPr>
        <w:wordWrap w:val="0"/>
        <w:adjustRightInd w:val="0"/>
        <w:snapToGrid w:val="0"/>
        <w:spacing w:line="360" w:lineRule="auto"/>
        <w:jc w:val="right"/>
        <w:rPr>
          <w:rFonts w:hAnsi="宋体"/>
          <w:b/>
        </w:rPr>
      </w:pPr>
      <w:r>
        <w:rPr>
          <w:rFonts w:hAnsi="宋体"/>
          <w:b/>
          <w:sz w:val="24"/>
          <w:szCs w:val="24"/>
        </w:rPr>
        <w:t>表4.1</w:t>
      </w:r>
      <w:r>
        <w:rPr>
          <w:rFonts w:hint="eastAsia" w:hAnsi="宋体"/>
          <w:b/>
          <w:sz w:val="24"/>
          <w:szCs w:val="24"/>
        </w:rPr>
        <w:t>.</w:t>
      </w:r>
      <w:r>
        <w:rPr>
          <w:rFonts w:hAnsi="宋体"/>
          <w:b/>
          <w:sz w:val="24"/>
          <w:szCs w:val="24"/>
        </w:rPr>
        <w:t>6  六安市产业结构变化预测表</w:t>
      </w:r>
      <w:r>
        <w:rPr>
          <w:rFonts w:hAnsi="宋体"/>
          <w:b/>
        </w:rPr>
        <w:t xml:space="preserve">   </w:t>
      </w:r>
      <w:r>
        <w:rPr>
          <w:rFonts w:hint="eastAsia" w:hAnsi="宋体"/>
          <w:b/>
        </w:rPr>
        <w:t xml:space="preserve">    </w:t>
      </w:r>
      <w:r>
        <w:rPr>
          <w:rFonts w:hAnsi="宋体"/>
          <w:b/>
        </w:rPr>
        <w:t xml:space="preserve">  </w:t>
      </w:r>
      <w:r>
        <w:rPr>
          <w:rFonts w:hint="eastAsia" w:hAnsi="宋体"/>
          <w:b/>
        </w:rPr>
        <w:t xml:space="preserve"> </w:t>
      </w:r>
      <w:r>
        <w:rPr>
          <w:rFonts w:hAnsi="宋体"/>
          <w:b/>
        </w:rPr>
        <w:t xml:space="preserve">   </w:t>
      </w:r>
      <w:r>
        <w:rPr>
          <w:sz w:val="18"/>
          <w:szCs w:val="18"/>
        </w:rPr>
        <w:t>单位：%</w:t>
      </w:r>
      <w:r>
        <w:rPr>
          <w:rFonts w:hint="eastAsia"/>
          <w:sz w:val="18"/>
          <w:szCs w:val="18"/>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2178"/>
        <w:gridCol w:w="2189"/>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287" w:type="pct"/>
            <w:noWrap/>
            <w:vAlign w:val="center"/>
          </w:tcPr>
          <w:p>
            <w:pPr>
              <w:spacing w:line="240" w:lineRule="exact"/>
              <w:jc w:val="center"/>
              <w:rPr>
                <w:sz w:val="18"/>
                <w:szCs w:val="18"/>
              </w:rPr>
            </w:pPr>
            <w:r>
              <w:rPr>
                <w:sz w:val="18"/>
                <w:szCs w:val="18"/>
              </w:rPr>
              <w:t>水平年</w:t>
            </w:r>
          </w:p>
        </w:tc>
        <w:tc>
          <w:tcPr>
            <w:tcW w:w="1233" w:type="pct"/>
            <w:noWrap/>
            <w:vAlign w:val="center"/>
          </w:tcPr>
          <w:p>
            <w:pPr>
              <w:spacing w:line="240" w:lineRule="exact"/>
              <w:jc w:val="center"/>
              <w:rPr>
                <w:sz w:val="18"/>
                <w:szCs w:val="18"/>
              </w:rPr>
            </w:pPr>
            <w:r>
              <w:rPr>
                <w:sz w:val="18"/>
                <w:szCs w:val="18"/>
              </w:rPr>
              <w:t>一产</w:t>
            </w:r>
          </w:p>
        </w:tc>
        <w:tc>
          <w:tcPr>
            <w:tcW w:w="1239" w:type="pct"/>
            <w:noWrap/>
            <w:vAlign w:val="center"/>
          </w:tcPr>
          <w:p>
            <w:pPr>
              <w:spacing w:line="240" w:lineRule="exact"/>
              <w:jc w:val="center"/>
              <w:rPr>
                <w:sz w:val="18"/>
                <w:szCs w:val="18"/>
              </w:rPr>
            </w:pPr>
            <w:r>
              <w:rPr>
                <w:sz w:val="18"/>
                <w:szCs w:val="18"/>
              </w:rPr>
              <w:t>二产</w:t>
            </w:r>
          </w:p>
        </w:tc>
        <w:tc>
          <w:tcPr>
            <w:tcW w:w="1241" w:type="pct"/>
            <w:noWrap/>
            <w:vAlign w:val="center"/>
          </w:tcPr>
          <w:p>
            <w:pPr>
              <w:spacing w:line="240" w:lineRule="exact"/>
              <w:jc w:val="center"/>
              <w:rPr>
                <w:sz w:val="18"/>
                <w:szCs w:val="18"/>
              </w:rPr>
            </w:pPr>
            <w:r>
              <w:rPr>
                <w:sz w:val="18"/>
                <w:szCs w:val="18"/>
              </w:rPr>
              <w:t>三产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pPr>
              <w:widowControl/>
              <w:spacing w:line="240" w:lineRule="exact"/>
              <w:jc w:val="center"/>
              <w:rPr>
                <w:kern w:val="0"/>
                <w:sz w:val="18"/>
                <w:szCs w:val="18"/>
              </w:rPr>
            </w:pPr>
            <w:r>
              <w:rPr>
                <w:rFonts w:eastAsia="等线"/>
                <w:sz w:val="18"/>
                <w:szCs w:val="18"/>
              </w:rPr>
              <w:t>2020</w:t>
            </w:r>
            <w:r>
              <w:rPr>
                <w:rFonts w:hint="eastAsia"/>
                <w:sz w:val="18"/>
                <w:szCs w:val="18"/>
              </w:rPr>
              <w:t>年</w:t>
            </w:r>
          </w:p>
        </w:tc>
        <w:tc>
          <w:tcPr>
            <w:tcW w:w="1233" w:type="pct"/>
            <w:noWrap/>
            <w:vAlign w:val="center"/>
          </w:tcPr>
          <w:p>
            <w:pPr>
              <w:spacing w:line="240" w:lineRule="exact"/>
              <w:jc w:val="center"/>
              <w:rPr>
                <w:sz w:val="18"/>
                <w:szCs w:val="18"/>
              </w:rPr>
            </w:pPr>
            <w:r>
              <w:rPr>
                <w:rFonts w:eastAsia="等线"/>
                <w:sz w:val="18"/>
                <w:szCs w:val="18"/>
              </w:rPr>
              <w:t>14.3</w:t>
            </w:r>
          </w:p>
        </w:tc>
        <w:tc>
          <w:tcPr>
            <w:tcW w:w="1239" w:type="pct"/>
            <w:noWrap/>
            <w:vAlign w:val="center"/>
          </w:tcPr>
          <w:p>
            <w:pPr>
              <w:spacing w:line="240" w:lineRule="exact"/>
              <w:jc w:val="center"/>
              <w:rPr>
                <w:sz w:val="18"/>
                <w:szCs w:val="18"/>
              </w:rPr>
            </w:pPr>
            <w:r>
              <w:rPr>
                <w:rFonts w:eastAsia="等线"/>
                <w:sz w:val="18"/>
                <w:szCs w:val="18"/>
              </w:rPr>
              <w:t>36.3</w:t>
            </w:r>
          </w:p>
        </w:tc>
        <w:tc>
          <w:tcPr>
            <w:tcW w:w="1241" w:type="pct"/>
            <w:noWrap/>
            <w:vAlign w:val="center"/>
          </w:tcPr>
          <w:p>
            <w:pPr>
              <w:spacing w:line="240" w:lineRule="exact"/>
              <w:jc w:val="center"/>
              <w:rPr>
                <w:sz w:val="18"/>
                <w:szCs w:val="18"/>
              </w:rPr>
            </w:pPr>
            <w:r>
              <w:rPr>
                <w:rFonts w:eastAsia="等线"/>
                <w:sz w:val="18"/>
                <w:szCs w:val="18"/>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pPr>
              <w:widowControl/>
              <w:spacing w:line="240" w:lineRule="exact"/>
              <w:jc w:val="center"/>
              <w:rPr>
                <w:kern w:val="0"/>
                <w:sz w:val="18"/>
                <w:szCs w:val="18"/>
              </w:rPr>
            </w:pPr>
            <w:r>
              <w:rPr>
                <w:rFonts w:eastAsia="等线"/>
                <w:sz w:val="18"/>
                <w:szCs w:val="18"/>
              </w:rPr>
              <w:t>2025</w:t>
            </w:r>
            <w:r>
              <w:rPr>
                <w:rFonts w:hint="eastAsia"/>
                <w:sz w:val="18"/>
                <w:szCs w:val="18"/>
              </w:rPr>
              <w:t>年</w:t>
            </w:r>
          </w:p>
        </w:tc>
        <w:tc>
          <w:tcPr>
            <w:tcW w:w="1233" w:type="pct"/>
            <w:noWrap/>
            <w:vAlign w:val="center"/>
          </w:tcPr>
          <w:p>
            <w:pPr>
              <w:spacing w:line="240" w:lineRule="exact"/>
              <w:jc w:val="center"/>
              <w:rPr>
                <w:sz w:val="18"/>
                <w:szCs w:val="18"/>
              </w:rPr>
            </w:pPr>
            <w:r>
              <w:rPr>
                <w:rFonts w:eastAsia="等线"/>
                <w:sz w:val="18"/>
                <w:szCs w:val="18"/>
              </w:rPr>
              <w:t>10.3</w:t>
            </w:r>
          </w:p>
        </w:tc>
        <w:tc>
          <w:tcPr>
            <w:tcW w:w="1239" w:type="pct"/>
            <w:noWrap/>
            <w:vAlign w:val="center"/>
          </w:tcPr>
          <w:p>
            <w:pPr>
              <w:spacing w:line="240" w:lineRule="exact"/>
              <w:jc w:val="center"/>
              <w:rPr>
                <w:sz w:val="18"/>
                <w:szCs w:val="18"/>
              </w:rPr>
            </w:pPr>
            <w:r>
              <w:rPr>
                <w:rFonts w:eastAsia="等线"/>
                <w:sz w:val="18"/>
                <w:szCs w:val="18"/>
              </w:rPr>
              <w:t>39.7</w:t>
            </w:r>
          </w:p>
        </w:tc>
        <w:tc>
          <w:tcPr>
            <w:tcW w:w="1241" w:type="pct"/>
            <w:noWrap/>
            <w:vAlign w:val="center"/>
          </w:tcPr>
          <w:p>
            <w:pPr>
              <w:spacing w:line="240" w:lineRule="exact"/>
              <w:jc w:val="center"/>
              <w:rPr>
                <w:sz w:val="18"/>
                <w:szCs w:val="18"/>
              </w:rPr>
            </w:pPr>
            <w:r>
              <w:rPr>
                <w:rFonts w:eastAsia="等线"/>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87" w:type="pct"/>
            <w:vAlign w:val="center"/>
          </w:tcPr>
          <w:p>
            <w:pPr>
              <w:widowControl/>
              <w:spacing w:line="240" w:lineRule="exact"/>
              <w:jc w:val="center"/>
              <w:rPr>
                <w:kern w:val="0"/>
                <w:sz w:val="18"/>
                <w:szCs w:val="18"/>
              </w:rPr>
            </w:pPr>
            <w:r>
              <w:rPr>
                <w:rFonts w:eastAsia="等线"/>
                <w:sz w:val="18"/>
                <w:szCs w:val="18"/>
              </w:rPr>
              <w:t>2030</w:t>
            </w:r>
            <w:r>
              <w:rPr>
                <w:rFonts w:hint="eastAsia"/>
                <w:sz w:val="18"/>
                <w:szCs w:val="18"/>
              </w:rPr>
              <w:t>年</w:t>
            </w:r>
          </w:p>
        </w:tc>
        <w:tc>
          <w:tcPr>
            <w:tcW w:w="1233" w:type="pct"/>
            <w:noWrap/>
            <w:vAlign w:val="center"/>
          </w:tcPr>
          <w:p>
            <w:pPr>
              <w:spacing w:line="240" w:lineRule="exact"/>
              <w:jc w:val="center"/>
              <w:rPr>
                <w:sz w:val="18"/>
                <w:szCs w:val="18"/>
              </w:rPr>
            </w:pPr>
            <w:r>
              <w:rPr>
                <w:rFonts w:eastAsia="等线"/>
                <w:sz w:val="18"/>
                <w:szCs w:val="18"/>
              </w:rPr>
              <w:t>10.3</w:t>
            </w:r>
          </w:p>
        </w:tc>
        <w:tc>
          <w:tcPr>
            <w:tcW w:w="1239" w:type="pct"/>
            <w:noWrap/>
            <w:vAlign w:val="center"/>
          </w:tcPr>
          <w:p>
            <w:pPr>
              <w:spacing w:line="240" w:lineRule="exact"/>
              <w:jc w:val="center"/>
              <w:rPr>
                <w:sz w:val="18"/>
                <w:szCs w:val="18"/>
              </w:rPr>
            </w:pPr>
            <w:r>
              <w:rPr>
                <w:rFonts w:eastAsia="等线"/>
                <w:sz w:val="18"/>
                <w:szCs w:val="18"/>
              </w:rPr>
              <w:t>34.8</w:t>
            </w:r>
          </w:p>
        </w:tc>
        <w:tc>
          <w:tcPr>
            <w:tcW w:w="1241" w:type="pct"/>
            <w:noWrap/>
            <w:vAlign w:val="center"/>
          </w:tcPr>
          <w:p>
            <w:pPr>
              <w:spacing w:line="240" w:lineRule="exact"/>
              <w:jc w:val="center"/>
              <w:rPr>
                <w:sz w:val="18"/>
                <w:szCs w:val="18"/>
              </w:rPr>
            </w:pPr>
            <w:r>
              <w:rPr>
                <w:rFonts w:eastAsia="等线"/>
                <w:sz w:val="18"/>
                <w:szCs w:val="18"/>
              </w:rPr>
              <w:t>55.0</w:t>
            </w:r>
          </w:p>
        </w:tc>
      </w:tr>
    </w:tbl>
    <w:p>
      <w:pPr>
        <w:adjustRightInd w:val="0"/>
        <w:snapToGrid w:val="0"/>
        <w:ind w:firstLine="270" w:firstLineChars="150"/>
        <w:rPr>
          <w:sz w:val="18"/>
          <w:szCs w:val="18"/>
        </w:rPr>
      </w:pPr>
      <w:bookmarkStart w:id="269" w:name="_Toc306734670"/>
    </w:p>
    <w:bookmarkEnd w:id="269"/>
    <w:p>
      <w:pPr>
        <w:pStyle w:val="4"/>
        <w:spacing w:before="156" w:beforeLines="50" w:after="156" w:afterLines="50"/>
        <w:rPr>
          <w:b w:val="0"/>
          <w:bCs w:val="0"/>
          <w:sz w:val="28"/>
        </w:rPr>
      </w:pPr>
      <w:bookmarkStart w:id="270" w:name="_Toc95382482"/>
      <w:bookmarkStart w:id="271" w:name="_Toc432782546"/>
      <w:bookmarkStart w:id="272" w:name="_Toc382472218"/>
      <w:r>
        <w:rPr>
          <w:rFonts w:hint="eastAsia"/>
          <w:sz w:val="28"/>
        </w:rPr>
        <w:t>四</w:t>
      </w:r>
      <w:r>
        <w:rPr>
          <w:sz w:val="28"/>
        </w:rPr>
        <w:t>、农业发展指标预测</w:t>
      </w:r>
      <w:bookmarkEnd w:id="270"/>
      <w:bookmarkEnd w:id="271"/>
      <w:bookmarkEnd w:id="272"/>
    </w:p>
    <w:p>
      <w:pPr>
        <w:adjustRightInd w:val="0"/>
        <w:snapToGrid w:val="0"/>
        <w:spacing w:line="360" w:lineRule="auto"/>
        <w:rPr>
          <w:b/>
          <w:sz w:val="24"/>
        </w:rPr>
      </w:pPr>
      <w:r>
        <w:rPr>
          <w:b/>
          <w:sz w:val="24"/>
        </w:rPr>
        <w:t>（一）灌溉面积发展预测</w:t>
      </w:r>
    </w:p>
    <w:p>
      <w:pPr>
        <w:adjustRightInd w:val="0"/>
        <w:snapToGrid w:val="0"/>
        <w:spacing w:line="360" w:lineRule="auto"/>
        <w:ind w:firstLine="480" w:firstLineChars="200"/>
        <w:rPr>
          <w:sz w:val="24"/>
        </w:rPr>
      </w:pPr>
      <w:r>
        <w:rPr>
          <w:sz w:val="24"/>
        </w:rPr>
        <w:t>随着淠史杭灌区续建配套工程逐渐</w:t>
      </w:r>
      <w:r>
        <w:rPr>
          <w:rFonts w:hint="eastAsia"/>
          <w:sz w:val="24"/>
        </w:rPr>
        <w:t>完善</w:t>
      </w:r>
      <w:r>
        <w:rPr>
          <w:sz w:val="24"/>
        </w:rPr>
        <w:t>，全市有效灌溉面积将有一定程度的增加。预</w:t>
      </w:r>
      <w:r>
        <w:rPr>
          <w:rFonts w:hint="eastAsia"/>
          <w:sz w:val="24"/>
        </w:rPr>
        <w:t>测至</w:t>
      </w:r>
      <w:r>
        <w:rPr>
          <w:sz w:val="24"/>
        </w:rPr>
        <w:t>2025年</w:t>
      </w:r>
      <w:r>
        <w:rPr>
          <w:rFonts w:hint="eastAsia"/>
          <w:sz w:val="24"/>
        </w:rPr>
        <w:t>全</w:t>
      </w:r>
      <w:r>
        <w:rPr>
          <w:sz w:val="24"/>
        </w:rPr>
        <w:t>市</w:t>
      </w:r>
      <w:r>
        <w:rPr>
          <w:rFonts w:hint="eastAsia"/>
          <w:sz w:val="24"/>
        </w:rPr>
        <w:t>耕地</w:t>
      </w:r>
      <w:r>
        <w:rPr>
          <w:sz w:val="24"/>
        </w:rPr>
        <w:t>灌溉面积将达到626.85万亩</w:t>
      </w:r>
      <w:r>
        <w:rPr>
          <w:rFonts w:hint="eastAsia"/>
          <w:sz w:val="24"/>
        </w:rPr>
        <w:t>；预测至</w:t>
      </w:r>
      <w:r>
        <w:rPr>
          <w:sz w:val="24"/>
        </w:rPr>
        <w:t>2030年</w:t>
      </w:r>
      <w:r>
        <w:rPr>
          <w:rFonts w:hint="eastAsia"/>
          <w:sz w:val="24"/>
        </w:rPr>
        <w:t>全</w:t>
      </w:r>
      <w:r>
        <w:rPr>
          <w:sz w:val="24"/>
        </w:rPr>
        <w:t>市</w:t>
      </w:r>
      <w:r>
        <w:rPr>
          <w:rFonts w:hint="eastAsia"/>
          <w:sz w:val="24"/>
        </w:rPr>
        <w:t>耕地</w:t>
      </w:r>
      <w:r>
        <w:rPr>
          <w:sz w:val="24"/>
        </w:rPr>
        <w:t>灌溉面积将达到639.29万亩，较2020年增加35.54万亩。</w:t>
      </w:r>
    </w:p>
    <w:p>
      <w:pPr>
        <w:adjustRightInd w:val="0"/>
        <w:snapToGrid w:val="0"/>
        <w:spacing w:line="360" w:lineRule="auto"/>
        <w:ind w:firstLine="480" w:firstLineChars="200"/>
        <w:rPr>
          <w:sz w:val="24"/>
        </w:rPr>
      </w:pPr>
      <w:r>
        <w:rPr>
          <w:rFonts w:hint="eastAsia"/>
          <w:sz w:val="24"/>
        </w:rPr>
        <w:t>根据规划年六安市农业产业发展情况，预测至2</w:t>
      </w:r>
      <w:r>
        <w:rPr>
          <w:sz w:val="24"/>
        </w:rPr>
        <w:t>030</w:t>
      </w:r>
      <w:r>
        <w:rPr>
          <w:rFonts w:hint="eastAsia"/>
          <w:sz w:val="24"/>
        </w:rPr>
        <w:t>年全市园地灌溉面积较2</w:t>
      </w:r>
      <w:r>
        <w:rPr>
          <w:sz w:val="24"/>
        </w:rPr>
        <w:t>020</w:t>
      </w:r>
      <w:r>
        <w:rPr>
          <w:rFonts w:hint="eastAsia"/>
          <w:sz w:val="24"/>
        </w:rPr>
        <w:t>年增加1万亩；林地灌溉面积和鱼塘补水面积与2</w:t>
      </w:r>
      <w:r>
        <w:rPr>
          <w:sz w:val="24"/>
        </w:rPr>
        <w:t>020</w:t>
      </w:r>
      <w:r>
        <w:rPr>
          <w:rFonts w:hint="eastAsia"/>
          <w:sz w:val="24"/>
        </w:rPr>
        <w:t>年保持一致。</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wordWrap w:val="0"/>
        <w:adjustRightInd w:val="0"/>
        <w:snapToGrid w:val="0"/>
        <w:spacing w:line="360" w:lineRule="auto"/>
        <w:jc w:val="right"/>
      </w:pPr>
      <w:r>
        <w:rPr>
          <w:rFonts w:hAnsi="宋体"/>
          <w:b/>
          <w:sz w:val="24"/>
          <w:szCs w:val="24"/>
        </w:rPr>
        <w:t>表4.1.7  六安市灌溉面积</w:t>
      </w:r>
      <w:r>
        <w:rPr>
          <w:rFonts w:hint="eastAsia" w:hAnsi="宋体"/>
          <w:b/>
          <w:sz w:val="24"/>
          <w:szCs w:val="24"/>
        </w:rPr>
        <w:t>和鱼塘补水面积</w:t>
      </w:r>
      <w:r>
        <w:rPr>
          <w:rFonts w:hAnsi="宋体"/>
          <w:b/>
          <w:sz w:val="24"/>
          <w:szCs w:val="24"/>
        </w:rPr>
        <w:t>发展预测</w:t>
      </w:r>
      <w:r>
        <w:rPr>
          <w:rFonts w:hint="eastAsia"/>
        </w:rPr>
        <w:t xml:space="preserve"> </w:t>
      </w:r>
      <w:r>
        <w:t xml:space="preserve">      </w:t>
      </w:r>
      <w:r>
        <w:rPr>
          <w:sz w:val="18"/>
          <w:szCs w:val="18"/>
        </w:rPr>
        <w:t xml:space="preserve"> </w:t>
      </w:r>
      <w:r>
        <w:rPr>
          <w:rFonts w:hAnsi="宋体"/>
          <w:sz w:val="18"/>
          <w:szCs w:val="18"/>
        </w:rPr>
        <w:t>单位：万亩</w:t>
      </w:r>
      <w:r>
        <w:rPr>
          <w:rFonts w:hint="eastAsia" w:hAnsi="宋体"/>
          <w:sz w:val="18"/>
          <w:szCs w:val="18"/>
        </w:rPr>
        <w:t xml:space="preserve"> </w:t>
      </w:r>
    </w:p>
    <w:tbl>
      <w:tblPr>
        <w:tblStyle w:val="36"/>
        <w:tblW w:w="4900" w:type="pct"/>
        <w:tblInd w:w="0" w:type="dxa"/>
        <w:tblLayout w:type="autofit"/>
        <w:tblCellMar>
          <w:top w:w="0" w:type="dxa"/>
          <w:left w:w="108" w:type="dxa"/>
          <w:bottom w:w="0" w:type="dxa"/>
          <w:right w:w="108" w:type="dxa"/>
        </w:tblCellMar>
      </w:tblPr>
      <w:tblGrid>
        <w:gridCol w:w="2515"/>
        <w:gridCol w:w="2047"/>
        <w:gridCol w:w="2047"/>
        <w:gridCol w:w="2047"/>
      </w:tblGrid>
      <w:tr>
        <w:tblPrEx>
          <w:tblCellMar>
            <w:top w:w="0" w:type="dxa"/>
            <w:left w:w="108" w:type="dxa"/>
            <w:bottom w:w="0" w:type="dxa"/>
            <w:right w:w="108" w:type="dxa"/>
          </w:tblCellMar>
        </w:tblPrEx>
        <w:trPr>
          <w:trHeight w:val="397" w:hRule="atLeast"/>
        </w:trPr>
        <w:tc>
          <w:tcPr>
            <w:tcW w:w="11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水平年</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耕地有效灌溉面积</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林地和园地灌溉面积</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鱼塘补水面积</w:t>
            </w:r>
          </w:p>
        </w:tc>
      </w:tr>
      <w:tr>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603.75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8.47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13.91</w:t>
            </w:r>
          </w:p>
        </w:tc>
      </w:tr>
      <w:tr>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626.85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9.47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13.91</w:t>
            </w:r>
          </w:p>
        </w:tc>
      </w:tr>
      <w:tr>
        <w:tblPrEx>
          <w:tblCellMar>
            <w:top w:w="0" w:type="dxa"/>
            <w:left w:w="108" w:type="dxa"/>
            <w:bottom w:w="0" w:type="dxa"/>
            <w:right w:w="108" w:type="dxa"/>
          </w:tblCellMar>
        </w:tblPrEx>
        <w:trPr>
          <w:trHeight w:val="397" w:hRule="atLeast"/>
        </w:trPr>
        <w:tc>
          <w:tcPr>
            <w:tcW w:w="1180" w:type="dxa"/>
            <w:tcBorders>
              <w:top w:val="nil"/>
              <w:left w:val="single" w:color="auto" w:sz="4" w:space="0"/>
              <w:bottom w:val="single" w:color="auto" w:sz="4" w:space="0"/>
              <w:right w:val="nil"/>
            </w:tcBorders>
            <w:shd w:val="clear" w:color="auto" w:fill="auto"/>
            <w:vAlign w:val="center"/>
          </w:tcPr>
          <w:p>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639.29</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9.47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13.91</w:t>
            </w:r>
          </w:p>
        </w:tc>
      </w:tr>
    </w:tbl>
    <w:p>
      <w:pPr>
        <w:adjustRightInd w:val="0"/>
        <w:snapToGrid w:val="0"/>
        <w:ind w:firstLine="360"/>
        <w:rPr>
          <w:sz w:val="18"/>
          <w:szCs w:val="18"/>
        </w:rPr>
      </w:pPr>
      <w:r>
        <w:rPr>
          <w:sz w:val="18"/>
          <w:szCs w:val="18"/>
        </w:rPr>
        <w:t>注：表中均为</w:t>
      </w:r>
      <w:r>
        <w:rPr>
          <w:rFonts w:hint="eastAsia"/>
          <w:sz w:val="18"/>
          <w:szCs w:val="18"/>
        </w:rPr>
        <w:t>统计</w:t>
      </w:r>
      <w:r>
        <w:rPr>
          <w:sz w:val="18"/>
          <w:szCs w:val="18"/>
        </w:rPr>
        <w:t>亩。</w:t>
      </w:r>
    </w:p>
    <w:p>
      <w:pPr>
        <w:adjustRightInd w:val="0"/>
        <w:snapToGrid w:val="0"/>
        <w:ind w:firstLine="360"/>
        <w:rPr>
          <w:sz w:val="18"/>
          <w:szCs w:val="18"/>
        </w:rPr>
      </w:pPr>
    </w:p>
    <w:p>
      <w:pPr>
        <w:adjustRightInd w:val="0"/>
        <w:snapToGrid w:val="0"/>
        <w:spacing w:line="360" w:lineRule="auto"/>
        <w:rPr>
          <w:b/>
          <w:sz w:val="24"/>
        </w:rPr>
      </w:pPr>
      <w:r>
        <w:rPr>
          <w:b/>
          <w:sz w:val="24"/>
        </w:rPr>
        <w:t>（二）畜牧业发展预测</w:t>
      </w:r>
    </w:p>
    <w:p>
      <w:pPr>
        <w:adjustRightInd w:val="0"/>
        <w:snapToGrid w:val="0"/>
        <w:spacing w:line="360" w:lineRule="auto"/>
        <w:ind w:firstLine="480" w:firstLineChars="200"/>
        <w:rPr>
          <w:sz w:val="24"/>
        </w:rPr>
      </w:pPr>
      <w:r>
        <w:rPr>
          <w:sz w:val="24"/>
        </w:rPr>
        <w:t>根据</w:t>
      </w:r>
      <w:r>
        <w:rPr>
          <w:rFonts w:hint="eastAsia"/>
          <w:sz w:val="24"/>
        </w:rPr>
        <w:t>六安市统计局提供数据，</w:t>
      </w:r>
      <w:r>
        <w:rPr>
          <w:sz w:val="24"/>
        </w:rPr>
        <w:t>2020年</w:t>
      </w:r>
      <w:r>
        <w:rPr>
          <w:rFonts w:hint="eastAsia"/>
          <w:sz w:val="24"/>
        </w:rPr>
        <w:t>全</w:t>
      </w:r>
      <w:r>
        <w:rPr>
          <w:sz w:val="24"/>
        </w:rPr>
        <w:t>市大牲畜</w:t>
      </w:r>
      <w:r>
        <w:rPr>
          <w:rFonts w:hint="eastAsia"/>
          <w:sz w:val="24"/>
        </w:rPr>
        <w:t>、小牲畜和家禽</w:t>
      </w:r>
      <w:r>
        <w:rPr>
          <w:sz w:val="24"/>
        </w:rPr>
        <w:t>分别为3.7万头</w:t>
      </w:r>
      <w:r>
        <w:rPr>
          <w:rFonts w:hint="eastAsia"/>
          <w:sz w:val="24"/>
        </w:rPr>
        <w:t>、</w:t>
      </w:r>
      <w:r>
        <w:rPr>
          <w:sz w:val="24"/>
        </w:rPr>
        <w:t>149万头</w:t>
      </w:r>
      <w:r>
        <w:rPr>
          <w:rFonts w:hint="eastAsia"/>
          <w:sz w:val="24"/>
        </w:rPr>
        <w:t>和2</w:t>
      </w:r>
      <w:r>
        <w:rPr>
          <w:sz w:val="24"/>
        </w:rPr>
        <w:t>084</w:t>
      </w:r>
      <w:r>
        <w:rPr>
          <w:rFonts w:hint="eastAsia"/>
          <w:sz w:val="24"/>
        </w:rPr>
        <w:t>万只。参考近年来《六安统计年鉴》中六安市大小牲畜和家禽数量的发展趋势，</w:t>
      </w:r>
      <w:r>
        <w:rPr>
          <w:sz w:val="24"/>
        </w:rPr>
        <w:t>预</w:t>
      </w:r>
      <w:r>
        <w:rPr>
          <w:rFonts w:hint="eastAsia"/>
          <w:sz w:val="24"/>
        </w:rPr>
        <w:t>测至</w:t>
      </w:r>
      <w:r>
        <w:rPr>
          <w:sz w:val="24"/>
        </w:rPr>
        <w:t>2025年</w:t>
      </w:r>
      <w:r>
        <w:rPr>
          <w:rFonts w:hint="eastAsia"/>
          <w:sz w:val="24"/>
        </w:rPr>
        <w:t>全</w:t>
      </w:r>
      <w:r>
        <w:rPr>
          <w:sz w:val="24"/>
        </w:rPr>
        <w:t>市大牲畜</w:t>
      </w:r>
      <w:r>
        <w:rPr>
          <w:rFonts w:hint="eastAsia"/>
          <w:sz w:val="24"/>
        </w:rPr>
        <w:t>、小牲畜和家禽</w:t>
      </w:r>
      <w:r>
        <w:rPr>
          <w:sz w:val="24"/>
        </w:rPr>
        <w:t>分别为3.8万头</w:t>
      </w:r>
      <w:r>
        <w:rPr>
          <w:rFonts w:hint="eastAsia"/>
          <w:sz w:val="24"/>
        </w:rPr>
        <w:t>、</w:t>
      </w:r>
      <w:r>
        <w:rPr>
          <w:sz w:val="24"/>
        </w:rPr>
        <w:t>140万头</w:t>
      </w:r>
      <w:r>
        <w:rPr>
          <w:rFonts w:hint="eastAsia"/>
          <w:sz w:val="24"/>
        </w:rPr>
        <w:t>和2</w:t>
      </w:r>
      <w:r>
        <w:rPr>
          <w:sz w:val="24"/>
        </w:rPr>
        <w:t>560</w:t>
      </w:r>
      <w:r>
        <w:rPr>
          <w:rFonts w:hint="eastAsia"/>
          <w:sz w:val="24"/>
        </w:rPr>
        <w:t>万只</w:t>
      </w:r>
      <w:r>
        <w:rPr>
          <w:sz w:val="24"/>
        </w:rPr>
        <w:t>；</w:t>
      </w:r>
      <w:r>
        <w:rPr>
          <w:rFonts w:hint="eastAsia"/>
          <w:sz w:val="24"/>
        </w:rPr>
        <w:t>预测至</w:t>
      </w:r>
      <w:r>
        <w:rPr>
          <w:sz w:val="24"/>
        </w:rPr>
        <w:t>2030年</w:t>
      </w:r>
      <w:r>
        <w:rPr>
          <w:rFonts w:hint="eastAsia"/>
          <w:sz w:val="24"/>
        </w:rPr>
        <w:t>全</w:t>
      </w:r>
      <w:r>
        <w:rPr>
          <w:sz w:val="24"/>
        </w:rPr>
        <w:t>市大牲畜</w:t>
      </w:r>
      <w:r>
        <w:rPr>
          <w:rFonts w:hint="eastAsia"/>
          <w:sz w:val="24"/>
        </w:rPr>
        <w:t>、小牲畜和家禽</w:t>
      </w:r>
      <w:r>
        <w:rPr>
          <w:sz w:val="24"/>
        </w:rPr>
        <w:t>分别为3.8万头</w:t>
      </w:r>
      <w:r>
        <w:rPr>
          <w:rFonts w:hint="eastAsia"/>
          <w:sz w:val="24"/>
        </w:rPr>
        <w:t>、</w:t>
      </w:r>
      <w:r>
        <w:rPr>
          <w:sz w:val="24"/>
        </w:rPr>
        <w:t>132万头</w:t>
      </w:r>
      <w:r>
        <w:rPr>
          <w:rFonts w:hint="eastAsia"/>
          <w:sz w:val="24"/>
        </w:rPr>
        <w:t>和2</w:t>
      </w:r>
      <w:r>
        <w:rPr>
          <w:sz w:val="24"/>
        </w:rPr>
        <w:t>971</w:t>
      </w:r>
      <w:r>
        <w:rPr>
          <w:rFonts w:hint="eastAsia"/>
          <w:sz w:val="24"/>
        </w:rPr>
        <w:t>万只</w:t>
      </w:r>
      <w:r>
        <w:rPr>
          <w:sz w:val="24"/>
        </w:rPr>
        <w:t>。</w:t>
      </w:r>
    </w:p>
    <w:p>
      <w:pPr>
        <w:keepNext/>
        <w:keepLines/>
        <w:adjustRightInd w:val="0"/>
        <w:snapToGrid w:val="0"/>
        <w:spacing w:before="312" w:beforeLines="100" w:after="312" w:afterLines="100" w:line="360" w:lineRule="auto"/>
        <w:jc w:val="center"/>
        <w:outlineLvl w:val="1"/>
        <w:rPr>
          <w:b/>
          <w:bCs/>
          <w:sz w:val="32"/>
          <w:szCs w:val="36"/>
        </w:rPr>
      </w:pPr>
      <w:bookmarkStart w:id="273" w:name="_Toc306734671"/>
      <w:bookmarkStart w:id="274" w:name="_Toc432782547"/>
      <w:bookmarkStart w:id="275" w:name="_Toc95382483"/>
      <w:bookmarkStart w:id="276" w:name="_Toc382472219"/>
      <w:r>
        <w:rPr>
          <w:b/>
          <w:bCs/>
          <w:sz w:val="32"/>
          <w:szCs w:val="36"/>
        </w:rPr>
        <w:t>第二节 经济社会需水预测</w:t>
      </w:r>
      <w:bookmarkEnd w:id="273"/>
      <w:bookmarkEnd w:id="274"/>
      <w:bookmarkEnd w:id="275"/>
      <w:bookmarkEnd w:id="276"/>
    </w:p>
    <w:p>
      <w:pPr>
        <w:pStyle w:val="4"/>
        <w:spacing w:before="156" w:beforeLines="50" w:after="156" w:afterLines="50"/>
        <w:rPr>
          <w:b w:val="0"/>
          <w:bCs w:val="0"/>
          <w:sz w:val="28"/>
        </w:rPr>
      </w:pPr>
      <w:bookmarkStart w:id="277" w:name="_Toc432782548"/>
      <w:bookmarkStart w:id="278" w:name="_Toc95382484"/>
      <w:bookmarkStart w:id="279" w:name="_Toc382472220"/>
      <w:bookmarkStart w:id="280" w:name="_Toc306734672"/>
      <w:r>
        <w:rPr>
          <w:sz w:val="28"/>
        </w:rPr>
        <w:t>一、现状水平年需水分析</w:t>
      </w:r>
      <w:bookmarkEnd w:id="277"/>
      <w:bookmarkEnd w:id="278"/>
      <w:bookmarkEnd w:id="279"/>
      <w:bookmarkEnd w:id="280"/>
    </w:p>
    <w:p>
      <w:pPr>
        <w:adjustRightInd w:val="0"/>
        <w:snapToGrid w:val="0"/>
        <w:spacing w:line="360" w:lineRule="auto"/>
        <w:ind w:firstLine="480" w:firstLineChars="200"/>
        <w:rPr>
          <w:sz w:val="24"/>
        </w:rPr>
      </w:pPr>
      <w:r>
        <w:rPr>
          <w:sz w:val="24"/>
        </w:rPr>
        <w:t>现状</w:t>
      </w:r>
      <w:r>
        <w:rPr>
          <w:rFonts w:hint="eastAsia"/>
          <w:sz w:val="24"/>
        </w:rPr>
        <w:t>2</w:t>
      </w:r>
      <w:r>
        <w:rPr>
          <w:sz w:val="24"/>
        </w:rPr>
        <w:t>020</w:t>
      </w:r>
      <w:r>
        <w:rPr>
          <w:rFonts w:hint="eastAsia"/>
          <w:sz w:val="24"/>
        </w:rPr>
        <w:t>年</w:t>
      </w:r>
      <w:r>
        <w:rPr>
          <w:sz w:val="24"/>
        </w:rPr>
        <w:t>（基准年）需水依据现状调查评价及近年来的用水态势，并分析不同保证率下的农田灌溉用水量、多年平均的林牧渔需水和</w:t>
      </w:r>
      <w:r>
        <w:rPr>
          <w:rFonts w:hint="eastAsia"/>
          <w:sz w:val="24"/>
        </w:rPr>
        <w:t>河道外</w:t>
      </w:r>
      <w:r>
        <w:rPr>
          <w:sz w:val="24"/>
        </w:rPr>
        <w:t>生态需水量。经分析，现状</w:t>
      </w:r>
      <w:r>
        <w:rPr>
          <w:rFonts w:hint="eastAsia"/>
          <w:sz w:val="24"/>
        </w:rPr>
        <w:t>2</w:t>
      </w:r>
      <w:r>
        <w:rPr>
          <w:sz w:val="24"/>
        </w:rPr>
        <w:t>020年多年平均及50%、</w:t>
      </w:r>
      <w:r>
        <w:rPr>
          <w:rFonts w:hint="eastAsia"/>
          <w:sz w:val="24"/>
        </w:rPr>
        <w:t>80</w:t>
      </w:r>
      <w:r>
        <w:rPr>
          <w:sz w:val="24"/>
        </w:rPr>
        <w:t>%、95%保证率条件下，六安市需水总量分别为26.21</w:t>
      </w:r>
      <w:r>
        <w:rPr>
          <w:rFonts w:hint="eastAsia"/>
          <w:sz w:val="24"/>
        </w:rPr>
        <w:t>亿</w:t>
      </w:r>
      <w:r>
        <w:rPr>
          <w:sz w:val="24"/>
        </w:rPr>
        <w:t>m</w:t>
      </w:r>
      <w:r>
        <w:rPr>
          <w:sz w:val="24"/>
          <w:vertAlign w:val="superscript"/>
        </w:rPr>
        <w:t>3</w:t>
      </w:r>
      <w:r>
        <w:rPr>
          <w:sz w:val="24"/>
        </w:rPr>
        <w:t>、24.58亿m</w:t>
      </w:r>
      <w:r>
        <w:rPr>
          <w:sz w:val="24"/>
          <w:vertAlign w:val="superscript"/>
        </w:rPr>
        <w:t>3</w:t>
      </w:r>
      <w:r>
        <w:rPr>
          <w:sz w:val="24"/>
        </w:rPr>
        <w:t>、32.41亿m</w:t>
      </w:r>
      <w:r>
        <w:rPr>
          <w:sz w:val="24"/>
          <w:vertAlign w:val="superscript"/>
        </w:rPr>
        <w:t>3</w:t>
      </w:r>
      <w:r>
        <w:rPr>
          <w:sz w:val="24"/>
        </w:rPr>
        <w:t>和40.29</w:t>
      </w:r>
      <w:r>
        <w:rPr>
          <w:rFonts w:hint="eastAsia"/>
          <w:sz w:val="24"/>
        </w:rPr>
        <w:t>亿</w:t>
      </w:r>
      <w:r>
        <w:rPr>
          <w:sz w:val="24"/>
        </w:rPr>
        <w:t>m</w:t>
      </w:r>
      <w:r>
        <w:rPr>
          <w:sz w:val="24"/>
          <w:vertAlign w:val="superscript"/>
        </w:rPr>
        <w:t>3</w:t>
      </w:r>
      <w:r>
        <w:rPr>
          <w:sz w:val="24"/>
        </w:rPr>
        <w:t>。现状水平年各分区需水量分别见表4.2</w:t>
      </w:r>
      <w:r>
        <w:rPr>
          <w:rFonts w:hint="eastAsia"/>
          <w:sz w:val="24"/>
        </w:rPr>
        <w:t>.</w:t>
      </w:r>
      <w:r>
        <w:rPr>
          <w:sz w:val="24"/>
        </w:rPr>
        <w:t>1。</w:t>
      </w:r>
    </w:p>
    <w:p>
      <w:pPr>
        <w:pStyle w:val="4"/>
        <w:spacing w:before="156" w:beforeLines="50" w:after="156" w:afterLines="50"/>
        <w:rPr>
          <w:b w:val="0"/>
          <w:bCs w:val="0"/>
          <w:sz w:val="28"/>
        </w:rPr>
      </w:pPr>
      <w:bookmarkStart w:id="281" w:name="_Toc95382485"/>
      <w:bookmarkStart w:id="282" w:name="_Toc306734673"/>
      <w:bookmarkStart w:id="283" w:name="_Toc432782549"/>
      <w:bookmarkStart w:id="284" w:name="_Toc382472221"/>
      <w:r>
        <w:rPr>
          <w:sz w:val="28"/>
        </w:rPr>
        <w:t>二、规划水平年需水分析</w:t>
      </w:r>
      <w:bookmarkEnd w:id="281"/>
      <w:bookmarkEnd w:id="282"/>
      <w:bookmarkEnd w:id="283"/>
      <w:bookmarkEnd w:id="284"/>
    </w:p>
    <w:p>
      <w:pPr>
        <w:adjustRightInd w:val="0"/>
        <w:snapToGrid w:val="0"/>
        <w:spacing w:line="360" w:lineRule="auto"/>
        <w:ind w:firstLine="600" w:firstLineChars="250"/>
        <w:rPr>
          <w:sz w:val="24"/>
        </w:rPr>
      </w:pPr>
      <w:r>
        <w:rPr>
          <w:sz w:val="24"/>
        </w:rPr>
        <w:t>河道外需水主要包括城乡居民生活、工业、农业和服务业等经济社会各行业的需水，以及需要通过人工供水措施满足的湖泊湿地补水等人工生态环境的需水。本次规划需水预测按照总量控制、定额管理、高效科学、合理可行、生态良好的原则，强化用水需求管理，严格控制需求过快增长。以流域和行政区水资源和水环境承载能力为控制，以水资源开发利用和节约保护控制型指标为约束，按照实行最严格水资源管理制度的要求，充分考虑用水技术和工艺改革、水资源循环利用水平提高、产业结构与布局调整、加强需水管理等因素对需求的抑制作用，控制用水总量过快增长。对未来的需水预测中，既要考虑缓解现状供水不足以满足未来发展合理的用水要求，也要充分考虑生态环境修复和保护用水的要求，在强化节约用水、提高水资源循环利用水平的前提下，采用科学预测方法，综合协调平衡确定。</w:t>
      </w:r>
    </w:p>
    <w:p>
      <w:pPr>
        <w:adjustRightInd w:val="0"/>
        <w:snapToGrid w:val="0"/>
        <w:spacing w:line="360" w:lineRule="auto"/>
        <w:ind w:firstLine="600" w:firstLineChars="250"/>
        <w:rPr>
          <w:sz w:val="24"/>
        </w:rPr>
      </w:pPr>
    </w:p>
    <w:p>
      <w:pPr>
        <w:adjustRightInd w:val="0"/>
        <w:snapToGrid w:val="0"/>
        <w:spacing w:line="360" w:lineRule="auto"/>
        <w:rPr>
          <w:sz w:val="24"/>
        </w:rPr>
      </w:pPr>
    </w:p>
    <w:p>
      <w:pPr>
        <w:spacing w:line="360" w:lineRule="auto"/>
        <w:jc w:val="center"/>
        <w:rPr>
          <w:color w:val="FF0000"/>
        </w:rPr>
        <w:sectPr>
          <w:footerReference r:id="rId8" w:type="default"/>
          <w:pgSz w:w="11906" w:h="16838"/>
          <w:pgMar w:top="1588" w:right="1588" w:bottom="1474" w:left="1701" w:header="851" w:footer="992" w:gutter="0"/>
          <w:cols w:space="425" w:num="1"/>
          <w:docGrid w:type="linesAndChars" w:linePitch="312" w:charSpace="0"/>
        </w:sectPr>
      </w:pPr>
    </w:p>
    <w:p>
      <w:pPr>
        <w:spacing w:line="360" w:lineRule="auto"/>
        <w:jc w:val="center"/>
      </w:pPr>
      <w:r>
        <w:rPr>
          <w:rFonts w:hint="eastAsia"/>
        </w:rPr>
        <w:t xml:space="preserve">                               </w:t>
      </w:r>
      <w:r>
        <w:t xml:space="preserve">  </w:t>
      </w:r>
      <w:r>
        <w:rPr>
          <w:sz w:val="24"/>
          <w:szCs w:val="24"/>
        </w:rPr>
        <w:t xml:space="preserve"> </w:t>
      </w:r>
      <w:r>
        <w:rPr>
          <w:rFonts w:hAnsi="宋体"/>
          <w:b/>
          <w:sz w:val="24"/>
          <w:szCs w:val="24"/>
        </w:rPr>
        <w:t>表4.2</w:t>
      </w:r>
      <w:r>
        <w:rPr>
          <w:rFonts w:hint="eastAsia" w:hAnsi="宋体"/>
          <w:b/>
          <w:sz w:val="24"/>
          <w:szCs w:val="24"/>
        </w:rPr>
        <w:t>.</w:t>
      </w:r>
      <w:r>
        <w:rPr>
          <w:rFonts w:hAnsi="宋体"/>
          <w:b/>
          <w:sz w:val="24"/>
          <w:szCs w:val="24"/>
        </w:rPr>
        <w:t>1    六安市基准</w:t>
      </w:r>
      <w:r>
        <w:rPr>
          <w:rFonts w:hint="eastAsia" w:hAnsi="宋体"/>
          <w:b/>
          <w:sz w:val="24"/>
          <w:szCs w:val="24"/>
        </w:rPr>
        <w:t>年20</w:t>
      </w:r>
      <w:r>
        <w:rPr>
          <w:rFonts w:hAnsi="宋体"/>
          <w:b/>
          <w:sz w:val="24"/>
          <w:szCs w:val="24"/>
        </w:rPr>
        <w:t>20</w:t>
      </w:r>
      <w:r>
        <w:rPr>
          <w:rFonts w:hint="eastAsia" w:hAnsi="宋体"/>
          <w:b/>
          <w:sz w:val="24"/>
          <w:szCs w:val="24"/>
        </w:rPr>
        <w:t>年</w:t>
      </w:r>
      <w:r>
        <w:rPr>
          <w:rFonts w:hAnsi="宋体"/>
          <w:b/>
          <w:sz w:val="24"/>
          <w:szCs w:val="24"/>
        </w:rPr>
        <w:t>需水量</w:t>
      </w:r>
      <w:r>
        <w:rPr>
          <w:rFonts w:hAnsi="宋体"/>
          <w:b/>
        </w:rPr>
        <w:t xml:space="preserve"> </w:t>
      </w:r>
      <w:r>
        <w:t xml:space="preserve">                              </w:t>
      </w:r>
      <w:r>
        <w:rPr>
          <w:sz w:val="18"/>
          <w:szCs w:val="18"/>
        </w:rPr>
        <w:t>单位：万m</w:t>
      </w:r>
      <w:r>
        <w:rPr>
          <w:sz w:val="18"/>
          <w:szCs w:val="18"/>
          <w:vertAlign w:val="superscript"/>
        </w:rPr>
        <w:t>3</w:t>
      </w:r>
    </w:p>
    <w:tbl>
      <w:tblPr>
        <w:tblStyle w:val="36"/>
        <w:tblW w:w="13660" w:type="dxa"/>
        <w:tblInd w:w="0" w:type="dxa"/>
        <w:tblLayout w:type="autofit"/>
        <w:tblCellMar>
          <w:top w:w="0" w:type="dxa"/>
          <w:left w:w="108" w:type="dxa"/>
          <w:bottom w:w="0" w:type="dxa"/>
          <w:right w:w="108" w:type="dxa"/>
        </w:tblCellMar>
      </w:tblPr>
      <w:tblGrid>
        <w:gridCol w:w="1180"/>
        <w:gridCol w:w="960"/>
        <w:gridCol w:w="1290"/>
        <w:gridCol w:w="960"/>
        <w:gridCol w:w="960"/>
        <w:gridCol w:w="960"/>
        <w:gridCol w:w="960"/>
        <w:gridCol w:w="960"/>
        <w:gridCol w:w="960"/>
        <w:gridCol w:w="630"/>
        <w:gridCol w:w="960"/>
        <w:gridCol w:w="960"/>
        <w:gridCol w:w="960"/>
        <w:gridCol w:w="960"/>
      </w:tblGrid>
      <w:tr>
        <w:tblPrEx>
          <w:tblCellMar>
            <w:top w:w="0" w:type="dxa"/>
            <w:left w:w="108" w:type="dxa"/>
            <w:bottom w:w="0" w:type="dxa"/>
            <w:right w:w="108" w:type="dxa"/>
          </w:tblCellMar>
        </w:tblPrEx>
        <w:trPr>
          <w:trHeight w:val="454" w:hRule="atLeast"/>
        </w:trPr>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四级区</w:t>
            </w:r>
          </w:p>
        </w:tc>
        <w:tc>
          <w:tcPr>
            <w:tcW w:w="38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8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总需水量</w:t>
            </w:r>
          </w:p>
        </w:tc>
      </w:tr>
      <w:tr>
        <w:tblPrEx>
          <w:tblCellMar>
            <w:top w:w="0" w:type="dxa"/>
            <w:left w:w="108" w:type="dxa"/>
            <w:bottom w:w="0" w:type="dxa"/>
            <w:right w:w="108" w:type="dxa"/>
          </w:tblCellMar>
        </w:tblPrEx>
        <w:trPr>
          <w:trHeight w:val="454"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P=80%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P=95%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P=50%</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P=80%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P=95%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r>
      <w:tr>
        <w:tblPrEx>
          <w:tblCellMar>
            <w:top w:w="0" w:type="dxa"/>
            <w:left w:w="108" w:type="dxa"/>
            <w:bottom w:w="0" w:type="dxa"/>
            <w:right w:w="108" w:type="dxa"/>
          </w:tblCellMar>
        </w:tblPrEx>
        <w:trPr>
          <w:trHeight w:val="454" w:hRule="atLeast"/>
        </w:trPr>
        <w:tc>
          <w:tcPr>
            <w:tcW w:w="11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淮河</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王蚌区间</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26242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36558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46506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28118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3679</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4252</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34618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44934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54882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36494</w:t>
            </w:r>
          </w:p>
        </w:tc>
      </w:tr>
      <w:tr>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南岸</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133147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186697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241476</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142169</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11131</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14785</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5485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164548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218098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272877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173570</w:t>
            </w:r>
          </w:p>
        </w:tc>
      </w:tr>
      <w:tr>
        <w:tblPrEx>
          <w:tblCellMar>
            <w:top w:w="0" w:type="dxa"/>
            <w:left w:w="108" w:type="dxa"/>
            <w:bottom w:w="0" w:type="dxa"/>
            <w:right w:w="108" w:type="dxa"/>
          </w:tblCellMar>
        </w:tblPrEx>
        <w:trPr>
          <w:trHeight w:val="454"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长江</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36132</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50508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64614</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41525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4584</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4964</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965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46645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61021</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75127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52038</w:t>
            </w:r>
          </w:p>
        </w:tc>
      </w:tr>
      <w:tr>
        <w:tblPrEx>
          <w:tblCellMar>
            <w:top w:w="0" w:type="dxa"/>
            <w:left w:w="108" w:type="dxa"/>
            <w:bottom w:w="0" w:type="dxa"/>
            <w:right w:w="108" w:type="dxa"/>
          </w:tblCellMar>
        </w:tblPrEx>
        <w:trPr>
          <w:trHeight w:val="454" w:hRule="atLeast"/>
        </w:trPr>
        <w:tc>
          <w:tcPr>
            <w:tcW w:w="3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195521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273763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352596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211812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19394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24001</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6895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245811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324053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402886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262102</w:t>
            </w:r>
          </w:p>
        </w:tc>
      </w:tr>
      <w:tr>
        <w:tblPrEx>
          <w:tblCellMar>
            <w:top w:w="0" w:type="dxa"/>
            <w:left w:w="108" w:type="dxa"/>
            <w:bottom w:w="0" w:type="dxa"/>
            <w:right w:w="108" w:type="dxa"/>
          </w:tblCellMar>
        </w:tblPrEx>
        <w:trPr>
          <w:trHeight w:val="454" w:hRule="atLeast"/>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金安区</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32139</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45393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58243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34529</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5934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4906</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2325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45304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58558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71408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47694</w:t>
            </w:r>
          </w:p>
        </w:tc>
      </w:tr>
      <w:tr>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裕安区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25294</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35861</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45868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27247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2179</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5662</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2113</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35248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45815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55822</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37201</w:t>
            </w:r>
          </w:p>
        </w:tc>
      </w:tr>
      <w:tr>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叶集区</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10042</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14048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18224</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10701</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1005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1193</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160</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12400</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16406</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20582</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13059</w:t>
            </w:r>
          </w:p>
        </w:tc>
      </w:tr>
      <w:tr>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霍邱县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81350</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113638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147704</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86563</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1963</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4186</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87727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120015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154081</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92940</w:t>
            </w:r>
          </w:p>
        </w:tc>
      </w:tr>
      <w:tr>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舒城县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23222</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32217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41107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27645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3735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3586</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965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31508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40503</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49393</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35931</w:t>
            </w:r>
          </w:p>
        </w:tc>
      </w:tr>
      <w:tr>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金寨县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12908</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17834</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22777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13762</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1673</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2844</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659</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18084</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23010</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27953</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18938</w:t>
            </w:r>
          </w:p>
        </w:tc>
      </w:tr>
      <w:tr>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霍山县</w:t>
            </w:r>
          </w:p>
        </w:tc>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10566</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14772</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18673</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11365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2905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1624</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445</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15540</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19746</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23647</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16339</w:t>
            </w:r>
          </w:p>
        </w:tc>
      </w:tr>
      <w:tr>
        <w:tblPrEx>
          <w:tblCellMar>
            <w:top w:w="0" w:type="dxa"/>
            <w:left w:w="108" w:type="dxa"/>
            <w:bottom w:w="0" w:type="dxa"/>
            <w:right w:w="108" w:type="dxa"/>
          </w:tblCellMar>
        </w:tblPrEx>
        <w:trPr>
          <w:trHeight w:val="454"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195521</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273763</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352596</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211812</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19394</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24001</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6895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245811</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324053</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402886</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262102</w:t>
            </w:r>
          </w:p>
        </w:tc>
      </w:tr>
    </w:tbl>
    <w:p>
      <w:pPr>
        <w:adjustRightInd w:val="0"/>
        <w:snapToGrid w:val="0"/>
        <w:spacing w:line="360" w:lineRule="auto"/>
        <w:rPr>
          <w:b/>
          <w:color w:val="FF0000"/>
          <w:sz w:val="24"/>
        </w:rPr>
      </w:pPr>
    </w:p>
    <w:p>
      <w:pPr>
        <w:adjustRightInd w:val="0"/>
        <w:snapToGrid w:val="0"/>
        <w:spacing w:line="360" w:lineRule="auto"/>
        <w:rPr>
          <w:b/>
          <w:color w:val="FF0000"/>
          <w:sz w:val="24"/>
        </w:rPr>
      </w:pPr>
    </w:p>
    <w:p>
      <w:pPr>
        <w:adjustRightInd w:val="0"/>
        <w:snapToGrid w:val="0"/>
        <w:spacing w:line="360" w:lineRule="auto"/>
        <w:rPr>
          <w:b/>
          <w:color w:val="FF0000"/>
          <w:sz w:val="24"/>
        </w:rPr>
        <w:sectPr>
          <w:pgSz w:w="16838" w:h="11906" w:orient="landscape"/>
          <w:pgMar w:top="1588" w:right="1588" w:bottom="1474" w:left="1701" w:header="851" w:footer="992" w:gutter="0"/>
          <w:cols w:space="425" w:num="1"/>
          <w:docGrid w:type="linesAndChars" w:linePitch="312" w:charSpace="0"/>
        </w:sectPr>
      </w:pPr>
    </w:p>
    <w:p>
      <w:pPr>
        <w:adjustRightInd w:val="0"/>
        <w:snapToGrid w:val="0"/>
        <w:spacing w:line="360" w:lineRule="auto"/>
        <w:rPr>
          <w:b/>
          <w:sz w:val="24"/>
        </w:rPr>
      </w:pPr>
      <w:r>
        <w:rPr>
          <w:b/>
          <w:sz w:val="24"/>
        </w:rPr>
        <w:t>（一）需水预测影响因素</w:t>
      </w:r>
    </w:p>
    <w:p>
      <w:pPr>
        <w:adjustRightInd w:val="0"/>
        <w:snapToGrid w:val="0"/>
        <w:spacing w:line="360" w:lineRule="auto"/>
        <w:ind w:firstLine="480"/>
        <w:rPr>
          <w:sz w:val="24"/>
        </w:rPr>
      </w:pPr>
      <w:r>
        <w:rPr>
          <w:sz w:val="24"/>
        </w:rPr>
        <w:t>未来六安市河道外需水总量变化主要取决于人口增长、经济社会发展、产业结构调整、节约用水及用水定额、水资源循环利用水平、水价、水资源需求管理水平以及生态环境保护的需要等因素。</w:t>
      </w:r>
    </w:p>
    <w:p>
      <w:pPr>
        <w:adjustRightInd w:val="0"/>
        <w:snapToGrid w:val="0"/>
        <w:spacing w:line="360" w:lineRule="auto"/>
        <w:ind w:firstLine="480" w:firstLineChars="200"/>
        <w:rPr>
          <w:sz w:val="24"/>
        </w:rPr>
      </w:pPr>
      <w:r>
        <w:rPr>
          <w:sz w:val="24"/>
        </w:rPr>
        <w:t>未来10年是六安市全面建设小康和构建社会主义和谐社会的关键时期，经济增长仍将保持较快的速度，社会发展将达到全新的水平。2030年之前，全市人口仍将处于增长过程，城镇化处于加速发展阶段，人民生活水平还处于快速提升阶段，在人口总量达到或接近峰值、城镇化率达到稳定和全面建成小康社会之前，全市生活及服务业用水合理需求将会维持一定的增长。未来随着经济结构调整、产业升级换代与技术进步以及节约用水力度加大、循环利用水平提高和需水管理水平的加强、一方面工业用水定额将有较大幅度的降低，另一方面工业将在较长时期处于快速发展阶段，工业规模和总量仍将维持一定增长，工业用水比重将继续增加。新农村建设是保障农业现代化的基础和根本，通过农业种植结构，发展高效节水农业、加强管理、提高农业用水效率、可减少农业用水定额，维持农业用水在未来保持不增长或略有下降的态势。</w:t>
      </w:r>
    </w:p>
    <w:p>
      <w:pPr>
        <w:adjustRightInd w:val="0"/>
        <w:snapToGrid w:val="0"/>
        <w:spacing w:line="360" w:lineRule="auto"/>
        <w:ind w:firstLine="480"/>
        <w:rPr>
          <w:sz w:val="24"/>
        </w:rPr>
      </w:pPr>
      <w:r>
        <w:rPr>
          <w:sz w:val="24"/>
        </w:rPr>
        <w:t>目前全市用水效率</w:t>
      </w:r>
      <w:r>
        <w:rPr>
          <w:rFonts w:hint="eastAsia"/>
          <w:sz w:val="24"/>
        </w:rPr>
        <w:t>仍然偏低</w:t>
      </w:r>
      <w:r>
        <w:rPr>
          <w:sz w:val="24"/>
        </w:rPr>
        <w:t>，因此在需水预测中必须首先考虑产业结构调整的因素，通过使用先进的节水技术、工艺和措施，提高水资源循环利用水平，充分挖掘节水潜力</w:t>
      </w:r>
      <w:r>
        <w:rPr>
          <w:rFonts w:hint="eastAsia"/>
          <w:sz w:val="24"/>
        </w:rPr>
        <w:t>。</w:t>
      </w:r>
    </w:p>
    <w:p>
      <w:pPr>
        <w:adjustRightInd w:val="0"/>
        <w:snapToGrid w:val="0"/>
        <w:spacing w:line="360" w:lineRule="auto"/>
        <w:ind w:firstLine="480" w:firstLineChars="200"/>
        <w:rPr>
          <w:b/>
          <w:color w:val="FF0000"/>
          <w:sz w:val="24"/>
        </w:rPr>
      </w:pPr>
      <w:r>
        <w:rPr>
          <w:sz w:val="24"/>
        </w:rPr>
        <w:t>为实现建设生态文明的战略目标，未来需水预测中还需充分考虑生态环境保护和修复的用水需求。生态环境保护需水预测不但要考虑每年生态环境建设的需要水量，还需考虑逐步退还长期经济社会活动挤占的历史欠账。生态环境保护与修复的需水要求既包括城镇河湖补水、绿化与环境卫生、水土保持与水源涵养、重点湿地湖泊补水等人工供水水源调整和置换措施退还目前挤占的河道内生态环境用水。</w:t>
      </w:r>
    </w:p>
    <w:p>
      <w:pPr>
        <w:adjustRightInd w:val="0"/>
        <w:snapToGrid w:val="0"/>
        <w:spacing w:line="360" w:lineRule="auto"/>
        <w:rPr>
          <w:b/>
          <w:sz w:val="24"/>
        </w:rPr>
      </w:pPr>
      <w:r>
        <w:rPr>
          <w:b/>
          <w:sz w:val="24"/>
        </w:rPr>
        <w:t>（二）生活需水预测</w:t>
      </w:r>
    </w:p>
    <w:p>
      <w:pPr>
        <w:adjustRightInd w:val="0"/>
        <w:snapToGrid w:val="0"/>
        <w:spacing w:line="360" w:lineRule="auto"/>
        <w:ind w:firstLine="480" w:firstLineChars="200"/>
        <w:rPr>
          <w:sz w:val="24"/>
        </w:rPr>
      </w:pPr>
      <w:r>
        <w:rPr>
          <w:sz w:val="24"/>
        </w:rPr>
        <w:t>生活用水是指居民生活的日常用水和城市公共用水。随着人口的增加，生活水平的提高，用水标准的不断提高，生活用水量将不断增加。因城市生活用水定额和农村生活用水定额相差较大，将生活用水量分为城市生活用水量和农村生活用水量两部分，需水量采用日用水定额法分别对其进行预测。</w:t>
      </w:r>
    </w:p>
    <w:p>
      <w:pPr>
        <w:adjustRightInd w:val="0"/>
        <w:snapToGrid w:val="0"/>
        <w:spacing w:line="360" w:lineRule="auto"/>
        <w:ind w:firstLine="480" w:firstLineChars="200"/>
        <w:rPr>
          <w:sz w:val="24"/>
        </w:rPr>
      </w:pPr>
      <w:r>
        <w:rPr>
          <w:sz w:val="24"/>
        </w:rPr>
        <w:t>城市生活用水为城市居民家庭日常生活用水和城市公共用水。对其进行预测，一方面要考虑由于社会的进步和发展，城市居民生活水平将进一步得到改善，用水的标准不断提高；另一方面也要考虑用水管理和节水技术的不断完善和提高。城市居民生活</w:t>
      </w:r>
      <w:r>
        <w:rPr>
          <w:rFonts w:hint="eastAsia"/>
          <w:sz w:val="24"/>
        </w:rPr>
        <w:t>需</w:t>
      </w:r>
      <w:r>
        <w:rPr>
          <w:sz w:val="24"/>
        </w:rPr>
        <w:t>水定额参照《安徽省行业用水定额》、全国其他城市及六安市现状生活用水定额，综合比较确定。</w:t>
      </w:r>
    </w:p>
    <w:p>
      <w:pPr>
        <w:adjustRightInd w:val="0"/>
        <w:snapToGrid w:val="0"/>
        <w:spacing w:line="360" w:lineRule="auto"/>
        <w:ind w:firstLine="480" w:firstLineChars="200"/>
        <w:rPr>
          <w:sz w:val="24"/>
        </w:rPr>
      </w:pPr>
      <w:r>
        <w:rPr>
          <w:sz w:val="24"/>
        </w:rPr>
        <w:t>现状2020年六安市生活</w:t>
      </w:r>
      <w:r>
        <w:rPr>
          <w:rFonts w:hint="eastAsia"/>
          <w:sz w:val="24"/>
        </w:rPr>
        <w:t>需</w:t>
      </w:r>
      <w:r>
        <w:rPr>
          <w:sz w:val="24"/>
        </w:rPr>
        <w:t>水总量为24001万m</w:t>
      </w:r>
      <w:r>
        <w:rPr>
          <w:sz w:val="24"/>
          <w:vertAlign w:val="superscript"/>
        </w:rPr>
        <w:t>3</w:t>
      </w:r>
      <w:r>
        <w:rPr>
          <w:sz w:val="24"/>
        </w:rPr>
        <w:t>，其中城镇生活需水量为15142万m</w:t>
      </w:r>
      <w:r>
        <w:rPr>
          <w:sz w:val="24"/>
          <w:vertAlign w:val="superscript"/>
        </w:rPr>
        <w:t>3</w:t>
      </w:r>
      <w:r>
        <w:rPr>
          <w:sz w:val="24"/>
        </w:rPr>
        <w:t>，</w:t>
      </w:r>
      <w:r>
        <w:rPr>
          <w:rFonts w:hint="eastAsia"/>
          <w:sz w:val="24"/>
        </w:rPr>
        <w:t>需</w:t>
      </w:r>
      <w:r>
        <w:rPr>
          <w:sz w:val="24"/>
        </w:rPr>
        <w:t>水定额为194.2 L/人∙日</w:t>
      </w:r>
      <w:r>
        <w:rPr>
          <w:rFonts w:hint="eastAsia"/>
          <w:sz w:val="24"/>
        </w:rPr>
        <w:t>（含城镇公共需水，下同）</w:t>
      </w:r>
      <w:r>
        <w:rPr>
          <w:sz w:val="24"/>
        </w:rPr>
        <w:t>，农村生活需水量为</w:t>
      </w:r>
      <w:r>
        <w:rPr>
          <w:rFonts w:hint="eastAsia"/>
          <w:sz w:val="24"/>
        </w:rPr>
        <w:t>8</w:t>
      </w:r>
      <w:r>
        <w:rPr>
          <w:sz w:val="24"/>
        </w:rPr>
        <w:t>859万m</w:t>
      </w:r>
      <w:r>
        <w:rPr>
          <w:sz w:val="24"/>
          <w:vertAlign w:val="superscript"/>
        </w:rPr>
        <w:t>3</w:t>
      </w:r>
      <w:r>
        <w:rPr>
          <w:sz w:val="24"/>
        </w:rPr>
        <w:t>，</w:t>
      </w:r>
      <w:r>
        <w:rPr>
          <w:rFonts w:hint="eastAsia"/>
          <w:sz w:val="24"/>
        </w:rPr>
        <w:t>需</w:t>
      </w:r>
      <w:r>
        <w:rPr>
          <w:sz w:val="24"/>
        </w:rPr>
        <w:t>水定额为106.9</w:t>
      </w:r>
      <w:r>
        <w:rPr>
          <w:rFonts w:hint="eastAsia"/>
          <w:sz w:val="24"/>
        </w:rPr>
        <w:t xml:space="preserve"> </w:t>
      </w:r>
      <w:r>
        <w:rPr>
          <w:sz w:val="24"/>
        </w:rPr>
        <w:t>L/人∙日</w:t>
      </w:r>
      <w:r>
        <w:rPr>
          <w:rFonts w:hint="eastAsia"/>
          <w:sz w:val="24"/>
        </w:rPr>
        <w:t>。</w:t>
      </w:r>
    </w:p>
    <w:p>
      <w:pPr>
        <w:adjustRightInd w:val="0"/>
        <w:snapToGrid w:val="0"/>
        <w:spacing w:line="360" w:lineRule="auto"/>
        <w:ind w:firstLine="480" w:firstLineChars="200"/>
        <w:rPr>
          <w:sz w:val="24"/>
        </w:rPr>
      </w:pPr>
      <w:r>
        <w:rPr>
          <w:sz w:val="24"/>
        </w:rPr>
        <w:t>规划2025年全市生活</w:t>
      </w:r>
      <w:r>
        <w:rPr>
          <w:rFonts w:hint="eastAsia"/>
          <w:sz w:val="24"/>
        </w:rPr>
        <w:t>需</w:t>
      </w:r>
      <w:r>
        <w:rPr>
          <w:sz w:val="24"/>
        </w:rPr>
        <w:t>水总量为26448万m</w:t>
      </w:r>
      <w:r>
        <w:rPr>
          <w:sz w:val="24"/>
          <w:vertAlign w:val="superscript"/>
        </w:rPr>
        <w:t>3</w:t>
      </w:r>
      <w:r>
        <w:rPr>
          <w:sz w:val="24"/>
        </w:rPr>
        <w:t>，其中城镇生活需水量为18011万m</w:t>
      </w:r>
      <w:r>
        <w:rPr>
          <w:sz w:val="24"/>
          <w:vertAlign w:val="superscript"/>
        </w:rPr>
        <w:t>3</w:t>
      </w:r>
      <w:r>
        <w:rPr>
          <w:sz w:val="24"/>
        </w:rPr>
        <w:t>，</w:t>
      </w:r>
      <w:r>
        <w:rPr>
          <w:rFonts w:hint="eastAsia"/>
          <w:sz w:val="24"/>
        </w:rPr>
        <w:t>需</w:t>
      </w:r>
      <w:r>
        <w:rPr>
          <w:sz w:val="24"/>
        </w:rPr>
        <w:t>水定额为199</w:t>
      </w:r>
      <w:r>
        <w:rPr>
          <w:rFonts w:hint="eastAsia"/>
          <w:sz w:val="24"/>
        </w:rPr>
        <w:t xml:space="preserve"> </w:t>
      </w:r>
      <w:r>
        <w:rPr>
          <w:sz w:val="24"/>
        </w:rPr>
        <w:t>L/人∙日，农村生活需水量为8437万m</w:t>
      </w:r>
      <w:r>
        <w:rPr>
          <w:sz w:val="24"/>
          <w:vertAlign w:val="superscript"/>
        </w:rPr>
        <w:t>3</w:t>
      </w:r>
      <w:r>
        <w:rPr>
          <w:sz w:val="24"/>
        </w:rPr>
        <w:t>，</w:t>
      </w:r>
      <w:r>
        <w:rPr>
          <w:rFonts w:hint="eastAsia"/>
          <w:sz w:val="24"/>
        </w:rPr>
        <w:t>需</w:t>
      </w:r>
      <w:r>
        <w:rPr>
          <w:sz w:val="24"/>
        </w:rPr>
        <w:t>水定额为11</w:t>
      </w:r>
      <w:r>
        <w:rPr>
          <w:rFonts w:hint="eastAsia"/>
          <w:sz w:val="24"/>
        </w:rPr>
        <w:t xml:space="preserve">0 </w:t>
      </w:r>
      <w:r>
        <w:rPr>
          <w:sz w:val="24"/>
        </w:rPr>
        <w:t>L/人∙日</w:t>
      </w:r>
      <w:r>
        <w:rPr>
          <w:rFonts w:hint="eastAsia"/>
          <w:sz w:val="24"/>
        </w:rPr>
        <w:t>。</w:t>
      </w:r>
    </w:p>
    <w:p>
      <w:pPr>
        <w:adjustRightInd w:val="0"/>
        <w:snapToGrid w:val="0"/>
        <w:spacing w:line="360" w:lineRule="auto"/>
        <w:ind w:firstLine="480" w:firstLineChars="200"/>
        <w:rPr>
          <w:sz w:val="24"/>
        </w:rPr>
      </w:pPr>
      <w:r>
        <w:rPr>
          <w:sz w:val="24"/>
        </w:rPr>
        <w:t>规划2030年全市生活</w:t>
      </w:r>
      <w:r>
        <w:rPr>
          <w:rFonts w:hint="eastAsia"/>
          <w:sz w:val="24"/>
        </w:rPr>
        <w:t>需</w:t>
      </w:r>
      <w:r>
        <w:rPr>
          <w:sz w:val="24"/>
        </w:rPr>
        <w:t>水总量为30486万m</w:t>
      </w:r>
      <w:r>
        <w:rPr>
          <w:sz w:val="24"/>
          <w:vertAlign w:val="superscript"/>
        </w:rPr>
        <w:t>3</w:t>
      </w:r>
      <w:r>
        <w:rPr>
          <w:sz w:val="24"/>
        </w:rPr>
        <w:t>，其中城镇生活</w:t>
      </w:r>
      <w:r>
        <w:rPr>
          <w:rFonts w:hint="eastAsia"/>
          <w:sz w:val="24"/>
        </w:rPr>
        <w:t>需</w:t>
      </w:r>
      <w:r>
        <w:rPr>
          <w:sz w:val="24"/>
        </w:rPr>
        <w:t>水量为22442万m</w:t>
      </w:r>
      <w:r>
        <w:rPr>
          <w:sz w:val="24"/>
          <w:vertAlign w:val="superscript"/>
        </w:rPr>
        <w:t>3</w:t>
      </w:r>
      <w:r>
        <w:rPr>
          <w:sz w:val="24"/>
        </w:rPr>
        <w:t>，</w:t>
      </w:r>
      <w:r>
        <w:rPr>
          <w:rFonts w:hint="eastAsia"/>
          <w:sz w:val="24"/>
        </w:rPr>
        <w:t>需</w:t>
      </w:r>
      <w:r>
        <w:rPr>
          <w:sz w:val="24"/>
        </w:rPr>
        <w:t>水定额为218</w:t>
      </w:r>
      <w:r>
        <w:rPr>
          <w:rFonts w:hint="eastAsia"/>
          <w:sz w:val="24"/>
        </w:rPr>
        <w:t xml:space="preserve"> </w:t>
      </w:r>
      <w:r>
        <w:rPr>
          <w:sz w:val="24"/>
        </w:rPr>
        <w:t>L/人∙日，农村生活需水量为8044万m</w:t>
      </w:r>
      <w:r>
        <w:rPr>
          <w:sz w:val="24"/>
          <w:vertAlign w:val="superscript"/>
        </w:rPr>
        <w:t>3</w:t>
      </w:r>
      <w:r>
        <w:rPr>
          <w:sz w:val="24"/>
        </w:rPr>
        <w:t>，</w:t>
      </w:r>
      <w:r>
        <w:rPr>
          <w:rFonts w:hint="eastAsia"/>
          <w:sz w:val="24"/>
        </w:rPr>
        <w:t>需</w:t>
      </w:r>
      <w:r>
        <w:rPr>
          <w:sz w:val="24"/>
        </w:rPr>
        <w:t>水定额为115</w:t>
      </w:r>
      <w:r>
        <w:rPr>
          <w:rFonts w:hint="eastAsia"/>
          <w:sz w:val="24"/>
        </w:rPr>
        <w:t xml:space="preserve"> </w:t>
      </w:r>
      <w:r>
        <w:rPr>
          <w:sz w:val="24"/>
        </w:rPr>
        <w:t>L/人∙日。</w:t>
      </w:r>
    </w:p>
    <w:p>
      <w:pPr>
        <w:adjustRightInd w:val="0"/>
        <w:snapToGrid w:val="0"/>
        <w:spacing w:line="360" w:lineRule="auto"/>
        <w:ind w:firstLine="480" w:firstLineChars="200"/>
        <w:rPr>
          <w:sz w:val="24"/>
        </w:rPr>
      </w:pPr>
      <w:r>
        <w:rPr>
          <w:rFonts w:hint="eastAsia"/>
          <w:sz w:val="24"/>
        </w:rPr>
        <w:t>现状及规划水平年六安市生活需水量预测</w:t>
      </w:r>
      <w:r>
        <w:rPr>
          <w:sz w:val="24"/>
        </w:rPr>
        <w:t>具体见表4.2</w:t>
      </w:r>
      <w:r>
        <w:rPr>
          <w:rFonts w:hint="eastAsia"/>
          <w:sz w:val="24"/>
        </w:rPr>
        <w:t>.</w:t>
      </w:r>
      <w:r>
        <w:rPr>
          <w:sz w:val="24"/>
        </w:rPr>
        <w:t>2。</w:t>
      </w:r>
    </w:p>
    <w:p>
      <w:pPr>
        <w:spacing w:line="360" w:lineRule="auto"/>
        <w:jc w:val="center"/>
        <w:rPr>
          <w:b/>
          <w:sz w:val="28"/>
          <w:szCs w:val="24"/>
        </w:rPr>
      </w:pPr>
      <w:r>
        <w:rPr>
          <w:rFonts w:hAnsi="宋体"/>
          <w:b/>
          <w:sz w:val="24"/>
          <w:szCs w:val="24"/>
        </w:rPr>
        <w:t>表</w:t>
      </w:r>
      <w:r>
        <w:rPr>
          <w:b/>
          <w:sz w:val="24"/>
          <w:szCs w:val="24"/>
        </w:rPr>
        <w:t xml:space="preserve">4.2.2  </w:t>
      </w:r>
      <w:r>
        <w:rPr>
          <w:rFonts w:hint="eastAsia"/>
          <w:b/>
          <w:sz w:val="24"/>
          <w:szCs w:val="24"/>
        </w:rPr>
        <w:t>现状及</w:t>
      </w:r>
      <w:r>
        <w:rPr>
          <w:rFonts w:hAnsi="宋体"/>
          <w:b/>
          <w:sz w:val="24"/>
          <w:szCs w:val="24"/>
        </w:rPr>
        <w:t>规划水平年六安市生活需水量预测表</w:t>
      </w:r>
    </w:p>
    <w:tbl>
      <w:tblPr>
        <w:tblStyle w:val="36"/>
        <w:tblW w:w="4900" w:type="pct"/>
        <w:tblInd w:w="0" w:type="dxa"/>
        <w:tblLayout w:type="autofit"/>
        <w:tblCellMar>
          <w:top w:w="0" w:type="dxa"/>
          <w:left w:w="108" w:type="dxa"/>
          <w:bottom w:w="0" w:type="dxa"/>
          <w:right w:w="108" w:type="dxa"/>
        </w:tblCellMar>
      </w:tblPr>
      <w:tblGrid>
        <w:gridCol w:w="1673"/>
        <w:gridCol w:w="1389"/>
        <w:gridCol w:w="1389"/>
        <w:gridCol w:w="1408"/>
        <w:gridCol w:w="1408"/>
        <w:gridCol w:w="1389"/>
      </w:tblGrid>
      <w:tr>
        <w:tblPrEx>
          <w:tblCellMar>
            <w:top w:w="0" w:type="dxa"/>
            <w:left w:w="108" w:type="dxa"/>
            <w:bottom w:w="0" w:type="dxa"/>
            <w:right w:w="108" w:type="dxa"/>
          </w:tblCellMar>
        </w:tblPrEx>
        <w:trPr>
          <w:trHeight w:val="397" w:hRule="atLeast"/>
        </w:trPr>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水平年</w:t>
            </w:r>
          </w:p>
        </w:tc>
        <w:tc>
          <w:tcPr>
            <w:tcW w:w="27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定额</w:t>
            </w:r>
            <w:r>
              <w:rPr>
                <w:kern w:val="0"/>
                <w:sz w:val="18"/>
                <w:szCs w:val="18"/>
              </w:rPr>
              <w:t>(</w:t>
            </w:r>
            <w:r>
              <w:rPr>
                <w:rFonts w:hint="eastAsia" w:ascii="宋体" w:hAnsi="宋体" w:cs="宋体"/>
                <w:kern w:val="0"/>
                <w:sz w:val="18"/>
                <w:szCs w:val="18"/>
              </w:rPr>
              <w:t>升</w:t>
            </w:r>
            <w:r>
              <w:rPr>
                <w:kern w:val="0"/>
                <w:sz w:val="18"/>
                <w:szCs w:val="18"/>
              </w:rPr>
              <w:t>/</w:t>
            </w:r>
            <w:r>
              <w:rPr>
                <w:rFonts w:hint="eastAsia" w:ascii="宋体" w:hAnsi="宋体" w:cs="宋体"/>
                <w:kern w:val="0"/>
                <w:sz w:val="18"/>
                <w:szCs w:val="18"/>
              </w:rPr>
              <w:t>人</w:t>
            </w:r>
            <w:r>
              <w:rPr>
                <w:kern w:val="0"/>
                <w:sz w:val="24"/>
              </w:rPr>
              <w:t>∙</w:t>
            </w:r>
            <w:r>
              <w:rPr>
                <w:rFonts w:hint="eastAsia" w:ascii="宋体" w:hAnsi="宋体" w:cs="宋体"/>
                <w:kern w:val="0"/>
                <w:sz w:val="18"/>
                <w:szCs w:val="18"/>
              </w:rPr>
              <w:t>日</w:t>
            </w:r>
            <w:r>
              <w:rPr>
                <w:kern w:val="0"/>
                <w:sz w:val="18"/>
                <w:szCs w:val="18"/>
              </w:rPr>
              <w:t>)</w:t>
            </w:r>
          </w:p>
        </w:tc>
        <w:tc>
          <w:tcPr>
            <w:tcW w:w="409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需水量</w:t>
            </w:r>
            <w:r>
              <w:rPr>
                <w:kern w:val="0"/>
                <w:sz w:val="18"/>
                <w:szCs w:val="18"/>
              </w:rPr>
              <w:t>(</w:t>
            </w:r>
            <w:r>
              <w:rPr>
                <w:rFonts w:hint="eastAsia" w:ascii="宋体" w:hAnsi="宋体" w:cs="宋体"/>
                <w:kern w:val="0"/>
                <w:sz w:val="18"/>
                <w:szCs w:val="18"/>
              </w:rPr>
              <w:t>万</w:t>
            </w:r>
            <w:r>
              <w:rPr>
                <w:kern w:val="0"/>
                <w:sz w:val="18"/>
                <w:szCs w:val="18"/>
              </w:rPr>
              <w:t>m</w:t>
            </w:r>
            <w:r>
              <w:rPr>
                <w:kern w:val="0"/>
                <w:sz w:val="18"/>
                <w:szCs w:val="18"/>
                <w:vertAlign w:val="superscript"/>
              </w:rPr>
              <w:t>3</w:t>
            </w:r>
            <w:r>
              <w:rPr>
                <w:kern w:val="0"/>
                <w:sz w:val="18"/>
                <w:szCs w:val="18"/>
              </w:rPr>
              <w:t>)</w:t>
            </w:r>
          </w:p>
        </w:tc>
      </w:tr>
      <w:tr>
        <w:tblPrEx>
          <w:tblCellMar>
            <w:top w:w="0" w:type="dxa"/>
            <w:left w:w="108" w:type="dxa"/>
            <w:bottom w:w="0" w:type="dxa"/>
            <w:right w:w="108" w:type="dxa"/>
          </w:tblCellMar>
        </w:tblPrEx>
        <w:trPr>
          <w:trHeight w:val="397"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农村生活</w:t>
            </w:r>
          </w:p>
        </w:tc>
        <w:tc>
          <w:tcPr>
            <w:tcW w:w="13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城镇生活</w:t>
            </w:r>
          </w:p>
        </w:tc>
        <w:tc>
          <w:tcPr>
            <w:tcW w:w="13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农村生活</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2020</w:t>
            </w:r>
            <w:r>
              <w:rPr>
                <w:rFonts w:hint="eastAsia" w:ascii="宋体" w:hAnsi="宋体"/>
                <w:kern w:val="0"/>
                <w:sz w:val="18"/>
                <w:szCs w:val="18"/>
              </w:rPr>
              <w:t>年</w:t>
            </w:r>
          </w:p>
        </w:tc>
        <w:tc>
          <w:tcPr>
            <w:tcW w:w="13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194</w:t>
            </w:r>
          </w:p>
        </w:tc>
        <w:tc>
          <w:tcPr>
            <w:tcW w:w="13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107</w:t>
            </w:r>
          </w:p>
        </w:tc>
        <w:tc>
          <w:tcPr>
            <w:tcW w:w="13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15142</w:t>
            </w:r>
          </w:p>
        </w:tc>
        <w:tc>
          <w:tcPr>
            <w:tcW w:w="13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8859</w:t>
            </w:r>
          </w:p>
        </w:tc>
        <w:tc>
          <w:tcPr>
            <w:tcW w:w="13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24001</w:t>
            </w:r>
          </w:p>
        </w:tc>
      </w:tr>
      <w:tr>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2025</w:t>
            </w:r>
            <w:r>
              <w:rPr>
                <w:rFonts w:hint="eastAsia" w:ascii="宋体" w:hAnsi="宋体"/>
                <w:kern w:val="0"/>
                <w:sz w:val="18"/>
                <w:szCs w:val="18"/>
              </w:rPr>
              <w:t>年</w:t>
            </w:r>
          </w:p>
        </w:tc>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199</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110</w:t>
            </w:r>
          </w:p>
        </w:tc>
        <w:tc>
          <w:tcPr>
            <w:tcW w:w="13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18011</w:t>
            </w:r>
          </w:p>
        </w:tc>
        <w:tc>
          <w:tcPr>
            <w:tcW w:w="13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8437</w:t>
            </w:r>
          </w:p>
        </w:tc>
        <w:tc>
          <w:tcPr>
            <w:tcW w:w="135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26448</w:t>
            </w:r>
          </w:p>
        </w:tc>
      </w:tr>
      <w:tr>
        <w:tblPrEx>
          <w:tblCellMar>
            <w:top w:w="0" w:type="dxa"/>
            <w:left w:w="108" w:type="dxa"/>
            <w:bottom w:w="0" w:type="dxa"/>
            <w:right w:w="108" w:type="dxa"/>
          </w:tblCellMar>
        </w:tblPrEx>
        <w:trPr>
          <w:trHeight w:val="397" w:hRule="atLeast"/>
        </w:trPr>
        <w:tc>
          <w:tcPr>
            <w:tcW w:w="16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2030</w:t>
            </w:r>
            <w:r>
              <w:rPr>
                <w:rFonts w:hint="eastAsia" w:ascii="宋体" w:hAnsi="宋体"/>
                <w:kern w:val="0"/>
                <w:sz w:val="18"/>
                <w:szCs w:val="18"/>
              </w:rPr>
              <w:t>年</w:t>
            </w:r>
          </w:p>
        </w:tc>
        <w:tc>
          <w:tcPr>
            <w:tcW w:w="13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218</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115</w:t>
            </w:r>
          </w:p>
        </w:tc>
        <w:tc>
          <w:tcPr>
            <w:tcW w:w="13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22442</w:t>
            </w:r>
          </w:p>
        </w:tc>
        <w:tc>
          <w:tcPr>
            <w:tcW w:w="13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8044</w:t>
            </w:r>
          </w:p>
        </w:tc>
        <w:tc>
          <w:tcPr>
            <w:tcW w:w="135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30486</w:t>
            </w:r>
          </w:p>
        </w:tc>
      </w:tr>
    </w:tbl>
    <w:p>
      <w:pPr>
        <w:adjustRightInd w:val="0"/>
        <w:snapToGrid w:val="0"/>
        <w:spacing w:line="360" w:lineRule="auto"/>
        <w:rPr>
          <w:b/>
          <w:color w:val="FF0000"/>
          <w:sz w:val="24"/>
        </w:rPr>
      </w:pPr>
    </w:p>
    <w:p>
      <w:pPr>
        <w:adjustRightInd w:val="0"/>
        <w:snapToGrid w:val="0"/>
        <w:spacing w:line="360" w:lineRule="auto"/>
        <w:rPr>
          <w:b/>
          <w:sz w:val="24"/>
        </w:rPr>
      </w:pPr>
      <w:r>
        <w:rPr>
          <w:b/>
          <w:sz w:val="24"/>
        </w:rPr>
        <w:t>（三）生产需水预测</w:t>
      </w:r>
    </w:p>
    <w:p>
      <w:pPr>
        <w:adjustRightInd w:val="0"/>
        <w:snapToGrid w:val="0"/>
        <w:spacing w:line="360" w:lineRule="auto"/>
        <w:ind w:firstLine="480" w:firstLineChars="200"/>
        <w:rPr>
          <w:sz w:val="24"/>
        </w:rPr>
      </w:pPr>
      <w:r>
        <w:rPr>
          <w:sz w:val="24"/>
        </w:rPr>
        <w:t>生产需水是指有经济产出的各类生产活动所需的水量，可划分为农业需水和工业生产需水量。</w:t>
      </w:r>
    </w:p>
    <w:p>
      <w:pPr>
        <w:adjustRightInd w:val="0"/>
        <w:snapToGrid w:val="0"/>
        <w:spacing w:line="360" w:lineRule="auto"/>
        <w:rPr>
          <w:b/>
          <w:sz w:val="24"/>
        </w:rPr>
      </w:pPr>
      <w:r>
        <w:rPr>
          <w:b/>
          <w:sz w:val="24"/>
        </w:rPr>
        <w:t>1、农业需水预测</w:t>
      </w:r>
    </w:p>
    <w:p>
      <w:pPr>
        <w:adjustRightInd w:val="0"/>
        <w:snapToGrid w:val="0"/>
        <w:spacing w:line="360" w:lineRule="auto"/>
        <w:ind w:firstLine="480" w:firstLineChars="200"/>
        <w:rPr>
          <w:b/>
          <w:sz w:val="24"/>
        </w:rPr>
      </w:pPr>
      <w:r>
        <w:rPr>
          <w:b/>
          <w:sz w:val="24"/>
        </w:rPr>
        <w:t>（1）农田灌溉需水预测</w:t>
      </w:r>
    </w:p>
    <w:p>
      <w:pPr>
        <w:adjustRightInd w:val="0"/>
        <w:snapToGrid w:val="0"/>
        <w:spacing w:line="360" w:lineRule="auto"/>
        <w:ind w:firstLine="480" w:firstLineChars="200"/>
        <w:rPr>
          <w:sz w:val="24"/>
        </w:rPr>
      </w:pPr>
      <w:r>
        <w:rPr>
          <w:sz w:val="24"/>
        </w:rPr>
        <w:t>六安市2020年农田有效灌溉面积603.75万亩，主要集中在淠史杭灌区和沿淮地区，农业种植以水稻</w:t>
      </w:r>
      <w:r>
        <w:rPr>
          <w:rFonts w:hint="eastAsia"/>
          <w:sz w:val="24"/>
        </w:rPr>
        <w:t>、小麦、</w:t>
      </w:r>
      <w:r>
        <w:rPr>
          <w:sz w:val="24"/>
        </w:rPr>
        <w:t>油菜和棉花为主，近年来随着农村经济社会的发展经济作物种植比例不断增加。</w:t>
      </w:r>
      <w:r>
        <w:rPr>
          <w:rFonts w:hint="eastAsia"/>
          <w:sz w:val="24"/>
        </w:rPr>
        <w:t>预测</w:t>
      </w:r>
      <w:r>
        <w:rPr>
          <w:sz w:val="24"/>
        </w:rPr>
        <w:t>至2025年六安市农田有效灌溉面积将达到626.85万亩</w:t>
      </w:r>
      <w:r>
        <w:rPr>
          <w:rFonts w:hint="eastAsia"/>
          <w:sz w:val="24"/>
        </w:rPr>
        <w:t>，</w:t>
      </w:r>
      <w:r>
        <w:rPr>
          <w:sz w:val="24"/>
        </w:rPr>
        <w:t>至2030年将达到639.29万亩。</w:t>
      </w:r>
    </w:p>
    <w:p>
      <w:pPr>
        <w:adjustRightInd w:val="0"/>
        <w:snapToGrid w:val="0"/>
        <w:spacing w:line="360" w:lineRule="auto"/>
        <w:ind w:firstLine="482"/>
        <w:rPr>
          <w:sz w:val="24"/>
        </w:rPr>
      </w:pPr>
      <w:r>
        <w:rPr>
          <w:sz w:val="24"/>
        </w:rPr>
        <w:t>农田灌溉需水量不仅与农作物种植结构、当地雨情、作物种植方式等因素还有，另外还与渠系水利用系数与工程配套、防渗措施、用水管理、输水方式等有密切关系，其正确估计对确定农业灌溉用水量影响较大，估算时应尽量避免主观任意性。</w:t>
      </w:r>
      <w:r>
        <w:rPr>
          <w:rFonts w:hint="eastAsia"/>
          <w:sz w:val="24"/>
        </w:rPr>
        <w:t>根据《2020年六安市农田灌溉水有效利用系数测算分析成果报告》成果，全</w:t>
      </w:r>
      <w:r>
        <w:rPr>
          <w:sz w:val="24"/>
        </w:rPr>
        <w:t>市现状</w:t>
      </w:r>
      <w:r>
        <w:rPr>
          <w:rFonts w:hint="eastAsia"/>
          <w:sz w:val="24"/>
        </w:rPr>
        <w:t>2</w:t>
      </w:r>
      <w:r>
        <w:rPr>
          <w:sz w:val="24"/>
        </w:rPr>
        <w:t>020年农业灌溉水</w:t>
      </w:r>
      <w:r>
        <w:rPr>
          <w:rFonts w:hint="eastAsia"/>
          <w:sz w:val="24"/>
        </w:rPr>
        <w:t>有效</w:t>
      </w:r>
      <w:r>
        <w:rPr>
          <w:sz w:val="24"/>
        </w:rPr>
        <w:t>利用系数为0.5167。预计至2025年</w:t>
      </w:r>
      <w:r>
        <w:rPr>
          <w:rFonts w:hint="eastAsia"/>
          <w:sz w:val="24"/>
        </w:rPr>
        <w:t>，全市</w:t>
      </w:r>
      <w:r>
        <w:rPr>
          <w:sz w:val="24"/>
        </w:rPr>
        <w:t>农业灌溉水</w:t>
      </w:r>
      <w:r>
        <w:rPr>
          <w:rFonts w:hint="eastAsia"/>
          <w:sz w:val="24"/>
        </w:rPr>
        <w:t>有效</w:t>
      </w:r>
      <w:r>
        <w:rPr>
          <w:sz w:val="24"/>
        </w:rPr>
        <w:t>利用系数提高到0.55左右；至2030年</w:t>
      </w:r>
      <w:r>
        <w:rPr>
          <w:rFonts w:hint="eastAsia"/>
          <w:sz w:val="24"/>
        </w:rPr>
        <w:t>全市</w:t>
      </w:r>
      <w:r>
        <w:rPr>
          <w:sz w:val="24"/>
        </w:rPr>
        <w:t>农业灌溉水</w:t>
      </w:r>
      <w:r>
        <w:rPr>
          <w:rFonts w:hint="eastAsia"/>
          <w:sz w:val="24"/>
        </w:rPr>
        <w:t>有效</w:t>
      </w:r>
      <w:r>
        <w:rPr>
          <w:sz w:val="24"/>
        </w:rPr>
        <w:t>利用系数提高到0.57左右。</w:t>
      </w:r>
    </w:p>
    <w:p>
      <w:pPr>
        <w:adjustRightInd w:val="0"/>
        <w:snapToGrid w:val="0"/>
        <w:spacing w:line="360" w:lineRule="auto"/>
        <w:ind w:firstLine="482"/>
        <w:rPr>
          <w:sz w:val="24"/>
        </w:rPr>
      </w:pPr>
      <w:r>
        <w:rPr>
          <w:sz w:val="24"/>
        </w:rPr>
        <w:t>根据六安市现状灌溉用水水平，种植结构、种植方式、灌溉水综合利用系数等因素，根据现有相关规划成果，综合分析拟定不同保证率的灌溉用水定额。如下表4.2</w:t>
      </w:r>
      <w:r>
        <w:rPr>
          <w:rFonts w:hint="eastAsia"/>
          <w:sz w:val="24"/>
        </w:rPr>
        <w:t>.</w:t>
      </w:r>
      <w:r>
        <w:rPr>
          <w:sz w:val="24"/>
        </w:rPr>
        <w:t>3所示。</w:t>
      </w:r>
    </w:p>
    <w:p>
      <w:pPr>
        <w:adjustRightInd w:val="0"/>
        <w:snapToGrid w:val="0"/>
        <w:spacing w:line="360" w:lineRule="auto"/>
        <w:ind w:firstLine="482"/>
        <w:rPr>
          <w:sz w:val="24"/>
        </w:rPr>
      </w:pPr>
      <w:r>
        <w:rPr>
          <w:sz w:val="24"/>
        </w:rPr>
        <w:t>根据不同类型农业用地面积、用水定额以及灌溉水利用系数，来推求各区农业灌溉需水量。农业灌溉需水量预测结果见表4.2</w:t>
      </w:r>
      <w:r>
        <w:rPr>
          <w:rFonts w:hint="eastAsia"/>
          <w:sz w:val="24"/>
        </w:rPr>
        <w:t>.</w:t>
      </w:r>
      <w:r>
        <w:rPr>
          <w:sz w:val="24"/>
        </w:rPr>
        <w:t>3。</w:t>
      </w:r>
    </w:p>
    <w:p>
      <w:pPr>
        <w:adjustRightInd w:val="0"/>
        <w:snapToGrid w:val="0"/>
        <w:spacing w:line="360" w:lineRule="auto"/>
        <w:jc w:val="center"/>
      </w:pPr>
      <w:r>
        <w:rPr>
          <w:rFonts w:hAnsi="宋体"/>
          <w:b/>
          <w:sz w:val="24"/>
          <w:szCs w:val="24"/>
        </w:rPr>
        <w:t>表</w:t>
      </w:r>
      <w:r>
        <w:rPr>
          <w:b/>
          <w:sz w:val="24"/>
          <w:szCs w:val="24"/>
        </w:rPr>
        <w:t xml:space="preserve">4.2.3  </w:t>
      </w:r>
      <w:r>
        <w:rPr>
          <w:rFonts w:hint="eastAsia" w:hAnsi="宋体"/>
          <w:b/>
          <w:sz w:val="24"/>
          <w:szCs w:val="24"/>
        </w:rPr>
        <w:t>农业</w:t>
      </w:r>
      <w:r>
        <w:rPr>
          <w:rFonts w:hAnsi="宋体"/>
          <w:b/>
          <w:sz w:val="24"/>
          <w:szCs w:val="24"/>
        </w:rPr>
        <w:t>灌溉用水定额</w:t>
      </w:r>
      <w:r>
        <w:rPr>
          <w:rFonts w:hint="eastAsia" w:hAnsi="宋体"/>
          <w:b/>
          <w:sz w:val="24"/>
          <w:szCs w:val="24"/>
        </w:rPr>
        <w:t>和需水量预测成果</w:t>
      </w:r>
      <w:r>
        <w:t xml:space="preserve"> </w:t>
      </w:r>
    </w:p>
    <w:tbl>
      <w:tblPr>
        <w:tblStyle w:val="36"/>
        <w:tblW w:w="4900" w:type="pct"/>
        <w:tblInd w:w="0" w:type="dxa"/>
        <w:tblLayout w:type="autofit"/>
        <w:tblCellMar>
          <w:top w:w="0" w:type="dxa"/>
          <w:left w:w="108" w:type="dxa"/>
          <w:bottom w:w="0" w:type="dxa"/>
          <w:right w:w="108" w:type="dxa"/>
        </w:tblCellMar>
      </w:tblPr>
      <w:tblGrid>
        <w:gridCol w:w="1437"/>
        <w:gridCol w:w="1925"/>
        <w:gridCol w:w="2647"/>
        <w:gridCol w:w="2647"/>
      </w:tblGrid>
      <w:tr>
        <w:tblPrEx>
          <w:tblCellMar>
            <w:top w:w="0" w:type="dxa"/>
            <w:left w:w="108" w:type="dxa"/>
            <w:bottom w:w="0" w:type="dxa"/>
            <w:right w:w="108" w:type="dxa"/>
          </w:tblCellMar>
        </w:tblPrEx>
        <w:trPr>
          <w:trHeight w:val="397" w:hRule="atLeast"/>
        </w:trPr>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水平年</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保证率</w:t>
            </w:r>
          </w:p>
        </w:tc>
        <w:tc>
          <w:tcPr>
            <w:tcW w:w="2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耕地亩均用水量（</w:t>
            </w:r>
            <w:r>
              <w:rPr>
                <w:sz w:val="18"/>
                <w:szCs w:val="18"/>
              </w:rPr>
              <w:t>m</w:t>
            </w:r>
            <w:r>
              <w:rPr>
                <w:sz w:val="18"/>
                <w:szCs w:val="18"/>
                <w:vertAlign w:val="superscript"/>
              </w:rPr>
              <w:t>3</w:t>
            </w:r>
            <w:r>
              <w:rPr>
                <w:sz w:val="18"/>
                <w:szCs w:val="18"/>
              </w:rPr>
              <w:t>/</w:t>
            </w:r>
            <w:r>
              <w:rPr>
                <w:rFonts w:hAnsi="宋体"/>
                <w:sz w:val="18"/>
                <w:szCs w:val="18"/>
              </w:rPr>
              <w:t>亩</w:t>
            </w:r>
            <w:r>
              <w:rPr>
                <w:rFonts w:hint="eastAsia" w:ascii="宋体" w:hAnsi="宋体" w:cs="宋体"/>
                <w:kern w:val="0"/>
                <w:sz w:val="18"/>
                <w:szCs w:val="18"/>
              </w:rPr>
              <w:t>）</w:t>
            </w:r>
          </w:p>
        </w:tc>
        <w:tc>
          <w:tcPr>
            <w:tcW w:w="2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耕地灌溉需水量（万</w:t>
            </w:r>
            <w:r>
              <w:rPr>
                <w:sz w:val="18"/>
                <w:szCs w:val="18"/>
              </w:rPr>
              <w:t>m</w:t>
            </w:r>
            <w:r>
              <w:rPr>
                <w:sz w:val="18"/>
                <w:szCs w:val="18"/>
                <w:vertAlign w:val="superscript"/>
              </w:rPr>
              <w:t>3</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2020</w:t>
            </w: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342.8</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206995</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315.9</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190704</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445.5</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268946</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576.0</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347779</w:t>
            </w:r>
          </w:p>
        </w:tc>
      </w:tr>
      <w:tr>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2025</w:t>
            </w: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314.2</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196949</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288.5</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180837</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413.7</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259340</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533.7</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334537</w:t>
            </w:r>
          </w:p>
        </w:tc>
      </w:tr>
      <w:tr>
        <w:tblPrEx>
          <w:tblCellMar>
            <w:top w:w="0" w:type="dxa"/>
            <w:left w:w="108" w:type="dxa"/>
            <w:bottom w:w="0" w:type="dxa"/>
            <w:right w:w="108" w:type="dxa"/>
          </w:tblCellMar>
        </w:tblPrEx>
        <w:trPr>
          <w:trHeight w:val="397" w:hRule="atLeast"/>
        </w:trPr>
        <w:tc>
          <w:tcPr>
            <w:tcW w:w="14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2030</w:t>
            </w: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295.7</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189020</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50%</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271.1</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173313</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80%</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395.5</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252811</w:t>
            </w:r>
          </w:p>
        </w:tc>
      </w:tr>
      <w:tr>
        <w:tblPrEx>
          <w:tblCellMar>
            <w:top w:w="0" w:type="dxa"/>
            <w:left w:w="108" w:type="dxa"/>
            <w:bottom w:w="0" w:type="dxa"/>
            <w:right w:w="108" w:type="dxa"/>
          </w:tblCellMar>
        </w:tblPrEx>
        <w:trPr>
          <w:trHeight w:val="397" w:hRule="atLeast"/>
        </w:trPr>
        <w:tc>
          <w:tcPr>
            <w:tcW w:w="1401" w:type="dxa"/>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 w:val="18"/>
                <w:szCs w:val="18"/>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95%</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509.0</w:t>
            </w:r>
          </w:p>
        </w:tc>
        <w:tc>
          <w:tcPr>
            <w:tcW w:w="257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325393</w:t>
            </w:r>
          </w:p>
        </w:tc>
      </w:tr>
    </w:tbl>
    <w:p>
      <w:pPr>
        <w:adjustRightInd w:val="0"/>
        <w:snapToGrid w:val="0"/>
        <w:spacing w:line="360" w:lineRule="auto"/>
        <w:rPr>
          <w:color w:val="FF0000"/>
          <w:sz w:val="24"/>
        </w:rPr>
      </w:pPr>
    </w:p>
    <w:p>
      <w:pPr>
        <w:adjustRightInd w:val="0"/>
        <w:snapToGrid w:val="0"/>
        <w:spacing w:line="360" w:lineRule="auto"/>
        <w:ind w:firstLine="480" w:firstLineChars="200"/>
        <w:rPr>
          <w:b/>
          <w:sz w:val="24"/>
        </w:rPr>
      </w:pPr>
      <w:r>
        <w:rPr>
          <w:b/>
          <w:sz w:val="24"/>
        </w:rPr>
        <w:t>（2）林牧渔畜需水预测</w:t>
      </w:r>
    </w:p>
    <w:p>
      <w:pPr>
        <w:adjustRightInd w:val="0"/>
        <w:snapToGrid w:val="0"/>
        <w:spacing w:line="360" w:lineRule="auto"/>
        <w:ind w:firstLine="480" w:firstLineChars="200"/>
        <w:contextualSpacing/>
        <w:rPr>
          <w:b/>
          <w:sz w:val="24"/>
        </w:rPr>
      </w:pPr>
      <w:r>
        <w:rPr>
          <w:b/>
          <w:sz w:val="24"/>
        </w:rPr>
        <w:t>林</w:t>
      </w:r>
      <w:r>
        <w:rPr>
          <w:rFonts w:hint="eastAsia"/>
          <w:b/>
          <w:sz w:val="24"/>
        </w:rPr>
        <w:t>地和园地</w:t>
      </w:r>
      <w:r>
        <w:rPr>
          <w:b/>
          <w:sz w:val="24"/>
        </w:rPr>
        <w:t>需水预测</w:t>
      </w:r>
    </w:p>
    <w:p>
      <w:pPr>
        <w:adjustRightInd w:val="0"/>
        <w:snapToGrid w:val="0"/>
        <w:spacing w:line="360" w:lineRule="auto"/>
        <w:ind w:firstLine="480" w:firstLineChars="200"/>
        <w:rPr>
          <w:sz w:val="24"/>
        </w:rPr>
      </w:pPr>
      <w:r>
        <w:rPr>
          <w:sz w:val="24"/>
        </w:rPr>
        <w:t>2020年六安市</w:t>
      </w:r>
      <w:r>
        <w:rPr>
          <w:rFonts w:hint="eastAsia"/>
          <w:sz w:val="24"/>
        </w:rPr>
        <w:t>林地和园地</w:t>
      </w:r>
      <w:r>
        <w:rPr>
          <w:sz w:val="24"/>
        </w:rPr>
        <w:t>有效灌溉面积8.47万亩，预测2025～</w:t>
      </w:r>
      <w:r>
        <w:rPr>
          <w:rFonts w:hint="eastAsia"/>
          <w:sz w:val="24"/>
        </w:rPr>
        <w:t>2030</w:t>
      </w:r>
      <w:r>
        <w:rPr>
          <w:sz w:val="24"/>
        </w:rPr>
        <w:t>年林果地有效灌溉面积</w:t>
      </w:r>
      <w:r>
        <w:rPr>
          <w:rFonts w:hint="eastAsia"/>
          <w:sz w:val="24"/>
        </w:rPr>
        <w:t>增加1万亩</w:t>
      </w:r>
      <w:r>
        <w:rPr>
          <w:sz w:val="24"/>
        </w:rPr>
        <w:t>，</w:t>
      </w:r>
      <w:r>
        <w:rPr>
          <w:rFonts w:hint="eastAsia"/>
          <w:sz w:val="24"/>
        </w:rPr>
        <w:t>达到</w:t>
      </w:r>
      <w:r>
        <w:rPr>
          <w:sz w:val="24"/>
        </w:rPr>
        <w:t>9.47万亩。</w:t>
      </w:r>
      <w:r>
        <w:rPr>
          <w:rFonts w:hint="eastAsia"/>
          <w:sz w:val="24"/>
        </w:rPr>
        <w:t>需水量预测</w:t>
      </w:r>
      <w:r>
        <w:rPr>
          <w:sz w:val="24"/>
        </w:rPr>
        <w:t>采用定额</w:t>
      </w:r>
      <w:r>
        <w:rPr>
          <w:rFonts w:hint="eastAsia"/>
          <w:sz w:val="24"/>
        </w:rPr>
        <w:t>法预测，规划年需水定额以现状20</w:t>
      </w:r>
      <w:r>
        <w:rPr>
          <w:sz w:val="24"/>
        </w:rPr>
        <w:t>20</w:t>
      </w:r>
      <w:r>
        <w:rPr>
          <w:rFonts w:hint="eastAsia"/>
          <w:sz w:val="24"/>
        </w:rPr>
        <w:t>年为准。</w:t>
      </w:r>
      <w:r>
        <w:rPr>
          <w:sz w:val="24"/>
        </w:rPr>
        <w:t>预测至2025～</w:t>
      </w:r>
      <w:r>
        <w:rPr>
          <w:rFonts w:hint="eastAsia"/>
          <w:sz w:val="24"/>
        </w:rPr>
        <w:t>2030</w:t>
      </w:r>
      <w:r>
        <w:rPr>
          <w:sz w:val="24"/>
        </w:rPr>
        <w:t>年林果地灌溉需水量</w:t>
      </w:r>
      <w:r>
        <w:rPr>
          <w:rFonts w:hint="eastAsia"/>
          <w:sz w:val="24"/>
        </w:rPr>
        <w:t>均</w:t>
      </w:r>
      <w:r>
        <w:rPr>
          <w:sz w:val="24"/>
        </w:rPr>
        <w:t>为1330万m</w:t>
      </w:r>
      <w:r>
        <w:rPr>
          <w:sz w:val="24"/>
          <w:vertAlign w:val="superscript"/>
        </w:rPr>
        <w:t>3</w:t>
      </w:r>
      <w:r>
        <w:rPr>
          <w:rFonts w:hint="eastAsia"/>
          <w:sz w:val="24"/>
        </w:rPr>
        <w:t>。</w:t>
      </w:r>
    </w:p>
    <w:p>
      <w:pPr>
        <w:adjustRightInd w:val="0"/>
        <w:snapToGrid w:val="0"/>
        <w:spacing w:line="360" w:lineRule="auto"/>
        <w:ind w:firstLine="480" w:firstLineChars="200"/>
        <w:contextualSpacing/>
        <w:rPr>
          <w:b/>
          <w:sz w:val="24"/>
        </w:rPr>
      </w:pPr>
      <w:r>
        <w:rPr>
          <w:b/>
          <w:sz w:val="24"/>
        </w:rPr>
        <w:t>鱼塘补水需水预测</w:t>
      </w:r>
    </w:p>
    <w:p>
      <w:pPr>
        <w:adjustRightInd w:val="0"/>
        <w:snapToGrid w:val="0"/>
        <w:spacing w:line="360" w:lineRule="auto"/>
        <w:ind w:firstLine="480" w:firstLineChars="200"/>
        <w:rPr>
          <w:sz w:val="24"/>
        </w:rPr>
      </w:pPr>
      <w:r>
        <w:rPr>
          <w:sz w:val="24"/>
        </w:rPr>
        <w:t>2020年六安市鱼塘补水面积为13.91万亩，预测2025～</w:t>
      </w:r>
      <w:r>
        <w:rPr>
          <w:rFonts w:hint="eastAsia"/>
          <w:sz w:val="24"/>
        </w:rPr>
        <w:t>2030</w:t>
      </w:r>
      <w:r>
        <w:rPr>
          <w:sz w:val="24"/>
        </w:rPr>
        <w:t>年</w:t>
      </w:r>
      <w:r>
        <w:rPr>
          <w:rFonts w:hint="eastAsia"/>
          <w:sz w:val="24"/>
        </w:rPr>
        <w:t>鱼塘补水面积</w:t>
      </w:r>
      <w:r>
        <w:rPr>
          <w:sz w:val="24"/>
        </w:rPr>
        <w:t>面积将不再增加，维持在</w:t>
      </w:r>
      <w:r>
        <w:rPr>
          <w:rFonts w:hint="eastAsia"/>
          <w:sz w:val="24"/>
        </w:rPr>
        <w:t>现状</w:t>
      </w:r>
      <w:r>
        <w:rPr>
          <w:sz w:val="24"/>
        </w:rPr>
        <w:t>2020年13.91万亩</w:t>
      </w:r>
      <w:r>
        <w:rPr>
          <w:rFonts w:hint="eastAsia"/>
          <w:sz w:val="24"/>
        </w:rPr>
        <w:t>的</w:t>
      </w:r>
      <w:r>
        <w:rPr>
          <w:sz w:val="24"/>
        </w:rPr>
        <w:t>水平。</w:t>
      </w:r>
      <w:r>
        <w:rPr>
          <w:rFonts w:hint="eastAsia"/>
          <w:sz w:val="24"/>
        </w:rPr>
        <w:t>需水量预测</w:t>
      </w:r>
      <w:r>
        <w:rPr>
          <w:sz w:val="24"/>
        </w:rPr>
        <w:t>采用定额</w:t>
      </w:r>
      <w:r>
        <w:rPr>
          <w:rFonts w:hint="eastAsia"/>
          <w:sz w:val="24"/>
        </w:rPr>
        <w:t>法预测，规划年需水定额以现状20</w:t>
      </w:r>
      <w:r>
        <w:rPr>
          <w:sz w:val="24"/>
        </w:rPr>
        <w:t>20</w:t>
      </w:r>
      <w:r>
        <w:rPr>
          <w:rFonts w:hint="eastAsia"/>
          <w:sz w:val="24"/>
        </w:rPr>
        <w:t>年为准。</w:t>
      </w:r>
      <w:r>
        <w:rPr>
          <w:sz w:val="24"/>
        </w:rPr>
        <w:t>预测至2025～</w:t>
      </w:r>
      <w:r>
        <w:rPr>
          <w:rFonts w:hint="eastAsia"/>
          <w:sz w:val="24"/>
        </w:rPr>
        <w:t>2030</w:t>
      </w:r>
      <w:r>
        <w:rPr>
          <w:sz w:val="24"/>
        </w:rPr>
        <w:t>年</w:t>
      </w:r>
      <w:r>
        <w:rPr>
          <w:rFonts w:hint="eastAsia"/>
          <w:sz w:val="24"/>
        </w:rPr>
        <w:t>鱼塘补水</w:t>
      </w:r>
      <w:r>
        <w:rPr>
          <w:sz w:val="24"/>
        </w:rPr>
        <w:t>需水量</w:t>
      </w:r>
      <w:r>
        <w:rPr>
          <w:rFonts w:hint="eastAsia"/>
          <w:sz w:val="24"/>
        </w:rPr>
        <w:t>均</w:t>
      </w:r>
      <w:r>
        <w:rPr>
          <w:sz w:val="24"/>
        </w:rPr>
        <w:t>为2145万m</w:t>
      </w:r>
      <w:r>
        <w:rPr>
          <w:sz w:val="24"/>
          <w:vertAlign w:val="superscript"/>
        </w:rPr>
        <w:t>3</w:t>
      </w:r>
      <w:r>
        <w:rPr>
          <w:rFonts w:hint="eastAsia"/>
          <w:sz w:val="24"/>
        </w:rPr>
        <w:t>。</w:t>
      </w:r>
    </w:p>
    <w:p>
      <w:pPr>
        <w:adjustRightInd w:val="0"/>
        <w:snapToGrid w:val="0"/>
        <w:spacing w:line="360" w:lineRule="auto"/>
        <w:ind w:firstLine="480" w:firstLineChars="200"/>
        <w:contextualSpacing/>
        <w:rPr>
          <w:b/>
          <w:sz w:val="24"/>
        </w:rPr>
      </w:pPr>
      <w:r>
        <w:rPr>
          <w:b/>
          <w:sz w:val="24"/>
        </w:rPr>
        <w:t>牲畜</w:t>
      </w:r>
      <w:r>
        <w:rPr>
          <w:rFonts w:hint="eastAsia"/>
          <w:b/>
          <w:sz w:val="24"/>
        </w:rPr>
        <w:t>家禽</w:t>
      </w:r>
      <w:r>
        <w:rPr>
          <w:b/>
          <w:sz w:val="24"/>
        </w:rPr>
        <w:t>需水预测</w:t>
      </w:r>
    </w:p>
    <w:p>
      <w:pPr>
        <w:adjustRightInd w:val="0"/>
        <w:snapToGrid w:val="0"/>
        <w:spacing w:line="360" w:lineRule="auto"/>
        <w:ind w:firstLine="480" w:firstLineChars="200"/>
        <w:rPr>
          <w:sz w:val="24"/>
        </w:rPr>
      </w:pPr>
      <w:r>
        <w:rPr>
          <w:sz w:val="24"/>
        </w:rPr>
        <w:t>2020年全市牲畜</w:t>
      </w:r>
      <w:r>
        <w:rPr>
          <w:rFonts w:hint="eastAsia"/>
          <w:sz w:val="24"/>
        </w:rPr>
        <w:t>和家禽用水</w:t>
      </w:r>
      <w:r>
        <w:rPr>
          <w:sz w:val="24"/>
        </w:rPr>
        <w:t>量</w:t>
      </w:r>
      <w:r>
        <w:rPr>
          <w:rFonts w:hint="eastAsia"/>
          <w:sz w:val="24"/>
        </w:rPr>
        <w:t>为1</w:t>
      </w:r>
      <w:r>
        <w:rPr>
          <w:sz w:val="24"/>
        </w:rPr>
        <w:t>483万m</w:t>
      </w:r>
      <w:r>
        <w:rPr>
          <w:sz w:val="24"/>
          <w:vertAlign w:val="superscript"/>
        </w:rPr>
        <w:t>3</w:t>
      </w:r>
      <w:r>
        <w:rPr>
          <w:sz w:val="24"/>
        </w:rPr>
        <w:t>。牲畜需水量采用定额法预测，牲畜用水定额现状水平年和规划水平年一直无变化，预测至2025年全市牲畜</w:t>
      </w:r>
      <w:r>
        <w:rPr>
          <w:rFonts w:hint="eastAsia"/>
          <w:sz w:val="24"/>
        </w:rPr>
        <w:t>、家禽</w:t>
      </w:r>
      <w:r>
        <w:rPr>
          <w:sz w:val="24"/>
        </w:rPr>
        <w:t>需水量为2761万m</w:t>
      </w:r>
      <w:r>
        <w:rPr>
          <w:sz w:val="24"/>
          <w:vertAlign w:val="superscript"/>
        </w:rPr>
        <w:t>3</w:t>
      </w:r>
      <w:r>
        <w:rPr>
          <w:sz w:val="24"/>
        </w:rPr>
        <w:t>，至2030年全市牲畜</w:t>
      </w:r>
      <w:r>
        <w:rPr>
          <w:rFonts w:hint="eastAsia"/>
          <w:sz w:val="24"/>
        </w:rPr>
        <w:t>、家禽</w:t>
      </w:r>
      <w:r>
        <w:rPr>
          <w:sz w:val="24"/>
        </w:rPr>
        <w:t>需水量为2850万m</w:t>
      </w:r>
      <w:r>
        <w:rPr>
          <w:sz w:val="24"/>
          <w:vertAlign w:val="superscript"/>
        </w:rPr>
        <w:t>3</w:t>
      </w:r>
      <w:r>
        <w:rPr>
          <w:sz w:val="24"/>
        </w:rPr>
        <w:t>。不同水平年六安市林牧渔畜需水量见表4.2</w:t>
      </w:r>
      <w:r>
        <w:rPr>
          <w:rFonts w:hint="eastAsia"/>
          <w:sz w:val="24"/>
        </w:rPr>
        <w:t>.</w:t>
      </w:r>
      <w:r>
        <w:rPr>
          <w:sz w:val="24"/>
        </w:rPr>
        <w:t>4。</w:t>
      </w:r>
    </w:p>
    <w:p>
      <w:pPr>
        <w:wordWrap w:val="0"/>
        <w:adjustRightInd w:val="0"/>
        <w:snapToGrid w:val="0"/>
        <w:spacing w:line="360" w:lineRule="auto"/>
        <w:jc w:val="right"/>
      </w:pPr>
      <w:r>
        <w:rPr>
          <w:rFonts w:hAnsi="宋体"/>
          <w:b/>
          <w:sz w:val="24"/>
          <w:szCs w:val="24"/>
        </w:rPr>
        <w:t>表4.2.4  六安市林牧渔畜需水量预测成果</w:t>
      </w:r>
      <w:r>
        <w:rPr>
          <w:rFonts w:hAnsi="宋体"/>
          <w:b/>
        </w:rPr>
        <w:t xml:space="preserve"> </w:t>
      </w:r>
      <w:r>
        <w:rPr>
          <w:rFonts w:hint="eastAsia" w:hAnsi="宋体"/>
          <w:b/>
        </w:rPr>
        <w:t xml:space="preserve">    </w:t>
      </w:r>
      <w:r>
        <w:t xml:space="preserve">  </w:t>
      </w:r>
      <w:r>
        <w:rPr>
          <w:sz w:val="18"/>
          <w:szCs w:val="18"/>
        </w:rPr>
        <w:t>单位：万m</w:t>
      </w:r>
      <w:r>
        <w:rPr>
          <w:sz w:val="18"/>
          <w:szCs w:val="18"/>
          <w:vertAlign w:val="superscript"/>
        </w:rPr>
        <w:t xml:space="preserve">3 </w:t>
      </w:r>
      <w:r>
        <w:rPr>
          <w:rFonts w:hint="eastAsia"/>
          <w:sz w:val="18"/>
          <w:szCs w:val="18"/>
          <w:vertAlign w:val="superscript"/>
        </w:rPr>
        <w:t xml:space="preserve"> </w:t>
      </w:r>
    </w:p>
    <w:tbl>
      <w:tblPr>
        <w:tblStyle w:val="36"/>
        <w:tblW w:w="8522" w:type="dxa"/>
        <w:tblInd w:w="91" w:type="dxa"/>
        <w:tblLayout w:type="autofit"/>
        <w:tblCellMar>
          <w:top w:w="0" w:type="dxa"/>
          <w:left w:w="108" w:type="dxa"/>
          <w:bottom w:w="0" w:type="dxa"/>
          <w:right w:w="108" w:type="dxa"/>
        </w:tblCellMar>
      </w:tblPr>
      <w:tblGrid>
        <w:gridCol w:w="1704"/>
        <w:gridCol w:w="1704"/>
        <w:gridCol w:w="1705"/>
        <w:gridCol w:w="1704"/>
        <w:gridCol w:w="1705"/>
      </w:tblGrid>
      <w:tr>
        <w:tblPrEx>
          <w:tblCellMar>
            <w:top w:w="0" w:type="dxa"/>
            <w:left w:w="108" w:type="dxa"/>
            <w:bottom w:w="0" w:type="dxa"/>
            <w:right w:w="108" w:type="dxa"/>
          </w:tblCellMar>
        </w:tblPrEx>
        <w:trPr>
          <w:trHeight w:val="397" w:hRule="exact"/>
        </w:trPr>
        <w:tc>
          <w:tcPr>
            <w:tcW w:w="1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kern w:val="0"/>
                <w:sz w:val="18"/>
                <w:szCs w:val="18"/>
              </w:rPr>
            </w:pPr>
            <w:r>
              <w:rPr>
                <w:kern w:val="0"/>
                <w:sz w:val="18"/>
                <w:szCs w:val="18"/>
              </w:rPr>
              <w:t>水平年</w:t>
            </w:r>
          </w:p>
        </w:tc>
        <w:tc>
          <w:tcPr>
            <w:tcW w:w="1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kern w:val="0"/>
                <w:sz w:val="18"/>
                <w:szCs w:val="18"/>
              </w:rPr>
            </w:pPr>
            <w:r>
              <w:rPr>
                <w:rFonts w:hint="eastAsia"/>
                <w:kern w:val="0"/>
                <w:sz w:val="18"/>
                <w:szCs w:val="18"/>
              </w:rPr>
              <w:t>林地和园地需水</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鱼塘补水</w:t>
            </w:r>
          </w:p>
        </w:tc>
        <w:tc>
          <w:tcPr>
            <w:tcW w:w="17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牲畜</w:t>
            </w:r>
            <w:r>
              <w:rPr>
                <w:rFonts w:hint="eastAsia"/>
                <w:kern w:val="0"/>
                <w:sz w:val="18"/>
                <w:szCs w:val="18"/>
              </w:rPr>
              <w:t>家禽</w:t>
            </w:r>
            <w:r>
              <w:rPr>
                <w:kern w:val="0"/>
                <w:sz w:val="18"/>
                <w:szCs w:val="18"/>
              </w:rPr>
              <w:t>需水</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合计</w:t>
            </w:r>
          </w:p>
        </w:tc>
      </w:tr>
      <w:tr>
        <w:tblPrEx>
          <w:tblCellMar>
            <w:top w:w="0" w:type="dxa"/>
            <w:left w:w="108" w:type="dxa"/>
            <w:bottom w:w="0" w:type="dxa"/>
            <w:right w:w="108" w:type="dxa"/>
          </w:tblCellMar>
        </w:tblPrEx>
        <w:trPr>
          <w:trHeight w:val="90" w:hRule="exact"/>
        </w:trPr>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FF0000"/>
                <w:kern w:val="0"/>
                <w:sz w:val="18"/>
                <w:szCs w:val="18"/>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FF0000"/>
                <w:kern w:val="0"/>
                <w:sz w:val="18"/>
                <w:szCs w:val="1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FF0000"/>
                <w:kern w:val="0"/>
                <w:sz w:val="18"/>
                <w:szCs w:val="18"/>
              </w:rPr>
            </w:pP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color w:val="FF0000"/>
                <w:kern w:val="0"/>
                <w:sz w:val="18"/>
                <w:szCs w:val="18"/>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FF0000"/>
                <w:kern w:val="0"/>
                <w:sz w:val="18"/>
                <w:szCs w:val="18"/>
              </w:rPr>
            </w:pPr>
          </w:p>
        </w:tc>
      </w:tr>
      <w:tr>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FF0000"/>
                <w:kern w:val="0"/>
                <w:sz w:val="18"/>
                <w:szCs w:val="18"/>
              </w:rPr>
            </w:pPr>
            <w:r>
              <w:rPr>
                <w:rFonts w:eastAsia="等线"/>
                <w:sz w:val="18"/>
                <w:szCs w:val="18"/>
              </w:rPr>
              <w:t>2020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color w:val="FF0000"/>
                <w:sz w:val="18"/>
                <w:szCs w:val="18"/>
              </w:rPr>
            </w:pPr>
            <w:r>
              <w:rPr>
                <w:rFonts w:eastAsia="等线"/>
                <w:sz w:val="18"/>
                <w:szCs w:val="18"/>
              </w:rPr>
              <w:t>1189</w:t>
            </w:r>
          </w:p>
        </w:tc>
        <w:tc>
          <w:tcPr>
            <w:tcW w:w="1705" w:type="dxa"/>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color w:val="FF0000"/>
                <w:sz w:val="18"/>
                <w:szCs w:val="18"/>
              </w:rPr>
            </w:pPr>
            <w:r>
              <w:rPr>
                <w:rFonts w:eastAsia="等线"/>
                <w:sz w:val="18"/>
                <w:szCs w:val="18"/>
              </w:rPr>
              <w:t>2145</w:t>
            </w:r>
          </w:p>
        </w:tc>
        <w:tc>
          <w:tcPr>
            <w:tcW w:w="170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FF0000"/>
                <w:sz w:val="18"/>
                <w:szCs w:val="18"/>
              </w:rPr>
            </w:pPr>
            <w:r>
              <w:rPr>
                <w:rFonts w:eastAsia="等线"/>
                <w:sz w:val="18"/>
                <w:szCs w:val="18"/>
              </w:rPr>
              <w:t>1483</w:t>
            </w:r>
          </w:p>
        </w:tc>
        <w:tc>
          <w:tcPr>
            <w:tcW w:w="170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color w:val="FF0000"/>
                <w:sz w:val="18"/>
                <w:szCs w:val="18"/>
              </w:rPr>
            </w:pPr>
            <w:r>
              <w:rPr>
                <w:rFonts w:eastAsia="等线"/>
                <w:sz w:val="18"/>
                <w:szCs w:val="18"/>
              </w:rPr>
              <w:t>4817</w:t>
            </w:r>
          </w:p>
        </w:tc>
      </w:tr>
      <w:tr>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FF0000"/>
                <w:kern w:val="0"/>
                <w:sz w:val="18"/>
                <w:szCs w:val="18"/>
              </w:rPr>
            </w:pPr>
            <w:r>
              <w:rPr>
                <w:rFonts w:eastAsia="等线"/>
                <w:sz w:val="18"/>
                <w:szCs w:val="18"/>
              </w:rPr>
              <w:t>2025</w:t>
            </w:r>
          </w:p>
        </w:tc>
        <w:tc>
          <w:tcPr>
            <w:tcW w:w="170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color w:val="FF0000"/>
                <w:sz w:val="18"/>
                <w:szCs w:val="18"/>
              </w:rPr>
            </w:pPr>
            <w:r>
              <w:rPr>
                <w:rFonts w:eastAsia="等线"/>
                <w:sz w:val="18"/>
                <w:szCs w:val="18"/>
              </w:rPr>
              <w:t>1330</w:t>
            </w:r>
          </w:p>
        </w:tc>
        <w:tc>
          <w:tcPr>
            <w:tcW w:w="1705" w:type="dxa"/>
            <w:tcBorders>
              <w:top w:val="nil"/>
              <w:left w:val="nil"/>
              <w:bottom w:val="single" w:color="auto" w:sz="4" w:space="0"/>
              <w:right w:val="single" w:color="auto" w:sz="4" w:space="0"/>
            </w:tcBorders>
            <w:shd w:val="clear" w:color="auto" w:fill="auto"/>
            <w:noWrap/>
            <w:vAlign w:val="center"/>
          </w:tcPr>
          <w:p>
            <w:pPr>
              <w:spacing w:line="240" w:lineRule="exact"/>
              <w:jc w:val="center"/>
              <w:rPr>
                <w:color w:val="FF0000"/>
                <w:sz w:val="18"/>
                <w:szCs w:val="18"/>
              </w:rPr>
            </w:pPr>
            <w:r>
              <w:rPr>
                <w:rFonts w:eastAsia="等线"/>
                <w:sz w:val="18"/>
                <w:szCs w:val="18"/>
              </w:rPr>
              <w:t>2145</w:t>
            </w:r>
          </w:p>
        </w:tc>
        <w:tc>
          <w:tcPr>
            <w:tcW w:w="1704" w:type="dxa"/>
            <w:tcBorders>
              <w:top w:val="nil"/>
              <w:left w:val="nil"/>
              <w:bottom w:val="single" w:color="auto" w:sz="4" w:space="0"/>
              <w:right w:val="single" w:color="auto" w:sz="4" w:space="0"/>
            </w:tcBorders>
            <w:shd w:val="clear" w:color="auto" w:fill="auto"/>
            <w:vAlign w:val="center"/>
          </w:tcPr>
          <w:p>
            <w:pPr>
              <w:spacing w:line="240" w:lineRule="exact"/>
              <w:jc w:val="center"/>
              <w:rPr>
                <w:color w:val="FF0000"/>
                <w:sz w:val="18"/>
                <w:szCs w:val="18"/>
              </w:rPr>
            </w:pPr>
            <w:r>
              <w:rPr>
                <w:rFonts w:eastAsia="等线"/>
                <w:sz w:val="18"/>
                <w:szCs w:val="18"/>
              </w:rPr>
              <w:t>2761</w:t>
            </w:r>
          </w:p>
        </w:tc>
        <w:tc>
          <w:tcPr>
            <w:tcW w:w="1705" w:type="dxa"/>
            <w:tcBorders>
              <w:top w:val="nil"/>
              <w:left w:val="nil"/>
              <w:bottom w:val="single" w:color="auto" w:sz="4" w:space="0"/>
              <w:right w:val="single" w:color="auto" w:sz="4" w:space="0"/>
            </w:tcBorders>
            <w:shd w:val="clear" w:color="auto" w:fill="auto"/>
            <w:vAlign w:val="center"/>
          </w:tcPr>
          <w:p>
            <w:pPr>
              <w:spacing w:line="240" w:lineRule="exact"/>
              <w:jc w:val="center"/>
              <w:rPr>
                <w:color w:val="FF0000"/>
                <w:sz w:val="18"/>
                <w:szCs w:val="18"/>
              </w:rPr>
            </w:pPr>
            <w:r>
              <w:rPr>
                <w:rFonts w:eastAsia="等线"/>
                <w:sz w:val="18"/>
                <w:szCs w:val="18"/>
              </w:rPr>
              <w:t>6236</w:t>
            </w:r>
          </w:p>
        </w:tc>
      </w:tr>
      <w:tr>
        <w:tblPrEx>
          <w:tblCellMar>
            <w:top w:w="0" w:type="dxa"/>
            <w:left w:w="108" w:type="dxa"/>
            <w:bottom w:w="0" w:type="dxa"/>
            <w:right w:w="108" w:type="dxa"/>
          </w:tblCellMar>
        </w:tblPrEx>
        <w:trPr>
          <w:trHeight w:val="397" w:hRule="exact"/>
        </w:trPr>
        <w:tc>
          <w:tcPr>
            <w:tcW w:w="170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color w:val="FF0000"/>
                <w:kern w:val="0"/>
                <w:sz w:val="18"/>
                <w:szCs w:val="18"/>
              </w:rPr>
            </w:pPr>
            <w:r>
              <w:rPr>
                <w:rFonts w:eastAsia="等线"/>
                <w:sz w:val="18"/>
                <w:szCs w:val="18"/>
              </w:rPr>
              <w:t>2030</w:t>
            </w:r>
          </w:p>
        </w:tc>
        <w:tc>
          <w:tcPr>
            <w:tcW w:w="170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color w:val="FF0000"/>
                <w:sz w:val="18"/>
                <w:szCs w:val="18"/>
              </w:rPr>
            </w:pPr>
            <w:r>
              <w:rPr>
                <w:rFonts w:eastAsia="等线"/>
                <w:sz w:val="18"/>
                <w:szCs w:val="18"/>
              </w:rPr>
              <w:t>1330</w:t>
            </w:r>
          </w:p>
        </w:tc>
        <w:tc>
          <w:tcPr>
            <w:tcW w:w="1705" w:type="dxa"/>
            <w:tcBorders>
              <w:top w:val="nil"/>
              <w:left w:val="nil"/>
              <w:bottom w:val="single" w:color="auto" w:sz="4" w:space="0"/>
              <w:right w:val="single" w:color="auto" w:sz="4" w:space="0"/>
            </w:tcBorders>
            <w:shd w:val="clear" w:color="auto" w:fill="auto"/>
            <w:noWrap/>
            <w:vAlign w:val="center"/>
          </w:tcPr>
          <w:p>
            <w:pPr>
              <w:spacing w:line="240" w:lineRule="exact"/>
              <w:jc w:val="center"/>
              <w:rPr>
                <w:color w:val="FF0000"/>
                <w:sz w:val="18"/>
                <w:szCs w:val="18"/>
              </w:rPr>
            </w:pPr>
            <w:r>
              <w:rPr>
                <w:rFonts w:eastAsia="等线"/>
                <w:sz w:val="18"/>
                <w:szCs w:val="18"/>
              </w:rPr>
              <w:t>2145</w:t>
            </w:r>
          </w:p>
        </w:tc>
        <w:tc>
          <w:tcPr>
            <w:tcW w:w="1704" w:type="dxa"/>
            <w:tcBorders>
              <w:top w:val="nil"/>
              <w:left w:val="nil"/>
              <w:bottom w:val="single" w:color="auto" w:sz="4" w:space="0"/>
              <w:right w:val="single" w:color="auto" w:sz="4" w:space="0"/>
            </w:tcBorders>
            <w:shd w:val="clear" w:color="auto" w:fill="auto"/>
            <w:vAlign w:val="center"/>
          </w:tcPr>
          <w:p>
            <w:pPr>
              <w:spacing w:line="240" w:lineRule="exact"/>
              <w:jc w:val="center"/>
              <w:rPr>
                <w:color w:val="FF0000"/>
                <w:sz w:val="18"/>
                <w:szCs w:val="18"/>
              </w:rPr>
            </w:pPr>
            <w:r>
              <w:rPr>
                <w:rFonts w:eastAsia="等线"/>
                <w:sz w:val="18"/>
                <w:szCs w:val="18"/>
              </w:rPr>
              <w:t>2850</w:t>
            </w:r>
          </w:p>
        </w:tc>
        <w:tc>
          <w:tcPr>
            <w:tcW w:w="1705" w:type="dxa"/>
            <w:tcBorders>
              <w:top w:val="nil"/>
              <w:left w:val="nil"/>
              <w:bottom w:val="single" w:color="auto" w:sz="4" w:space="0"/>
              <w:right w:val="single" w:color="auto" w:sz="4" w:space="0"/>
            </w:tcBorders>
            <w:shd w:val="clear" w:color="auto" w:fill="auto"/>
            <w:vAlign w:val="center"/>
          </w:tcPr>
          <w:p>
            <w:pPr>
              <w:spacing w:line="240" w:lineRule="exact"/>
              <w:jc w:val="center"/>
              <w:rPr>
                <w:color w:val="FF0000"/>
                <w:sz w:val="18"/>
                <w:szCs w:val="18"/>
              </w:rPr>
            </w:pPr>
            <w:r>
              <w:rPr>
                <w:rFonts w:eastAsia="等线"/>
                <w:sz w:val="18"/>
                <w:szCs w:val="18"/>
              </w:rPr>
              <w:t>6325</w:t>
            </w:r>
          </w:p>
        </w:tc>
      </w:tr>
    </w:tbl>
    <w:p>
      <w:pPr>
        <w:adjustRightInd w:val="0"/>
        <w:snapToGrid w:val="0"/>
        <w:spacing w:line="360" w:lineRule="auto"/>
        <w:ind w:firstLine="480" w:firstLineChars="200"/>
        <w:rPr>
          <w:b/>
          <w:sz w:val="24"/>
        </w:rPr>
      </w:pPr>
      <w:r>
        <w:rPr>
          <w:rFonts w:hint="eastAsia"/>
          <w:b/>
          <w:sz w:val="24"/>
        </w:rPr>
        <w:t>2</w:t>
      </w:r>
      <w:r>
        <w:rPr>
          <w:b/>
          <w:sz w:val="24"/>
        </w:rPr>
        <w:t>、工业需水预测</w:t>
      </w:r>
    </w:p>
    <w:p>
      <w:pPr>
        <w:adjustRightInd w:val="0"/>
        <w:spacing w:line="360" w:lineRule="auto"/>
        <w:ind w:firstLine="480" w:firstLineChars="200"/>
        <w:rPr>
          <w:sz w:val="24"/>
        </w:rPr>
      </w:pPr>
      <w:r>
        <w:rPr>
          <w:sz w:val="24"/>
        </w:rPr>
        <w:t>按照六安市近年工业用水统计资料分析和城市工业化水平及其发展目标，在未来规划期间，</w:t>
      </w:r>
      <w:r>
        <w:rPr>
          <w:rFonts w:hint="eastAsia"/>
          <w:sz w:val="24"/>
        </w:rPr>
        <w:t>加快合肥-六安同城化步伐，深化合肥都市圈协同发展，合力建设具有更强影响力的国际化都市圈和支撑全省发展的核心增长极。同时大力发展壮大战略支撑产业，以电子信息、铁基材料、装备制造、新能源及新能源汽车、绿色食品及生物医药为重点，以“一基地、一工程、三专项”建设为引领，加快发展战略支撑产业，形成六安市经济高质量发展的中坚力量。</w:t>
      </w:r>
    </w:p>
    <w:p>
      <w:pPr>
        <w:adjustRightInd w:val="0"/>
        <w:spacing w:line="360" w:lineRule="auto"/>
        <w:ind w:firstLine="480" w:firstLineChars="200"/>
        <w:rPr>
          <w:sz w:val="24"/>
        </w:rPr>
      </w:pPr>
      <w:r>
        <w:rPr>
          <w:sz w:val="24"/>
        </w:rPr>
        <w:t>伴随着全市工业的快速发展，工业需水量也将有较大幅度的增长，根据六安市工业结构的特点，将工业用水分为火（核）电工业和非火（核）电的一般工业两大类，对其分别进行需水预测。</w:t>
      </w:r>
    </w:p>
    <w:p>
      <w:pPr>
        <w:spacing w:line="360" w:lineRule="auto"/>
        <w:ind w:firstLine="480" w:firstLineChars="200"/>
        <w:rPr>
          <w:b/>
          <w:sz w:val="24"/>
        </w:rPr>
      </w:pPr>
      <w:r>
        <w:rPr>
          <w:b/>
          <w:sz w:val="24"/>
        </w:rPr>
        <w:t>（1）一般工业需水预测</w:t>
      </w:r>
    </w:p>
    <w:p>
      <w:pPr>
        <w:adjustRightInd w:val="0"/>
        <w:spacing w:line="360" w:lineRule="auto"/>
        <w:ind w:firstLine="480" w:firstLineChars="200"/>
        <w:rPr>
          <w:sz w:val="24"/>
        </w:rPr>
      </w:pPr>
      <w:r>
        <w:rPr>
          <w:sz w:val="24"/>
        </w:rPr>
        <w:t>一般工业的需水量预测采用万元增加值用水量法。一般工业用水定额预测以六安市工业用水定额标准为基本依据，并参考</w:t>
      </w:r>
      <w:r>
        <w:rPr>
          <w:rFonts w:hint="eastAsia"/>
          <w:sz w:val="24"/>
        </w:rPr>
        <w:t>其他</w:t>
      </w:r>
      <w:r>
        <w:rPr>
          <w:sz w:val="24"/>
        </w:rPr>
        <w:t>相关规划成果并结合本地一般工业发展条件确定。</w:t>
      </w:r>
    </w:p>
    <w:p>
      <w:pPr>
        <w:adjustRightInd w:val="0"/>
        <w:snapToGrid w:val="0"/>
        <w:spacing w:line="360" w:lineRule="auto"/>
        <w:ind w:firstLine="480"/>
        <w:rPr>
          <w:sz w:val="24"/>
        </w:rPr>
      </w:pPr>
      <w:r>
        <w:rPr>
          <w:sz w:val="24"/>
        </w:rPr>
        <w:t>2020年全市一般工业万元工业增加值</w:t>
      </w:r>
      <w:r>
        <w:rPr>
          <w:rFonts w:hint="eastAsia"/>
          <w:sz w:val="24"/>
        </w:rPr>
        <w:t>需</w:t>
      </w:r>
      <w:r>
        <w:rPr>
          <w:sz w:val="24"/>
        </w:rPr>
        <w:t>水量为43.4</w:t>
      </w:r>
      <w:r>
        <w:rPr>
          <w:rFonts w:hint="eastAsia"/>
          <w:sz w:val="24"/>
        </w:rPr>
        <w:t xml:space="preserve"> </w:t>
      </w:r>
      <w:r>
        <w:rPr>
          <w:sz w:val="24"/>
        </w:rPr>
        <w:t>m</w:t>
      </w:r>
      <w:r>
        <w:rPr>
          <w:sz w:val="24"/>
          <w:vertAlign w:val="superscript"/>
        </w:rPr>
        <w:t>3</w:t>
      </w:r>
      <w:r>
        <w:rPr>
          <w:sz w:val="24"/>
        </w:rPr>
        <w:t>，预测至2025年一般工业万元工业增加值</w:t>
      </w:r>
      <w:r>
        <w:rPr>
          <w:rFonts w:hint="eastAsia"/>
          <w:sz w:val="24"/>
        </w:rPr>
        <w:t>需</w:t>
      </w:r>
      <w:r>
        <w:rPr>
          <w:sz w:val="24"/>
        </w:rPr>
        <w:t>水量为30.9 m</w:t>
      </w:r>
      <w:r>
        <w:rPr>
          <w:sz w:val="24"/>
          <w:vertAlign w:val="superscript"/>
        </w:rPr>
        <w:t>3</w:t>
      </w:r>
      <w:r>
        <w:rPr>
          <w:sz w:val="24"/>
        </w:rPr>
        <w:t>，预测至2030年一般工业万元工业增加值</w:t>
      </w:r>
      <w:r>
        <w:rPr>
          <w:rFonts w:hint="eastAsia"/>
          <w:sz w:val="24"/>
        </w:rPr>
        <w:t>需</w:t>
      </w:r>
      <w:r>
        <w:rPr>
          <w:sz w:val="24"/>
        </w:rPr>
        <w:t>水量为26.3</w:t>
      </w:r>
      <w:r>
        <w:rPr>
          <w:rFonts w:hint="eastAsia"/>
          <w:sz w:val="24"/>
        </w:rPr>
        <w:t xml:space="preserve"> </w:t>
      </w:r>
      <w:r>
        <w:rPr>
          <w:sz w:val="24"/>
        </w:rPr>
        <w:t>m</w:t>
      </w:r>
      <w:r>
        <w:rPr>
          <w:sz w:val="24"/>
          <w:vertAlign w:val="superscript"/>
        </w:rPr>
        <w:t>3</w:t>
      </w:r>
      <w:r>
        <w:rPr>
          <w:sz w:val="24"/>
        </w:rPr>
        <w:t>。</w:t>
      </w:r>
    </w:p>
    <w:p>
      <w:pPr>
        <w:adjustRightInd w:val="0"/>
        <w:snapToGrid w:val="0"/>
        <w:spacing w:line="360" w:lineRule="auto"/>
        <w:ind w:firstLine="480"/>
        <w:rPr>
          <w:sz w:val="24"/>
        </w:rPr>
      </w:pPr>
      <w:r>
        <w:rPr>
          <w:sz w:val="24"/>
        </w:rPr>
        <w:t>采用定额法预测一般工业用水量，预测至2025年全市一般工业增加值将达到618亿元，一般工业需水量为19080万m</w:t>
      </w:r>
      <w:r>
        <w:rPr>
          <w:sz w:val="24"/>
          <w:vertAlign w:val="superscript"/>
        </w:rPr>
        <w:t>3</w:t>
      </w:r>
      <w:r>
        <w:rPr>
          <w:rFonts w:hint="eastAsia"/>
          <w:sz w:val="24"/>
        </w:rPr>
        <w:t>；</w:t>
      </w:r>
      <w:r>
        <w:rPr>
          <w:sz w:val="24"/>
        </w:rPr>
        <w:t>预测至2030年全市一般工业增加值将达到800亿元，一般工业需水量为21068万m</w:t>
      </w:r>
      <w:r>
        <w:rPr>
          <w:sz w:val="24"/>
          <w:vertAlign w:val="superscript"/>
        </w:rPr>
        <w:t>3</w:t>
      </w:r>
      <w:r>
        <w:rPr>
          <w:sz w:val="24"/>
        </w:rPr>
        <w:t>。</w:t>
      </w:r>
    </w:p>
    <w:p>
      <w:pPr>
        <w:adjustRightInd w:val="0"/>
        <w:snapToGrid w:val="0"/>
        <w:spacing w:line="360" w:lineRule="auto"/>
        <w:ind w:firstLine="480" w:firstLineChars="200"/>
        <w:rPr>
          <w:b/>
          <w:sz w:val="24"/>
        </w:rPr>
      </w:pPr>
      <w:r>
        <w:rPr>
          <w:b/>
          <w:sz w:val="24"/>
        </w:rPr>
        <w:t>（</w:t>
      </w:r>
      <w:r>
        <w:rPr>
          <w:rFonts w:hint="eastAsia"/>
          <w:b/>
          <w:sz w:val="24"/>
        </w:rPr>
        <w:t>2</w:t>
      </w:r>
      <w:r>
        <w:rPr>
          <w:b/>
          <w:sz w:val="24"/>
        </w:rPr>
        <w:t>）火（核）工业需水预测</w:t>
      </w:r>
    </w:p>
    <w:p>
      <w:pPr>
        <w:adjustRightInd w:val="0"/>
        <w:snapToGrid w:val="0"/>
        <w:spacing w:line="360" w:lineRule="auto"/>
        <w:ind w:firstLine="480" w:firstLineChars="200"/>
        <w:rPr>
          <w:sz w:val="24"/>
        </w:rPr>
      </w:pPr>
      <w:r>
        <w:rPr>
          <w:sz w:val="24"/>
        </w:rPr>
        <w:t>六安市现状2020年火电用水量为1283万m</w:t>
      </w:r>
      <w:r>
        <w:rPr>
          <w:sz w:val="24"/>
          <w:vertAlign w:val="superscript"/>
        </w:rPr>
        <w:t>3</w:t>
      </w:r>
      <w:r>
        <w:rPr>
          <w:rFonts w:hint="eastAsia"/>
          <w:kern w:val="0"/>
          <w:sz w:val="24"/>
        </w:rPr>
        <w:t>。至2</w:t>
      </w:r>
      <w:r>
        <w:rPr>
          <w:kern w:val="0"/>
          <w:sz w:val="24"/>
        </w:rPr>
        <w:t>030</w:t>
      </w:r>
      <w:r>
        <w:rPr>
          <w:rFonts w:hint="eastAsia"/>
          <w:kern w:val="0"/>
          <w:sz w:val="24"/>
        </w:rPr>
        <w:t>年，全市火电规模与现状年一致，根据现状火电企业最大用水量</w:t>
      </w:r>
      <w:r>
        <w:rPr>
          <w:kern w:val="0"/>
          <w:sz w:val="24"/>
        </w:rPr>
        <w:t>预测</w:t>
      </w:r>
      <w:r>
        <w:rPr>
          <w:rFonts w:hint="eastAsia"/>
          <w:kern w:val="0"/>
          <w:sz w:val="24"/>
        </w:rPr>
        <w:t>，2</w:t>
      </w:r>
      <w:r>
        <w:rPr>
          <w:kern w:val="0"/>
          <w:sz w:val="24"/>
        </w:rPr>
        <w:t>025</w:t>
      </w:r>
      <w:r>
        <w:rPr>
          <w:rFonts w:hint="eastAsia"/>
          <w:kern w:val="0"/>
          <w:sz w:val="24"/>
        </w:rPr>
        <w:t>年和</w:t>
      </w:r>
      <w:r>
        <w:rPr>
          <w:kern w:val="0"/>
          <w:sz w:val="24"/>
        </w:rPr>
        <w:t>2030年全市火电</w:t>
      </w:r>
      <w:r>
        <w:rPr>
          <w:rFonts w:hint="eastAsia"/>
          <w:kern w:val="0"/>
          <w:sz w:val="24"/>
        </w:rPr>
        <w:t>需</w:t>
      </w:r>
      <w:r>
        <w:rPr>
          <w:kern w:val="0"/>
          <w:sz w:val="24"/>
        </w:rPr>
        <w:t>水量</w:t>
      </w:r>
      <w:r>
        <w:rPr>
          <w:rFonts w:hint="eastAsia"/>
          <w:kern w:val="0"/>
          <w:sz w:val="24"/>
        </w:rPr>
        <w:t>均</w:t>
      </w:r>
      <w:r>
        <w:rPr>
          <w:kern w:val="0"/>
          <w:sz w:val="24"/>
        </w:rPr>
        <w:t>为1709万m</w:t>
      </w:r>
      <w:r>
        <w:rPr>
          <w:kern w:val="0"/>
          <w:sz w:val="24"/>
          <w:vertAlign w:val="superscript"/>
        </w:rPr>
        <w:t>3</w:t>
      </w:r>
      <w:r>
        <w:rPr>
          <w:kern w:val="0"/>
          <w:sz w:val="24"/>
        </w:rPr>
        <w:t>。</w:t>
      </w:r>
      <w:r>
        <w:rPr>
          <w:sz w:val="24"/>
        </w:rPr>
        <w:t>不同水平年全市工业用水量见表4.2</w:t>
      </w:r>
      <w:r>
        <w:rPr>
          <w:rFonts w:hint="eastAsia"/>
          <w:sz w:val="24"/>
        </w:rPr>
        <w:t>.</w:t>
      </w:r>
      <w:r>
        <w:rPr>
          <w:sz w:val="24"/>
        </w:rPr>
        <w:t>5。</w:t>
      </w:r>
    </w:p>
    <w:p>
      <w:pPr>
        <w:adjustRightInd w:val="0"/>
        <w:snapToGrid w:val="0"/>
        <w:spacing w:line="360" w:lineRule="auto"/>
        <w:ind w:firstLine="480" w:firstLineChars="200"/>
        <w:jc w:val="right"/>
        <w:rPr>
          <w:sz w:val="18"/>
          <w:szCs w:val="18"/>
        </w:rPr>
      </w:pPr>
      <w:r>
        <w:rPr>
          <w:rFonts w:hAnsi="宋体"/>
          <w:b/>
          <w:sz w:val="24"/>
          <w:szCs w:val="24"/>
        </w:rPr>
        <w:t>表4.2</w:t>
      </w:r>
      <w:r>
        <w:rPr>
          <w:rFonts w:hint="eastAsia" w:hAnsi="宋体"/>
          <w:b/>
          <w:sz w:val="24"/>
          <w:szCs w:val="24"/>
        </w:rPr>
        <w:t>.</w:t>
      </w:r>
      <w:r>
        <w:rPr>
          <w:rFonts w:hAnsi="宋体"/>
          <w:b/>
          <w:sz w:val="24"/>
          <w:szCs w:val="24"/>
        </w:rPr>
        <w:t>5  六安市工业需水量预测成果</w:t>
      </w:r>
      <w:r>
        <w:rPr>
          <w:rFonts w:hAnsi="宋体"/>
          <w:b/>
        </w:rPr>
        <w:t xml:space="preserve"> </w:t>
      </w:r>
      <w:r>
        <w:rPr>
          <w:rFonts w:hint="eastAsia" w:hAnsi="宋体"/>
          <w:b/>
        </w:rPr>
        <w:t xml:space="preserve">    </w:t>
      </w:r>
      <w:r>
        <w:rPr>
          <w:rFonts w:hAnsi="宋体"/>
          <w:b/>
        </w:rPr>
        <w:t xml:space="preserve">   </w:t>
      </w:r>
      <w:r>
        <w:rPr>
          <w:rFonts w:hint="eastAsia" w:hAnsi="宋体"/>
          <w:b/>
        </w:rPr>
        <w:t xml:space="preserve"> </w:t>
      </w:r>
      <w:r>
        <w:t xml:space="preserve">  </w:t>
      </w:r>
      <w:r>
        <w:rPr>
          <w:sz w:val="18"/>
          <w:szCs w:val="18"/>
        </w:rPr>
        <w:t>单位：万m</w:t>
      </w:r>
      <w:r>
        <w:rPr>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1720"/>
        <w:gridCol w:w="1517"/>
        <w:gridCol w:w="1399"/>
        <w:gridCol w:w="1399"/>
        <w:gridCol w:w="1399"/>
        <w:gridCol w:w="1399"/>
      </w:tblGrid>
      <w:tr>
        <w:tblPrEx>
          <w:tblCellMar>
            <w:top w:w="0" w:type="dxa"/>
            <w:left w:w="108" w:type="dxa"/>
            <w:bottom w:w="0" w:type="dxa"/>
            <w:right w:w="108" w:type="dxa"/>
          </w:tblCellMar>
        </w:tblPrEx>
        <w:trPr>
          <w:trHeight w:val="397" w:hRule="atLeast"/>
          <w:jc w:val="center"/>
        </w:trPr>
        <w:tc>
          <w:tcPr>
            <w:tcW w:w="1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水平年</w:t>
            </w:r>
          </w:p>
        </w:tc>
        <w:tc>
          <w:tcPr>
            <w:tcW w:w="1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一般工业需水定额（</w:t>
            </w:r>
            <w:r>
              <w:rPr>
                <w:kern w:val="0"/>
                <w:sz w:val="18"/>
                <w:szCs w:val="18"/>
              </w:rPr>
              <w:t>m</w:t>
            </w:r>
            <w:r>
              <w:rPr>
                <w:kern w:val="0"/>
                <w:sz w:val="18"/>
                <w:szCs w:val="18"/>
                <w:vertAlign w:val="superscript"/>
              </w:rPr>
              <w:t>3</w:t>
            </w:r>
            <w:r>
              <w:rPr>
                <w:kern w:val="0"/>
                <w:sz w:val="18"/>
                <w:szCs w:val="18"/>
              </w:rPr>
              <w:t>/</w:t>
            </w:r>
            <w:r>
              <w:rPr>
                <w:rFonts w:hint="eastAsia" w:ascii="宋体" w:hAnsi="宋体" w:cs="宋体"/>
                <w:kern w:val="0"/>
                <w:sz w:val="18"/>
                <w:szCs w:val="18"/>
              </w:rPr>
              <w:t>万元）</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工业综合需水定额（</w:t>
            </w:r>
            <w:r>
              <w:rPr>
                <w:kern w:val="0"/>
                <w:sz w:val="18"/>
                <w:szCs w:val="18"/>
              </w:rPr>
              <w:t>m</w:t>
            </w:r>
            <w:r>
              <w:rPr>
                <w:kern w:val="0"/>
                <w:sz w:val="18"/>
                <w:szCs w:val="18"/>
                <w:vertAlign w:val="superscript"/>
              </w:rPr>
              <w:t>3</w:t>
            </w:r>
            <w:r>
              <w:rPr>
                <w:kern w:val="0"/>
                <w:sz w:val="18"/>
                <w:szCs w:val="18"/>
              </w:rPr>
              <w:t>/</w:t>
            </w:r>
            <w:r>
              <w:rPr>
                <w:rFonts w:hint="eastAsia" w:ascii="宋体" w:hAnsi="宋体" w:cs="宋体"/>
                <w:kern w:val="0"/>
                <w:sz w:val="18"/>
                <w:szCs w:val="18"/>
              </w:rPr>
              <w:t>万元）</w:t>
            </w:r>
          </w:p>
        </w:tc>
        <w:tc>
          <w:tcPr>
            <w:tcW w:w="40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需水量（万</w:t>
            </w:r>
            <w:r>
              <w:rPr>
                <w:kern w:val="0"/>
                <w:sz w:val="18"/>
                <w:szCs w:val="18"/>
              </w:rPr>
              <w:t>m</w:t>
            </w:r>
            <w:r>
              <w:rPr>
                <w:kern w:val="0"/>
                <w:sz w:val="18"/>
                <w:szCs w:val="18"/>
                <w:vertAlign w:val="superscript"/>
              </w:rPr>
              <w:t>3</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397" w:hRule="atLeast"/>
          <w:jc w:val="center"/>
        </w:trPr>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火核电</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一般工业</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2020</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43.4</w:t>
            </w:r>
          </w:p>
        </w:tc>
        <w:tc>
          <w:tcPr>
            <w:tcW w:w="13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45.2</w:t>
            </w:r>
          </w:p>
        </w:tc>
        <w:tc>
          <w:tcPr>
            <w:tcW w:w="13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1285</w:t>
            </w:r>
          </w:p>
        </w:tc>
        <w:tc>
          <w:tcPr>
            <w:tcW w:w="13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18109</w:t>
            </w:r>
          </w:p>
        </w:tc>
        <w:tc>
          <w:tcPr>
            <w:tcW w:w="13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19394</w:t>
            </w:r>
          </w:p>
        </w:tc>
      </w:tr>
      <w:tr>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2025</w:t>
            </w:r>
          </w:p>
        </w:tc>
        <w:tc>
          <w:tcPr>
            <w:tcW w:w="1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30.9</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33.0</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1709</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19080</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20789</w:t>
            </w:r>
          </w:p>
        </w:tc>
      </w:tr>
      <w:tr>
        <w:tblPrEx>
          <w:tblCellMar>
            <w:top w:w="0" w:type="dxa"/>
            <w:left w:w="108" w:type="dxa"/>
            <w:bottom w:w="0" w:type="dxa"/>
            <w:right w:w="108" w:type="dxa"/>
          </w:tblCellMar>
        </w:tblPrEx>
        <w:trPr>
          <w:trHeight w:val="397" w:hRule="atLeast"/>
          <w:jc w:val="center"/>
        </w:trPr>
        <w:tc>
          <w:tcPr>
            <w:tcW w:w="16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2030</w:t>
            </w:r>
          </w:p>
        </w:tc>
        <w:tc>
          <w:tcPr>
            <w:tcW w:w="1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26.3</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28.0</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1709</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21068</w:t>
            </w:r>
          </w:p>
        </w:tc>
        <w:tc>
          <w:tcPr>
            <w:tcW w:w="136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sz w:val="18"/>
                <w:szCs w:val="18"/>
              </w:rPr>
              <w:t>22777</w:t>
            </w:r>
          </w:p>
        </w:tc>
      </w:tr>
    </w:tbl>
    <w:p>
      <w:pPr>
        <w:adjustRightInd w:val="0"/>
        <w:snapToGrid w:val="0"/>
        <w:spacing w:line="360" w:lineRule="auto"/>
        <w:ind w:firstLine="480" w:firstLineChars="200"/>
        <w:rPr>
          <w:color w:val="00B050"/>
          <w:sz w:val="24"/>
        </w:rPr>
      </w:pPr>
    </w:p>
    <w:p>
      <w:pPr>
        <w:adjustRightInd w:val="0"/>
        <w:snapToGrid w:val="0"/>
        <w:spacing w:line="360" w:lineRule="auto"/>
        <w:ind w:firstLine="480" w:firstLineChars="200"/>
        <w:rPr>
          <w:b/>
          <w:sz w:val="24"/>
        </w:rPr>
      </w:pPr>
      <w:r>
        <w:rPr>
          <w:b/>
          <w:sz w:val="24"/>
        </w:rPr>
        <w:t>3、河道外生态需水预测</w:t>
      </w:r>
    </w:p>
    <w:p>
      <w:pPr>
        <w:adjustRightInd w:val="0"/>
        <w:snapToGrid w:val="0"/>
        <w:spacing w:line="360" w:lineRule="auto"/>
        <w:ind w:firstLine="482"/>
        <w:rPr>
          <w:sz w:val="24"/>
        </w:rPr>
      </w:pPr>
      <w:r>
        <w:rPr>
          <w:sz w:val="24"/>
        </w:rPr>
        <w:t>河道外生态环境需水量主要考虑城市</w:t>
      </w:r>
      <w:r>
        <w:rPr>
          <w:rFonts w:hint="eastAsia"/>
          <w:sz w:val="24"/>
        </w:rPr>
        <w:t>道路卫生和</w:t>
      </w:r>
      <w:r>
        <w:rPr>
          <w:sz w:val="24"/>
        </w:rPr>
        <w:t>绿地灌溉用水及城市湖泊补水两项。</w:t>
      </w:r>
    </w:p>
    <w:p>
      <w:pPr>
        <w:adjustRightInd w:val="0"/>
        <w:snapToGrid w:val="0"/>
        <w:spacing w:line="360" w:lineRule="auto"/>
        <w:ind w:firstLine="482"/>
        <w:rPr>
          <w:sz w:val="24"/>
        </w:rPr>
      </w:pPr>
      <w:r>
        <w:rPr>
          <w:sz w:val="24"/>
        </w:rPr>
        <w:t>城市绿地面积指园林绿地面积，包括公共绿地地面、居住地绿地、单位附属绿地、防护绿地、道路绿地和风景区绿地面积。人工湖泊主要考虑城市内的河、湖。随着城市化的发展以及人民生活水平的提高，人们对城市生态环境的要求也越来越高，城市的生态环境用水量将日趋增加。</w:t>
      </w:r>
    </w:p>
    <w:p>
      <w:pPr>
        <w:adjustRightInd w:val="0"/>
        <w:snapToGrid w:val="0"/>
        <w:spacing w:line="360" w:lineRule="auto"/>
        <w:ind w:firstLine="480" w:firstLineChars="200"/>
        <w:rPr>
          <w:sz w:val="24"/>
        </w:rPr>
      </w:pPr>
      <w:r>
        <w:rPr>
          <w:rFonts w:hint="eastAsia"/>
          <w:sz w:val="24"/>
        </w:rPr>
        <w:t>规划水平年六安市和河道外生态需水量预测主要是考虑城市道路卫生和绿地灌溉用水的变化，河湖补水量按现状2</w:t>
      </w:r>
      <w:r>
        <w:rPr>
          <w:sz w:val="24"/>
        </w:rPr>
        <w:t>020</w:t>
      </w:r>
      <w:r>
        <w:rPr>
          <w:rFonts w:hint="eastAsia"/>
          <w:sz w:val="24"/>
        </w:rPr>
        <w:t>年河湖最大补水量。</w:t>
      </w:r>
      <w:r>
        <w:rPr>
          <w:sz w:val="24"/>
        </w:rPr>
        <w:t>预测至2025年六安市河道外生态需水量为7650万m</w:t>
      </w:r>
      <w:r>
        <w:rPr>
          <w:sz w:val="24"/>
          <w:vertAlign w:val="superscript"/>
        </w:rPr>
        <w:t>3</w:t>
      </w:r>
      <w:r>
        <w:rPr>
          <w:sz w:val="24"/>
        </w:rPr>
        <w:t>，至2030年六安市河道外生态需水量为8377万m</w:t>
      </w:r>
      <w:r>
        <w:rPr>
          <w:sz w:val="24"/>
          <w:vertAlign w:val="superscript"/>
        </w:rPr>
        <w:t>3</w:t>
      </w:r>
      <w:r>
        <w:rPr>
          <w:sz w:val="24"/>
        </w:rPr>
        <w:t>。</w:t>
      </w:r>
    </w:p>
    <w:p>
      <w:pPr>
        <w:keepNext/>
        <w:keepLines/>
        <w:adjustRightInd w:val="0"/>
        <w:snapToGrid w:val="0"/>
        <w:spacing w:before="312" w:beforeLines="100" w:after="312" w:afterLines="100" w:line="360" w:lineRule="auto"/>
        <w:jc w:val="center"/>
        <w:outlineLvl w:val="1"/>
        <w:rPr>
          <w:b/>
          <w:bCs/>
          <w:sz w:val="32"/>
          <w:szCs w:val="36"/>
        </w:rPr>
      </w:pPr>
      <w:bookmarkStart w:id="285" w:name="_Toc306734674"/>
      <w:bookmarkStart w:id="286" w:name="_Toc382472222"/>
      <w:bookmarkStart w:id="287" w:name="_Toc95382486"/>
      <w:bookmarkStart w:id="288" w:name="_Toc432782550"/>
      <w:r>
        <w:rPr>
          <w:b/>
          <w:bCs/>
          <w:sz w:val="32"/>
          <w:szCs w:val="36"/>
        </w:rPr>
        <w:t>第三节 总需水量</w:t>
      </w:r>
      <w:bookmarkEnd w:id="285"/>
      <w:bookmarkEnd w:id="286"/>
      <w:bookmarkEnd w:id="287"/>
      <w:bookmarkEnd w:id="288"/>
    </w:p>
    <w:p>
      <w:pPr>
        <w:adjustRightInd w:val="0"/>
        <w:snapToGrid w:val="0"/>
        <w:spacing w:line="360" w:lineRule="auto"/>
        <w:ind w:firstLine="480" w:firstLineChars="200"/>
        <w:rPr>
          <w:sz w:val="24"/>
        </w:rPr>
      </w:pPr>
      <w:r>
        <w:rPr>
          <w:sz w:val="24"/>
        </w:rPr>
        <w:t>根据上述需水预测结果汇总得到六安市各水平年不同保证率总需水量。</w:t>
      </w:r>
    </w:p>
    <w:p>
      <w:pPr>
        <w:adjustRightInd w:val="0"/>
        <w:snapToGrid w:val="0"/>
        <w:spacing w:line="360" w:lineRule="auto"/>
        <w:ind w:firstLine="360" w:firstLineChars="150"/>
        <w:rPr>
          <w:sz w:val="24"/>
        </w:rPr>
      </w:pPr>
      <w:r>
        <w:rPr>
          <w:sz w:val="24"/>
        </w:rPr>
        <w:t>六安市现状</w:t>
      </w:r>
      <w:r>
        <w:rPr>
          <w:rFonts w:hint="eastAsia"/>
          <w:sz w:val="24"/>
        </w:rPr>
        <w:t>2</w:t>
      </w:r>
      <w:r>
        <w:rPr>
          <w:sz w:val="24"/>
        </w:rPr>
        <w:t>020</w:t>
      </w:r>
      <w:r>
        <w:rPr>
          <w:rFonts w:hint="eastAsia"/>
          <w:sz w:val="24"/>
        </w:rPr>
        <w:t>年</w:t>
      </w:r>
      <w:r>
        <w:rPr>
          <w:sz w:val="24"/>
        </w:rPr>
        <w:t>基准年多年平均及50%、</w:t>
      </w:r>
      <w:r>
        <w:rPr>
          <w:rFonts w:hint="eastAsia"/>
          <w:sz w:val="24"/>
        </w:rPr>
        <w:t>80</w:t>
      </w:r>
      <w:r>
        <w:rPr>
          <w:sz w:val="24"/>
        </w:rPr>
        <w:t>%、95%保证率总需水量分别为26.21</w:t>
      </w:r>
      <w:r>
        <w:rPr>
          <w:rFonts w:hint="eastAsia"/>
          <w:sz w:val="24"/>
        </w:rPr>
        <w:t>亿</w:t>
      </w:r>
      <w:r>
        <w:rPr>
          <w:sz w:val="24"/>
        </w:rPr>
        <w:t>m</w:t>
      </w:r>
      <w:r>
        <w:rPr>
          <w:sz w:val="24"/>
          <w:vertAlign w:val="superscript"/>
        </w:rPr>
        <w:t>3</w:t>
      </w:r>
      <w:r>
        <w:rPr>
          <w:sz w:val="24"/>
        </w:rPr>
        <w:t>、24.58亿m</w:t>
      </w:r>
      <w:r>
        <w:rPr>
          <w:sz w:val="24"/>
          <w:vertAlign w:val="superscript"/>
        </w:rPr>
        <w:t>3</w:t>
      </w:r>
      <w:r>
        <w:rPr>
          <w:sz w:val="24"/>
        </w:rPr>
        <w:t>、32.41亿m</w:t>
      </w:r>
      <w:r>
        <w:rPr>
          <w:sz w:val="24"/>
          <w:vertAlign w:val="superscript"/>
        </w:rPr>
        <w:t>3</w:t>
      </w:r>
      <w:r>
        <w:rPr>
          <w:sz w:val="24"/>
        </w:rPr>
        <w:t>和40.29</w:t>
      </w:r>
      <w:r>
        <w:rPr>
          <w:rFonts w:hint="eastAsia"/>
          <w:sz w:val="24"/>
        </w:rPr>
        <w:t>亿</w:t>
      </w:r>
      <w:r>
        <w:rPr>
          <w:sz w:val="24"/>
        </w:rPr>
        <w:t>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4.77亿m</w:t>
      </w:r>
      <w:r>
        <w:rPr>
          <w:sz w:val="24"/>
          <w:vertAlign w:val="superscript"/>
        </w:rPr>
        <w:t>3</w:t>
      </w:r>
      <w:r>
        <w:rPr>
          <w:sz w:val="24"/>
        </w:rPr>
        <w:t>、3.72亿m</w:t>
      </w:r>
      <w:r>
        <w:rPr>
          <w:sz w:val="24"/>
          <w:vertAlign w:val="superscript"/>
        </w:rPr>
        <w:t>3</w:t>
      </w:r>
      <w:r>
        <w:rPr>
          <w:sz w:val="24"/>
        </w:rPr>
        <w:t>、1.31亿m</w:t>
      </w:r>
      <w:r>
        <w:rPr>
          <w:sz w:val="24"/>
          <w:vertAlign w:val="superscript"/>
        </w:rPr>
        <w:t>3</w:t>
      </w:r>
      <w:r>
        <w:rPr>
          <w:sz w:val="24"/>
        </w:rPr>
        <w:t>、9.29亿m</w:t>
      </w:r>
      <w:r>
        <w:rPr>
          <w:sz w:val="24"/>
          <w:vertAlign w:val="superscript"/>
        </w:rPr>
        <w:t>3</w:t>
      </w:r>
      <w:r>
        <w:rPr>
          <w:sz w:val="24"/>
        </w:rPr>
        <w:t>、3.59亿m</w:t>
      </w:r>
      <w:r>
        <w:rPr>
          <w:sz w:val="24"/>
          <w:vertAlign w:val="superscript"/>
        </w:rPr>
        <w:t>3</w:t>
      </w:r>
      <w:r>
        <w:rPr>
          <w:sz w:val="24"/>
        </w:rPr>
        <w:t>、</w:t>
      </w:r>
      <w:r>
        <w:rPr>
          <w:rFonts w:hint="eastAsia"/>
          <w:sz w:val="24"/>
        </w:rPr>
        <w:t>1.</w:t>
      </w:r>
      <w:r>
        <w:rPr>
          <w:sz w:val="24"/>
        </w:rPr>
        <w:t>89亿m</w:t>
      </w:r>
      <w:r>
        <w:rPr>
          <w:sz w:val="24"/>
          <w:vertAlign w:val="superscript"/>
        </w:rPr>
        <w:t>3</w:t>
      </w:r>
      <w:r>
        <w:rPr>
          <w:rFonts w:hint="eastAsia"/>
          <w:sz w:val="24"/>
        </w:rPr>
        <w:t>和</w:t>
      </w:r>
      <w:r>
        <w:rPr>
          <w:sz w:val="24"/>
        </w:rPr>
        <w:t>1.63亿m</w:t>
      </w:r>
      <w:r>
        <w:rPr>
          <w:sz w:val="24"/>
          <w:vertAlign w:val="superscript"/>
        </w:rPr>
        <w:t>3</w:t>
      </w:r>
      <w:r>
        <w:rPr>
          <w:rFonts w:hint="eastAsia"/>
          <w:sz w:val="24"/>
        </w:rPr>
        <w:t>；8</w:t>
      </w:r>
      <w:r>
        <w:rPr>
          <w:sz w:val="24"/>
        </w:rPr>
        <w:t>0</w:t>
      </w:r>
      <w:r>
        <w:rPr>
          <w:rFonts w:hint="eastAsia"/>
          <w:sz w:val="24"/>
        </w:rPr>
        <w:t>%保证率下需水量分别为</w:t>
      </w:r>
      <w:r>
        <w:rPr>
          <w:sz w:val="24"/>
        </w:rPr>
        <w:t>5.86亿m</w:t>
      </w:r>
      <w:r>
        <w:rPr>
          <w:sz w:val="24"/>
          <w:vertAlign w:val="superscript"/>
        </w:rPr>
        <w:t>3</w:t>
      </w:r>
      <w:r>
        <w:rPr>
          <w:sz w:val="24"/>
        </w:rPr>
        <w:t>、4.58亿m</w:t>
      </w:r>
      <w:r>
        <w:rPr>
          <w:sz w:val="24"/>
          <w:vertAlign w:val="superscript"/>
        </w:rPr>
        <w:t>3</w:t>
      </w:r>
      <w:r>
        <w:rPr>
          <w:sz w:val="24"/>
        </w:rPr>
        <w:t>、1.64亿m</w:t>
      </w:r>
      <w:r>
        <w:rPr>
          <w:sz w:val="24"/>
          <w:vertAlign w:val="superscript"/>
        </w:rPr>
        <w:t>3</w:t>
      </w:r>
      <w:r>
        <w:rPr>
          <w:sz w:val="24"/>
        </w:rPr>
        <w:t>、12.00亿m</w:t>
      </w:r>
      <w:r>
        <w:rPr>
          <w:sz w:val="24"/>
          <w:vertAlign w:val="superscript"/>
        </w:rPr>
        <w:t>3</w:t>
      </w:r>
      <w:r>
        <w:rPr>
          <w:sz w:val="24"/>
        </w:rPr>
        <w:t>、4.05亿m</w:t>
      </w:r>
      <w:r>
        <w:rPr>
          <w:sz w:val="24"/>
          <w:vertAlign w:val="superscript"/>
        </w:rPr>
        <w:t>3</w:t>
      </w:r>
      <w:r>
        <w:rPr>
          <w:sz w:val="24"/>
        </w:rPr>
        <w:t>、2.30亿m</w:t>
      </w:r>
      <w:r>
        <w:rPr>
          <w:sz w:val="24"/>
          <w:vertAlign w:val="superscript"/>
        </w:rPr>
        <w:t>3</w:t>
      </w:r>
      <w:r>
        <w:rPr>
          <w:rFonts w:hint="eastAsia"/>
          <w:sz w:val="24"/>
        </w:rPr>
        <w:t>和</w:t>
      </w:r>
      <w:r>
        <w:rPr>
          <w:sz w:val="24"/>
        </w:rPr>
        <w:t>1.97亿m</w:t>
      </w:r>
      <w:r>
        <w:rPr>
          <w:sz w:val="24"/>
          <w:vertAlign w:val="superscript"/>
        </w:rPr>
        <w:t>3</w:t>
      </w:r>
      <w:r>
        <w:rPr>
          <w:rFonts w:hint="eastAsia"/>
          <w:sz w:val="24"/>
        </w:rPr>
        <w:t>。</w:t>
      </w:r>
    </w:p>
    <w:p>
      <w:pPr>
        <w:adjustRightInd w:val="0"/>
        <w:snapToGrid w:val="0"/>
        <w:spacing w:line="360" w:lineRule="auto"/>
        <w:ind w:firstLine="360" w:firstLineChars="150"/>
        <w:rPr>
          <w:sz w:val="24"/>
        </w:rPr>
      </w:pPr>
      <w:r>
        <w:rPr>
          <w:sz w:val="24"/>
        </w:rPr>
        <w:t>规划2025水平年</w:t>
      </w:r>
      <w:r>
        <w:rPr>
          <w:rFonts w:hint="eastAsia"/>
          <w:sz w:val="24"/>
        </w:rPr>
        <w:t>，六安市</w:t>
      </w:r>
      <w:r>
        <w:rPr>
          <w:sz w:val="24"/>
        </w:rPr>
        <w:t>多年平均及50%、</w:t>
      </w:r>
      <w:r>
        <w:rPr>
          <w:rFonts w:hint="eastAsia"/>
          <w:sz w:val="24"/>
        </w:rPr>
        <w:t>80</w:t>
      </w:r>
      <w:r>
        <w:rPr>
          <w:sz w:val="24"/>
        </w:rPr>
        <w:t>%、95%保证率总需水量分别为25.81</w:t>
      </w:r>
      <w:r>
        <w:rPr>
          <w:rFonts w:hint="eastAsia"/>
          <w:sz w:val="24"/>
        </w:rPr>
        <w:t>亿</w:t>
      </w:r>
      <w:r>
        <w:rPr>
          <w:sz w:val="24"/>
        </w:rPr>
        <w:t>m</w:t>
      </w:r>
      <w:r>
        <w:rPr>
          <w:sz w:val="24"/>
          <w:vertAlign w:val="superscript"/>
        </w:rPr>
        <w:t>3</w:t>
      </w:r>
      <w:r>
        <w:rPr>
          <w:sz w:val="24"/>
        </w:rPr>
        <w:t>、24.20亿m</w:t>
      </w:r>
      <w:r>
        <w:rPr>
          <w:sz w:val="24"/>
          <w:vertAlign w:val="superscript"/>
        </w:rPr>
        <w:t>3</w:t>
      </w:r>
      <w:r>
        <w:rPr>
          <w:sz w:val="24"/>
        </w:rPr>
        <w:t>、32.05亿m</w:t>
      </w:r>
      <w:r>
        <w:rPr>
          <w:sz w:val="24"/>
          <w:vertAlign w:val="superscript"/>
        </w:rPr>
        <w:t>3</w:t>
      </w:r>
      <w:r>
        <w:rPr>
          <w:sz w:val="24"/>
        </w:rPr>
        <w:t>和39.57亿m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4.59亿m</w:t>
      </w:r>
      <w:r>
        <w:rPr>
          <w:sz w:val="24"/>
          <w:vertAlign w:val="superscript"/>
        </w:rPr>
        <w:t>3</w:t>
      </w:r>
      <w:r>
        <w:rPr>
          <w:sz w:val="24"/>
        </w:rPr>
        <w:t>、3.71亿m</w:t>
      </w:r>
      <w:r>
        <w:rPr>
          <w:sz w:val="24"/>
          <w:vertAlign w:val="superscript"/>
        </w:rPr>
        <w:t>3</w:t>
      </w:r>
      <w:r>
        <w:rPr>
          <w:sz w:val="24"/>
        </w:rPr>
        <w:t>、1.41亿m</w:t>
      </w:r>
      <w:r>
        <w:rPr>
          <w:sz w:val="24"/>
          <w:vertAlign w:val="superscript"/>
        </w:rPr>
        <w:t>3</w:t>
      </w:r>
      <w:r>
        <w:rPr>
          <w:sz w:val="24"/>
        </w:rPr>
        <w:t>、8.51亿m</w:t>
      </w:r>
      <w:r>
        <w:rPr>
          <w:sz w:val="24"/>
          <w:vertAlign w:val="superscript"/>
        </w:rPr>
        <w:t>3</w:t>
      </w:r>
      <w:r>
        <w:rPr>
          <w:sz w:val="24"/>
        </w:rPr>
        <w:t>、3.84亿m</w:t>
      </w:r>
      <w:r>
        <w:rPr>
          <w:sz w:val="24"/>
          <w:vertAlign w:val="superscript"/>
        </w:rPr>
        <w:t>3</w:t>
      </w:r>
      <w:r>
        <w:rPr>
          <w:sz w:val="24"/>
        </w:rPr>
        <w:t>、1.99亿m</w:t>
      </w:r>
      <w:r>
        <w:rPr>
          <w:sz w:val="24"/>
          <w:vertAlign w:val="superscript"/>
        </w:rPr>
        <w:t>3</w:t>
      </w:r>
      <w:r>
        <w:rPr>
          <w:rFonts w:hint="eastAsia"/>
          <w:sz w:val="24"/>
        </w:rPr>
        <w:t>和</w:t>
      </w:r>
      <w:r>
        <w:rPr>
          <w:sz w:val="24"/>
        </w:rPr>
        <w:t>1.76亿m</w:t>
      </w:r>
      <w:r>
        <w:rPr>
          <w:sz w:val="24"/>
          <w:vertAlign w:val="superscript"/>
        </w:rPr>
        <w:t>3</w:t>
      </w:r>
      <w:r>
        <w:rPr>
          <w:rFonts w:hint="eastAsia"/>
          <w:sz w:val="24"/>
        </w:rPr>
        <w:t>；8</w:t>
      </w:r>
      <w:r>
        <w:rPr>
          <w:sz w:val="24"/>
        </w:rPr>
        <w:t>0</w:t>
      </w:r>
      <w:r>
        <w:rPr>
          <w:rFonts w:hint="eastAsia"/>
          <w:sz w:val="24"/>
        </w:rPr>
        <w:t>%保证率下需水量分别为</w:t>
      </w:r>
      <w:r>
        <w:rPr>
          <w:sz w:val="24"/>
        </w:rPr>
        <w:t>5.72亿m</w:t>
      </w:r>
      <w:r>
        <w:rPr>
          <w:sz w:val="24"/>
          <w:vertAlign w:val="superscript"/>
        </w:rPr>
        <w:t>3</w:t>
      </w:r>
      <w:r>
        <w:rPr>
          <w:sz w:val="24"/>
        </w:rPr>
        <w:t>、4.57亿m</w:t>
      </w:r>
      <w:r>
        <w:rPr>
          <w:sz w:val="24"/>
          <w:vertAlign w:val="superscript"/>
        </w:rPr>
        <w:t>3</w:t>
      </w:r>
      <w:r>
        <w:rPr>
          <w:sz w:val="24"/>
        </w:rPr>
        <w:t>、1.78亿m</w:t>
      </w:r>
      <w:r>
        <w:rPr>
          <w:sz w:val="24"/>
          <w:vertAlign w:val="superscript"/>
        </w:rPr>
        <w:t>3</w:t>
      </w:r>
      <w:r>
        <w:rPr>
          <w:sz w:val="24"/>
        </w:rPr>
        <w:t>、11.00亿m</w:t>
      </w:r>
      <w:r>
        <w:rPr>
          <w:sz w:val="24"/>
          <w:vertAlign w:val="superscript"/>
        </w:rPr>
        <w:t>3</w:t>
      </w:r>
      <w:r>
        <w:rPr>
          <w:sz w:val="24"/>
        </w:rPr>
        <w:t>、4.44亿m</w:t>
      </w:r>
      <w:r>
        <w:rPr>
          <w:sz w:val="24"/>
          <w:vertAlign w:val="superscript"/>
        </w:rPr>
        <w:t>3</w:t>
      </w:r>
      <w:r>
        <w:rPr>
          <w:sz w:val="24"/>
        </w:rPr>
        <w:t>、2.44亿m</w:t>
      </w:r>
      <w:r>
        <w:rPr>
          <w:sz w:val="24"/>
          <w:vertAlign w:val="superscript"/>
        </w:rPr>
        <w:t>3</w:t>
      </w:r>
      <w:r>
        <w:rPr>
          <w:rFonts w:hint="eastAsia"/>
          <w:sz w:val="24"/>
        </w:rPr>
        <w:t>和</w:t>
      </w:r>
      <w:r>
        <w:rPr>
          <w:sz w:val="24"/>
        </w:rPr>
        <w:t>2.11亿m</w:t>
      </w:r>
      <w:r>
        <w:rPr>
          <w:sz w:val="24"/>
          <w:vertAlign w:val="superscript"/>
        </w:rPr>
        <w:t>3</w:t>
      </w:r>
      <w:r>
        <w:rPr>
          <w:rFonts w:hint="eastAsia"/>
          <w:sz w:val="24"/>
        </w:rPr>
        <w:t>。</w:t>
      </w:r>
    </w:p>
    <w:p>
      <w:pPr>
        <w:adjustRightInd w:val="0"/>
        <w:snapToGrid w:val="0"/>
        <w:spacing w:line="360" w:lineRule="auto"/>
        <w:ind w:firstLine="360" w:firstLineChars="150"/>
        <w:rPr>
          <w:sz w:val="24"/>
        </w:rPr>
      </w:pPr>
      <w:r>
        <w:rPr>
          <w:sz w:val="24"/>
        </w:rPr>
        <w:t>规划2030水平年</w:t>
      </w:r>
      <w:r>
        <w:rPr>
          <w:rFonts w:hint="eastAsia"/>
          <w:sz w:val="24"/>
        </w:rPr>
        <w:t>，六安市</w:t>
      </w:r>
      <w:r>
        <w:rPr>
          <w:sz w:val="24"/>
        </w:rPr>
        <w:t>多年平均及50%、</w:t>
      </w:r>
      <w:r>
        <w:rPr>
          <w:rFonts w:hint="eastAsia"/>
          <w:sz w:val="24"/>
        </w:rPr>
        <w:t>80</w:t>
      </w:r>
      <w:r>
        <w:rPr>
          <w:sz w:val="24"/>
        </w:rPr>
        <w:t>%、95%保证率总需水量分别为25.70</w:t>
      </w:r>
      <w:r>
        <w:rPr>
          <w:rFonts w:hint="eastAsia"/>
          <w:sz w:val="24"/>
        </w:rPr>
        <w:t>亿</w:t>
      </w:r>
      <w:r>
        <w:rPr>
          <w:sz w:val="24"/>
        </w:rPr>
        <w:t>m</w:t>
      </w:r>
      <w:r>
        <w:rPr>
          <w:sz w:val="24"/>
          <w:vertAlign w:val="superscript"/>
        </w:rPr>
        <w:t>3</w:t>
      </w:r>
      <w:r>
        <w:rPr>
          <w:sz w:val="24"/>
        </w:rPr>
        <w:t>、24.13亿m</w:t>
      </w:r>
      <w:r>
        <w:rPr>
          <w:sz w:val="24"/>
          <w:vertAlign w:val="superscript"/>
        </w:rPr>
        <w:t>3</w:t>
      </w:r>
      <w:r>
        <w:rPr>
          <w:sz w:val="24"/>
        </w:rPr>
        <w:t>、32.08亿m</w:t>
      </w:r>
      <w:r>
        <w:rPr>
          <w:sz w:val="24"/>
          <w:vertAlign w:val="superscript"/>
        </w:rPr>
        <w:t>3</w:t>
      </w:r>
      <w:r>
        <w:rPr>
          <w:sz w:val="24"/>
        </w:rPr>
        <w:t>和39.34亿m</w:t>
      </w:r>
      <w:r>
        <w:rPr>
          <w:sz w:val="24"/>
          <w:vertAlign w:val="superscript"/>
        </w:rPr>
        <w:t>3</w:t>
      </w:r>
      <w:r>
        <w:rPr>
          <w:rFonts w:hint="eastAsia"/>
          <w:sz w:val="24"/>
        </w:rPr>
        <w:t>。</w:t>
      </w:r>
      <w:r>
        <w:rPr>
          <w:sz w:val="24"/>
        </w:rPr>
        <w:t>其中金安区</w:t>
      </w:r>
      <w:r>
        <w:rPr>
          <w:rFonts w:hint="eastAsia"/>
          <w:sz w:val="24"/>
        </w:rPr>
        <w:t>、</w:t>
      </w:r>
      <w:r>
        <w:rPr>
          <w:sz w:val="24"/>
        </w:rPr>
        <w:t>裕安区</w:t>
      </w:r>
      <w:r>
        <w:rPr>
          <w:rFonts w:hint="eastAsia"/>
          <w:sz w:val="24"/>
        </w:rPr>
        <w:t>、叶集区、</w:t>
      </w:r>
      <w:r>
        <w:rPr>
          <w:sz w:val="24"/>
        </w:rPr>
        <w:t>霍邱县</w:t>
      </w:r>
      <w:r>
        <w:rPr>
          <w:rFonts w:hint="eastAsia"/>
          <w:sz w:val="24"/>
        </w:rPr>
        <w:t>、</w:t>
      </w:r>
      <w:r>
        <w:rPr>
          <w:sz w:val="24"/>
        </w:rPr>
        <w:t>舒城县</w:t>
      </w:r>
      <w:r>
        <w:rPr>
          <w:rFonts w:hint="eastAsia"/>
          <w:sz w:val="24"/>
        </w:rPr>
        <w:t>、</w:t>
      </w:r>
      <w:r>
        <w:rPr>
          <w:sz w:val="24"/>
        </w:rPr>
        <w:t>金寨县</w:t>
      </w:r>
      <w:r>
        <w:rPr>
          <w:rFonts w:hint="eastAsia"/>
          <w:sz w:val="24"/>
        </w:rPr>
        <w:t>、</w:t>
      </w:r>
      <w:r>
        <w:rPr>
          <w:sz w:val="24"/>
        </w:rPr>
        <w:t>霍山县</w:t>
      </w:r>
      <w:r>
        <w:rPr>
          <w:rFonts w:hint="eastAsia"/>
          <w:sz w:val="24"/>
        </w:rPr>
        <w:t>多年平均需水量分别为</w:t>
      </w:r>
      <w:r>
        <w:rPr>
          <w:sz w:val="24"/>
        </w:rPr>
        <w:t>4.57亿m</w:t>
      </w:r>
      <w:r>
        <w:rPr>
          <w:sz w:val="24"/>
          <w:vertAlign w:val="superscript"/>
        </w:rPr>
        <w:t>3</w:t>
      </w:r>
      <w:r>
        <w:rPr>
          <w:sz w:val="24"/>
        </w:rPr>
        <w:t>、3.76亿m</w:t>
      </w:r>
      <w:r>
        <w:rPr>
          <w:sz w:val="24"/>
          <w:vertAlign w:val="superscript"/>
        </w:rPr>
        <w:t>3</w:t>
      </w:r>
      <w:r>
        <w:rPr>
          <w:sz w:val="24"/>
        </w:rPr>
        <w:t>、1.40亿m</w:t>
      </w:r>
      <w:r>
        <w:rPr>
          <w:sz w:val="24"/>
          <w:vertAlign w:val="superscript"/>
        </w:rPr>
        <w:t>3</w:t>
      </w:r>
      <w:r>
        <w:rPr>
          <w:sz w:val="24"/>
        </w:rPr>
        <w:t>、8.34亿m</w:t>
      </w:r>
      <w:r>
        <w:rPr>
          <w:sz w:val="24"/>
          <w:vertAlign w:val="superscript"/>
        </w:rPr>
        <w:t>3</w:t>
      </w:r>
      <w:r>
        <w:rPr>
          <w:sz w:val="24"/>
        </w:rPr>
        <w:t>、3.77亿m</w:t>
      </w:r>
      <w:r>
        <w:rPr>
          <w:sz w:val="24"/>
          <w:vertAlign w:val="superscript"/>
        </w:rPr>
        <w:t>3</w:t>
      </w:r>
      <w:r>
        <w:rPr>
          <w:sz w:val="24"/>
        </w:rPr>
        <w:t>、2.04亿m</w:t>
      </w:r>
      <w:r>
        <w:rPr>
          <w:sz w:val="24"/>
          <w:vertAlign w:val="superscript"/>
        </w:rPr>
        <w:t>3</w:t>
      </w:r>
      <w:r>
        <w:rPr>
          <w:rFonts w:hint="eastAsia"/>
          <w:sz w:val="24"/>
        </w:rPr>
        <w:t>和</w:t>
      </w:r>
      <w:r>
        <w:rPr>
          <w:sz w:val="24"/>
        </w:rPr>
        <w:t>1.81亿m</w:t>
      </w:r>
      <w:r>
        <w:rPr>
          <w:sz w:val="24"/>
          <w:vertAlign w:val="superscript"/>
        </w:rPr>
        <w:t>3</w:t>
      </w:r>
      <w:r>
        <w:rPr>
          <w:rFonts w:hint="eastAsia"/>
          <w:sz w:val="24"/>
        </w:rPr>
        <w:t>；8</w:t>
      </w:r>
      <w:r>
        <w:rPr>
          <w:sz w:val="24"/>
        </w:rPr>
        <w:t>0</w:t>
      </w:r>
      <w:r>
        <w:rPr>
          <w:rFonts w:hint="eastAsia"/>
          <w:sz w:val="24"/>
        </w:rPr>
        <w:t>%保证率下需水量分别为</w:t>
      </w:r>
      <w:r>
        <w:rPr>
          <w:sz w:val="24"/>
        </w:rPr>
        <w:t>5.71亿m</w:t>
      </w:r>
      <w:r>
        <w:rPr>
          <w:sz w:val="24"/>
          <w:vertAlign w:val="superscript"/>
        </w:rPr>
        <w:t>3</w:t>
      </w:r>
      <w:r>
        <w:rPr>
          <w:sz w:val="24"/>
        </w:rPr>
        <w:t>、4.62亿m</w:t>
      </w:r>
      <w:r>
        <w:rPr>
          <w:sz w:val="24"/>
          <w:vertAlign w:val="superscript"/>
        </w:rPr>
        <w:t>3</w:t>
      </w:r>
      <w:r>
        <w:rPr>
          <w:sz w:val="24"/>
        </w:rPr>
        <w:t>、1.77亿m</w:t>
      </w:r>
      <w:r>
        <w:rPr>
          <w:sz w:val="24"/>
          <w:vertAlign w:val="superscript"/>
        </w:rPr>
        <w:t>3</w:t>
      </w:r>
      <w:r>
        <w:rPr>
          <w:sz w:val="24"/>
        </w:rPr>
        <w:t>、10.85亿m</w:t>
      </w:r>
      <w:r>
        <w:rPr>
          <w:sz w:val="24"/>
          <w:vertAlign w:val="superscript"/>
        </w:rPr>
        <w:t>3</w:t>
      </w:r>
      <w:r>
        <w:rPr>
          <w:sz w:val="24"/>
        </w:rPr>
        <w:t>、4.45亿m</w:t>
      </w:r>
      <w:r>
        <w:rPr>
          <w:sz w:val="24"/>
          <w:vertAlign w:val="superscript"/>
        </w:rPr>
        <w:t>3</w:t>
      </w:r>
      <w:r>
        <w:rPr>
          <w:sz w:val="24"/>
        </w:rPr>
        <w:t>、2.50亿m</w:t>
      </w:r>
      <w:r>
        <w:rPr>
          <w:sz w:val="24"/>
          <w:vertAlign w:val="superscript"/>
        </w:rPr>
        <w:t>3</w:t>
      </w:r>
      <w:r>
        <w:rPr>
          <w:rFonts w:hint="eastAsia"/>
          <w:sz w:val="24"/>
        </w:rPr>
        <w:t>和</w:t>
      </w:r>
      <w:r>
        <w:rPr>
          <w:sz w:val="24"/>
        </w:rPr>
        <w:t>2.17亿m</w:t>
      </w:r>
      <w:r>
        <w:rPr>
          <w:sz w:val="24"/>
          <w:vertAlign w:val="superscript"/>
        </w:rPr>
        <w:t>3</w:t>
      </w:r>
      <w:r>
        <w:rPr>
          <w:rFonts w:hint="eastAsia"/>
          <w:sz w:val="24"/>
        </w:rPr>
        <w:t>。</w:t>
      </w:r>
    </w:p>
    <w:p>
      <w:pPr>
        <w:adjustRightInd w:val="0"/>
        <w:snapToGrid w:val="0"/>
        <w:spacing w:line="360" w:lineRule="auto"/>
        <w:rPr>
          <w:color w:val="FF0000"/>
          <w:sz w:val="24"/>
        </w:rPr>
      </w:pPr>
    </w:p>
    <w:p>
      <w:pPr>
        <w:adjustRightInd w:val="0"/>
        <w:snapToGrid w:val="0"/>
        <w:spacing w:line="360" w:lineRule="auto"/>
        <w:ind w:firstLine="1800" w:firstLineChars="900"/>
        <w:jc w:val="right"/>
        <w:rPr>
          <w:color w:val="FF0000"/>
        </w:rPr>
        <w:sectPr>
          <w:pgSz w:w="11906" w:h="16838"/>
          <w:pgMar w:top="1588" w:right="1588" w:bottom="1474" w:left="1701" w:header="851" w:footer="992" w:gutter="0"/>
          <w:cols w:space="425" w:num="1"/>
          <w:docGrid w:type="linesAndChars" w:linePitch="312" w:charSpace="0"/>
        </w:sectPr>
      </w:pPr>
    </w:p>
    <w:p>
      <w:pPr>
        <w:adjustRightInd w:val="0"/>
        <w:snapToGrid w:val="0"/>
        <w:spacing w:line="360" w:lineRule="auto"/>
        <w:ind w:firstLine="2160" w:firstLineChars="900"/>
        <w:jc w:val="right"/>
        <w:rPr>
          <w:sz w:val="32"/>
        </w:rPr>
      </w:pPr>
      <w:r>
        <w:rPr>
          <w:rFonts w:hAnsi="宋体"/>
          <w:b/>
          <w:sz w:val="24"/>
          <w:szCs w:val="24"/>
        </w:rPr>
        <w:t>表4.3</w:t>
      </w:r>
      <w:r>
        <w:rPr>
          <w:rFonts w:hint="eastAsia" w:hAnsi="宋体"/>
          <w:b/>
          <w:sz w:val="24"/>
          <w:szCs w:val="24"/>
        </w:rPr>
        <w:t>.</w:t>
      </w:r>
      <w:r>
        <w:rPr>
          <w:rFonts w:hAnsi="宋体"/>
          <w:b/>
          <w:sz w:val="24"/>
          <w:szCs w:val="24"/>
        </w:rPr>
        <w:t>1</w:t>
      </w:r>
      <w:r>
        <w:rPr>
          <w:rFonts w:hint="eastAsia" w:hAnsi="宋体"/>
          <w:b/>
          <w:sz w:val="24"/>
          <w:szCs w:val="24"/>
        </w:rPr>
        <w:t xml:space="preserve">  </w:t>
      </w:r>
      <w:r>
        <w:rPr>
          <w:rFonts w:hAnsi="宋体"/>
          <w:b/>
          <w:sz w:val="24"/>
          <w:szCs w:val="24"/>
        </w:rPr>
        <w:t>六安市规划2025水平年需水量</w:t>
      </w:r>
      <w:r>
        <w:t xml:space="preserve">                               </w:t>
      </w:r>
      <w:r>
        <w:rPr>
          <w:sz w:val="18"/>
          <w:szCs w:val="18"/>
        </w:rPr>
        <w:t>单位：万m</w:t>
      </w:r>
      <w:r>
        <w:rPr>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1199"/>
        <w:gridCol w:w="1059"/>
        <w:gridCol w:w="1313"/>
        <w:gridCol w:w="978"/>
        <w:gridCol w:w="978"/>
        <w:gridCol w:w="978"/>
        <w:gridCol w:w="978"/>
        <w:gridCol w:w="868"/>
        <w:gridCol w:w="864"/>
        <w:gridCol w:w="865"/>
        <w:gridCol w:w="978"/>
        <w:gridCol w:w="978"/>
        <w:gridCol w:w="978"/>
        <w:gridCol w:w="978"/>
      </w:tblGrid>
      <w:tr>
        <w:tblPrEx>
          <w:tblCellMar>
            <w:top w:w="0" w:type="dxa"/>
            <w:left w:w="108" w:type="dxa"/>
            <w:bottom w:w="0" w:type="dxa"/>
            <w:right w:w="108" w:type="dxa"/>
          </w:tblCellMar>
        </w:tblPrEx>
        <w:trPr>
          <w:trHeight w:val="425"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10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四级区</w:t>
            </w:r>
          </w:p>
        </w:tc>
        <w:tc>
          <w:tcPr>
            <w:tcW w:w="38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8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总需水量</w:t>
            </w:r>
          </w:p>
        </w:tc>
      </w:tr>
      <w:tr>
        <w:tblPrEx>
          <w:tblCellMar>
            <w:top w:w="0" w:type="dxa"/>
            <w:left w:w="108" w:type="dxa"/>
            <w:bottom w:w="0" w:type="dxa"/>
            <w:right w:w="108" w:type="dxa"/>
          </w:tblCellMar>
        </w:tblPrEx>
        <w:trPr>
          <w:trHeight w:val="425"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P=50%</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P=80%</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P=95%</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P=50%</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P=80%</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P=95%</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r>
      <w:tr>
        <w:tblPrEx>
          <w:tblCellMar>
            <w:top w:w="0" w:type="dxa"/>
            <w:left w:w="108" w:type="dxa"/>
            <w:bottom w:w="0" w:type="dxa"/>
            <w:right w:w="108" w:type="dxa"/>
          </w:tblCellMar>
        </w:tblPrEx>
        <w:trPr>
          <w:trHeight w:val="425" w:hRule="atLeast"/>
          <w:jc w:val="center"/>
        </w:trPr>
        <w:tc>
          <w:tcPr>
            <w:tcW w:w="11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淮河</w:t>
            </w:r>
          </w:p>
        </w:tc>
        <w:tc>
          <w:tcPr>
            <w:tcW w:w="1042"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12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26186</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37033</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47082</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28186</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5212</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4297</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495</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36190</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47037</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57086</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38190</w:t>
            </w:r>
          </w:p>
        </w:tc>
      </w:tr>
      <w:tr>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123117</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174993</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225371</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132035</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11100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16332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6072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156621</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208497</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258875</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165539</w:t>
            </w:r>
          </w:p>
        </w:tc>
      </w:tr>
      <w:tr>
        <w:tblPrEx>
          <w:tblCellMar>
            <w:top w:w="0" w:type="dxa"/>
            <w:left w:w="108" w:type="dxa"/>
            <w:bottom w:w="0" w:type="dxa"/>
            <w:right w:w="108" w:type="dxa"/>
          </w:tblCellMar>
        </w:tblPrEx>
        <w:trPr>
          <w:trHeight w:val="425"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长江</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37770</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53550</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68320</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42964</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4477</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5819</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1083</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49149</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64929</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79699</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54343</w:t>
            </w:r>
          </w:p>
        </w:tc>
      </w:tr>
      <w:tr>
        <w:tblPrEx>
          <w:tblCellMar>
            <w:top w:w="0" w:type="dxa"/>
            <w:left w:w="108" w:type="dxa"/>
            <w:bottom w:w="0" w:type="dxa"/>
            <w:right w:w="108" w:type="dxa"/>
          </w:tblCellMar>
        </w:tblPrEx>
        <w:trPr>
          <w:trHeight w:val="425" w:hRule="atLeast"/>
          <w:jc w:val="center"/>
        </w:trPr>
        <w:tc>
          <w:tcPr>
            <w:tcW w:w="35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187073</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265576</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340773</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203185</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20789</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26448</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7650</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241960</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320463</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395660</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258072</w:t>
            </w:r>
          </w:p>
        </w:tc>
      </w:tr>
      <w:tr>
        <w:tblPrEx>
          <w:tblCellMar>
            <w:top w:w="0" w:type="dxa"/>
            <w:left w:w="108" w:type="dxa"/>
            <w:bottom w:w="0" w:type="dxa"/>
            <w:right w:w="108" w:type="dxa"/>
          </w:tblCellMar>
        </w:tblPrEx>
        <w:trPr>
          <w:trHeight w:val="425" w:hRule="atLeast"/>
          <w:jc w:val="center"/>
        </w:trPr>
        <w:tc>
          <w:tcPr>
            <w:tcW w:w="11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金安区</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31946</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45821</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58640</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34518</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3091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5612</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2648</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43297</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57172</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69991</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45869</w:t>
            </w:r>
          </w:p>
        </w:tc>
      </w:tr>
      <w:tr>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裕安区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24171</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34772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44347</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26192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2624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6068</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2235</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35098</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45699</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55274</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37119</w:t>
            </w:r>
          </w:p>
        </w:tc>
      </w:tr>
      <w:tr>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叶集区</w:t>
            </w:r>
          </w:p>
        </w:tc>
        <w:tc>
          <w:tcPr>
            <w:tcW w:w="9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10584</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15004</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19382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11321</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1212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1374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13362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17782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22160</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14099</w:t>
            </w:r>
          </w:p>
        </w:tc>
      </w:tr>
      <w:tr>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霍邱县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71613</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101329</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131118</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76460</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3346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5001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274</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80234</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109950</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139739</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85081</w:t>
            </w:r>
          </w:p>
        </w:tc>
      </w:tr>
      <w:tr>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舒城县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25026</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35174</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44740</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29176</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4201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3899</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1083</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34209</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44357</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53923</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38359</w:t>
            </w:r>
          </w:p>
        </w:tc>
      </w:tr>
      <w:tr>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金寨县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13471</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18885</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24112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14410</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2748</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723</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18957</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24371</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29598</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19896</w:t>
            </w:r>
          </w:p>
        </w:tc>
      </w:tr>
      <w:tr>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霍山县</w:t>
            </w:r>
          </w:p>
        </w:tc>
        <w:tc>
          <w:tcPr>
            <w:tcW w:w="9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10262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14591</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18434</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11108</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4300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1746</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495</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16803</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21132</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24975</w:t>
            </w:r>
          </w:p>
        </w:tc>
        <w:tc>
          <w:tcPr>
            <w:tcW w:w="96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17649</w:t>
            </w:r>
          </w:p>
        </w:tc>
      </w:tr>
      <w:tr>
        <w:tblPrEx>
          <w:tblCellMar>
            <w:top w:w="0" w:type="dxa"/>
            <w:left w:w="108" w:type="dxa"/>
            <w:bottom w:w="0" w:type="dxa"/>
            <w:right w:w="108" w:type="dxa"/>
          </w:tblCellMar>
        </w:tblPrEx>
        <w:trPr>
          <w:trHeight w:val="425" w:hRule="atLeast"/>
          <w:jc w:val="center"/>
        </w:trPr>
        <w:tc>
          <w:tcPr>
            <w:tcW w:w="11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187073</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265576</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340773</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203185</w:t>
            </w:r>
          </w:p>
        </w:tc>
        <w:tc>
          <w:tcPr>
            <w:tcW w:w="854"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20789</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26448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7650</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241960</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320463</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395660</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258072</w:t>
            </w:r>
          </w:p>
        </w:tc>
      </w:tr>
    </w:tbl>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ind w:firstLine="2160" w:firstLineChars="900"/>
        <w:jc w:val="right"/>
      </w:pPr>
      <w:r>
        <w:rPr>
          <w:rFonts w:hAnsi="宋体"/>
          <w:b/>
          <w:sz w:val="24"/>
          <w:szCs w:val="24"/>
        </w:rPr>
        <w:t>表4.3</w:t>
      </w:r>
      <w:r>
        <w:rPr>
          <w:rFonts w:hint="eastAsia" w:hAnsi="宋体"/>
          <w:b/>
          <w:sz w:val="24"/>
          <w:szCs w:val="24"/>
        </w:rPr>
        <w:t>.</w:t>
      </w:r>
      <w:r>
        <w:rPr>
          <w:rFonts w:hAnsi="宋体"/>
          <w:b/>
          <w:sz w:val="24"/>
          <w:szCs w:val="24"/>
        </w:rPr>
        <w:t>2</w:t>
      </w:r>
      <w:r>
        <w:rPr>
          <w:rFonts w:hint="eastAsia" w:hAnsi="宋体"/>
          <w:b/>
          <w:sz w:val="24"/>
          <w:szCs w:val="24"/>
        </w:rPr>
        <w:t xml:space="preserve">  </w:t>
      </w:r>
      <w:r>
        <w:rPr>
          <w:rFonts w:hAnsi="宋体"/>
          <w:b/>
          <w:sz w:val="24"/>
          <w:szCs w:val="24"/>
        </w:rPr>
        <w:t>六安市规划2030水平年需水量</w:t>
      </w:r>
      <w:r>
        <w:t xml:space="preserve">                              </w:t>
      </w:r>
      <w:r>
        <w:rPr>
          <w:sz w:val="21"/>
          <w:szCs w:val="21"/>
        </w:rPr>
        <w:t xml:space="preserve"> </w:t>
      </w:r>
      <w:r>
        <w:rPr>
          <w:sz w:val="18"/>
          <w:szCs w:val="21"/>
        </w:rPr>
        <w:t>单位：万m</w:t>
      </w:r>
      <w:r>
        <w:rPr>
          <w:sz w:val="18"/>
          <w:szCs w:val="21"/>
          <w:vertAlign w:val="superscript"/>
        </w:rPr>
        <w:t>3</w:t>
      </w:r>
    </w:p>
    <w:tbl>
      <w:tblPr>
        <w:tblStyle w:val="36"/>
        <w:tblW w:w="5000" w:type="pct"/>
        <w:jc w:val="center"/>
        <w:tblLayout w:type="autofit"/>
        <w:tblCellMar>
          <w:top w:w="0" w:type="dxa"/>
          <w:left w:w="108" w:type="dxa"/>
          <w:bottom w:w="0" w:type="dxa"/>
          <w:right w:w="108" w:type="dxa"/>
        </w:tblCellMar>
      </w:tblPr>
      <w:tblGrid>
        <w:gridCol w:w="1174"/>
        <w:gridCol w:w="1037"/>
        <w:gridCol w:w="1285"/>
        <w:gridCol w:w="958"/>
        <w:gridCol w:w="958"/>
        <w:gridCol w:w="958"/>
        <w:gridCol w:w="958"/>
        <w:gridCol w:w="992"/>
        <w:gridCol w:w="988"/>
        <w:gridCol w:w="849"/>
        <w:gridCol w:w="958"/>
        <w:gridCol w:w="959"/>
        <w:gridCol w:w="959"/>
        <w:gridCol w:w="959"/>
      </w:tblGrid>
      <w:tr>
        <w:tblPrEx>
          <w:tblCellMar>
            <w:top w:w="0" w:type="dxa"/>
            <w:left w:w="108" w:type="dxa"/>
            <w:bottom w:w="0" w:type="dxa"/>
            <w:right w:w="108" w:type="dxa"/>
          </w:tblCellMar>
        </w:tblPrEx>
        <w:trPr>
          <w:trHeight w:val="425" w:hRule="atLeast"/>
          <w:jc w:val="center"/>
        </w:trPr>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三级区</w:t>
            </w:r>
          </w:p>
        </w:tc>
        <w:tc>
          <w:tcPr>
            <w:tcW w:w="1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四级区</w:t>
            </w:r>
          </w:p>
        </w:tc>
        <w:tc>
          <w:tcPr>
            <w:tcW w:w="377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9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河道外生态环境</w:t>
            </w:r>
          </w:p>
        </w:tc>
        <w:tc>
          <w:tcPr>
            <w:tcW w:w="377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总需水量</w:t>
            </w:r>
          </w:p>
        </w:tc>
      </w:tr>
      <w:tr>
        <w:tblPrEx>
          <w:tblCellMar>
            <w:top w:w="0" w:type="dxa"/>
            <w:left w:w="108" w:type="dxa"/>
            <w:bottom w:w="0" w:type="dxa"/>
            <w:right w:w="108" w:type="dxa"/>
          </w:tblCellMar>
        </w:tblPrEx>
        <w:trPr>
          <w:trHeight w:val="425" w:hRule="atLeast"/>
          <w:jc w:val="center"/>
        </w:trPr>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P=50%</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P=80%</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P=95%</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P=50%</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kern w:val="0"/>
                <w:sz w:val="18"/>
                <w:szCs w:val="18"/>
              </w:rPr>
              <w:t>P=80%</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 w:val="18"/>
                <w:szCs w:val="18"/>
              </w:rPr>
            </w:pPr>
            <w:r>
              <w:rPr>
                <w:rFonts w:eastAsia="等线"/>
                <w:kern w:val="0"/>
                <w:sz w:val="18"/>
                <w:szCs w:val="18"/>
              </w:rPr>
              <w:t>P=95%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r>
      <w:tr>
        <w:tblPrEx>
          <w:tblCellMar>
            <w:top w:w="0" w:type="dxa"/>
            <w:left w:w="108" w:type="dxa"/>
            <w:bottom w:w="0" w:type="dxa"/>
            <w:right w:w="108" w:type="dxa"/>
          </w:tblCellMar>
        </w:tblPrEx>
        <w:trPr>
          <w:trHeight w:val="425" w:hRule="atLeast"/>
          <w:jc w:val="center"/>
        </w:trPr>
        <w:tc>
          <w:tcPr>
            <w:tcW w:w="11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淮河</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王蚌区间</w:t>
            </w:r>
          </w:p>
        </w:tc>
        <w:tc>
          <w:tcPr>
            <w:tcW w:w="12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25678</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36870</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46837</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27774</w:t>
            </w:r>
          </w:p>
        </w:tc>
        <w:tc>
          <w:tcPr>
            <w:tcW w:w="9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5716</w:t>
            </w:r>
          </w:p>
        </w:tc>
        <w:tc>
          <w:tcPr>
            <w:tcW w:w="9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4924</w:t>
            </w:r>
          </w:p>
        </w:tc>
        <w:tc>
          <w:tcPr>
            <w:tcW w:w="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36873</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48065</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58032</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38969</w:t>
            </w:r>
          </w:p>
        </w:tc>
      </w:tr>
      <w:tr>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南岸</w:t>
            </w:r>
          </w:p>
        </w:tc>
        <w:tc>
          <w:tcPr>
            <w:tcW w:w="12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117874</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170267</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218680</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127029</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12157</w:t>
            </w:r>
          </w:p>
        </w:tc>
        <w:tc>
          <w:tcPr>
            <w:tcW w:w="9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18875</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6597</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155503</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207896</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256309</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164658</w:t>
            </w:r>
          </w:p>
        </w:tc>
      </w:tr>
      <w:tr>
        <w:tblPrEx>
          <w:tblCellMar>
            <w:top w:w="0" w:type="dxa"/>
            <w:left w:w="108" w:type="dxa"/>
            <w:bottom w:w="0" w:type="dxa"/>
            <w:right w:w="108" w:type="dxa"/>
          </w:tblCellMar>
        </w:tblPrEx>
        <w:trPr>
          <w:trHeight w:val="425"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长江</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1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36086</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51999</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66201</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40542</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4904</w:t>
            </w:r>
          </w:p>
        </w:tc>
        <w:tc>
          <w:tcPr>
            <w:tcW w:w="9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6687</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48902</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64815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79017</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53358</w:t>
            </w:r>
          </w:p>
        </w:tc>
      </w:tr>
      <w:tr>
        <w:tblPrEx>
          <w:tblCellMar>
            <w:top w:w="0" w:type="dxa"/>
            <w:left w:w="108" w:type="dxa"/>
            <w:bottom w:w="0" w:type="dxa"/>
            <w:right w:w="108" w:type="dxa"/>
          </w:tblCellMar>
        </w:tblPrEx>
        <w:trPr>
          <w:trHeight w:val="425" w:hRule="atLeast"/>
          <w:jc w:val="center"/>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179638</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259136</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331718</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195345</w:t>
            </w:r>
          </w:p>
        </w:tc>
        <w:tc>
          <w:tcPr>
            <w:tcW w:w="9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22777</w:t>
            </w:r>
          </w:p>
        </w:tc>
        <w:tc>
          <w:tcPr>
            <w:tcW w:w="9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30486</w:t>
            </w:r>
          </w:p>
        </w:tc>
        <w:tc>
          <w:tcPr>
            <w:tcW w:w="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8377</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241278</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320776</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393358</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kern w:val="0"/>
                <w:sz w:val="18"/>
                <w:szCs w:val="18"/>
              </w:rPr>
            </w:pPr>
            <w:r>
              <w:rPr>
                <w:rFonts w:eastAsia="等线"/>
                <w:b/>
                <w:bCs/>
                <w:sz w:val="18"/>
                <w:szCs w:val="18"/>
              </w:rPr>
              <w:t>256985</w:t>
            </w:r>
          </w:p>
        </w:tc>
      </w:tr>
      <w:tr>
        <w:tblPrEx>
          <w:tblCellMar>
            <w:top w:w="0" w:type="dxa"/>
            <w:left w:w="108" w:type="dxa"/>
            <w:bottom w:w="0" w:type="dxa"/>
            <w:right w:w="108" w:type="dxa"/>
          </w:tblCellMar>
        </w:tblPrEx>
        <w:trPr>
          <w:trHeight w:val="425" w:hRule="atLeast"/>
          <w:jc w:val="center"/>
        </w:trPr>
        <w:tc>
          <w:tcPr>
            <w:tcW w:w="11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行政分区</w:t>
            </w: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金安区</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30476</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44497</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56844</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33143</w:t>
            </w:r>
          </w:p>
        </w:tc>
        <w:tc>
          <w:tcPr>
            <w:tcW w:w="9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3387</w:t>
            </w:r>
          </w:p>
        </w:tc>
        <w:tc>
          <w:tcPr>
            <w:tcW w:w="9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6325</w:t>
            </w:r>
          </w:p>
        </w:tc>
        <w:tc>
          <w:tcPr>
            <w:tcW w:w="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2856</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43044</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57065</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69412</w:t>
            </w:r>
          </w:p>
        </w:tc>
        <w:tc>
          <w:tcPr>
            <w:tcW w:w="9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45711</w:t>
            </w:r>
          </w:p>
        </w:tc>
      </w:tr>
      <w:tr>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裕安区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23130</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33885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43155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25241</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2876</w:t>
            </w:r>
          </w:p>
        </w:tc>
        <w:tc>
          <w:tcPr>
            <w:tcW w:w="9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7092</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2382</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35480</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46235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55505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37591</w:t>
            </w:r>
          </w:p>
        </w:tc>
      </w:tr>
      <w:tr>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叶集区</w:t>
            </w:r>
          </w:p>
        </w:tc>
        <w:tc>
          <w:tcPr>
            <w:tcW w:w="9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10146</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14612</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18819</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10900</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1327</w:t>
            </w:r>
          </w:p>
        </w:tc>
        <w:tc>
          <w:tcPr>
            <w:tcW w:w="9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1559</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230</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13262</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17728</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21935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14016</w:t>
            </w:r>
          </w:p>
        </w:tc>
      </w:tr>
      <w:tr>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霍邱县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68709</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98724</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127314</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73653</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3667</w:t>
            </w:r>
          </w:p>
        </w:tc>
        <w:tc>
          <w:tcPr>
            <w:tcW w:w="9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5771</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329</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78476</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108491</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137081</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83420</w:t>
            </w:r>
          </w:p>
        </w:tc>
      </w:tr>
      <w:tr>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舒城县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23945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34166</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43356</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27318</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4603</w:t>
            </w:r>
          </w:p>
        </w:tc>
        <w:tc>
          <w:tcPr>
            <w:tcW w:w="9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4534</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34307</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44528</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53718</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37680</w:t>
            </w:r>
          </w:p>
        </w:tc>
      </w:tr>
      <w:tr>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金寨县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13244</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18809</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23991</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14208</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2207</w:t>
            </w:r>
          </w:p>
        </w:tc>
        <w:tc>
          <w:tcPr>
            <w:tcW w:w="9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3208</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19459</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25024</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30206</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20423</w:t>
            </w:r>
          </w:p>
        </w:tc>
      </w:tr>
      <w:tr>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霍山县</w:t>
            </w:r>
          </w:p>
        </w:tc>
        <w:tc>
          <w:tcPr>
            <w:tcW w:w="9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9988</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14443</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18239</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10882</w:t>
            </w:r>
          </w:p>
        </w:tc>
        <w:tc>
          <w:tcPr>
            <w:tcW w:w="97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4710</w:t>
            </w:r>
          </w:p>
        </w:tc>
        <w:tc>
          <w:tcPr>
            <w:tcW w:w="97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1997</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17250</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21705</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25501</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18144</w:t>
            </w:r>
          </w:p>
        </w:tc>
      </w:tr>
      <w:tr>
        <w:tblPrEx>
          <w:tblCellMar>
            <w:top w:w="0" w:type="dxa"/>
            <w:left w:w="108" w:type="dxa"/>
            <w:bottom w:w="0" w:type="dxa"/>
            <w:right w:w="108" w:type="dxa"/>
          </w:tblCellMar>
        </w:tblPrEx>
        <w:trPr>
          <w:trHeight w:val="425" w:hRule="atLeast"/>
          <w:jc w:val="center"/>
        </w:trPr>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9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179638</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259136</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331718</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195345</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22777</w:t>
            </w:r>
          </w:p>
        </w:tc>
        <w:tc>
          <w:tcPr>
            <w:tcW w:w="972"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30486</w:t>
            </w:r>
          </w:p>
        </w:tc>
        <w:tc>
          <w:tcPr>
            <w:tcW w:w="835"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8377</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241278</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320776</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393358</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eastAsia="等线"/>
                <w:b/>
                <w:bCs/>
                <w:kern w:val="0"/>
                <w:sz w:val="18"/>
                <w:szCs w:val="18"/>
              </w:rPr>
            </w:pPr>
            <w:r>
              <w:rPr>
                <w:rFonts w:eastAsia="等线"/>
                <w:b/>
                <w:bCs/>
                <w:sz w:val="18"/>
                <w:szCs w:val="18"/>
              </w:rPr>
              <w:t>256985</w:t>
            </w:r>
          </w:p>
        </w:tc>
      </w:tr>
    </w:tbl>
    <w:p>
      <w:pPr>
        <w:adjustRightInd w:val="0"/>
        <w:snapToGrid w:val="0"/>
        <w:spacing w:line="360" w:lineRule="auto"/>
        <w:rPr>
          <w:color w:val="FF0000"/>
          <w:sz w:val="24"/>
        </w:rPr>
      </w:pPr>
    </w:p>
    <w:p>
      <w:pPr>
        <w:adjustRightInd w:val="0"/>
        <w:snapToGrid w:val="0"/>
        <w:spacing w:line="360" w:lineRule="auto"/>
        <w:rPr>
          <w:color w:val="FF0000"/>
          <w:sz w:val="24"/>
        </w:rPr>
      </w:pPr>
    </w:p>
    <w:p>
      <w:pPr>
        <w:pStyle w:val="3"/>
        <w:adjustRightInd w:val="0"/>
        <w:snapToGrid w:val="0"/>
        <w:spacing w:before="312" w:beforeLines="100" w:after="312" w:afterLines="100" w:line="360" w:lineRule="auto"/>
        <w:jc w:val="center"/>
        <w:rPr>
          <w:rFonts w:ascii="Times New Roman" w:hAnsi="Times New Roman"/>
          <w:b w:val="0"/>
          <w:bCs w:val="0"/>
          <w:color w:val="FF0000"/>
          <w:sz w:val="30"/>
        </w:rPr>
        <w:sectPr>
          <w:pgSz w:w="16838" w:h="11906" w:orient="landscape"/>
          <w:pgMar w:top="1701" w:right="1588" w:bottom="1588" w:left="1474" w:header="851" w:footer="992" w:gutter="0"/>
          <w:cols w:space="425" w:num="1"/>
          <w:docGrid w:type="linesAndChars" w:linePitch="312" w:charSpace="0"/>
        </w:sectPr>
      </w:pPr>
      <w:bookmarkStart w:id="289" w:name="_Toc382472223"/>
      <w:bookmarkStart w:id="290" w:name="_Toc306734675"/>
    </w:p>
    <w:p>
      <w:pPr>
        <w:keepNext/>
        <w:keepLines/>
        <w:adjustRightInd w:val="0"/>
        <w:snapToGrid w:val="0"/>
        <w:spacing w:before="312" w:beforeLines="100" w:after="312" w:afterLines="100" w:line="360" w:lineRule="auto"/>
        <w:jc w:val="center"/>
        <w:outlineLvl w:val="1"/>
        <w:rPr>
          <w:b/>
          <w:bCs/>
          <w:sz w:val="32"/>
          <w:szCs w:val="36"/>
        </w:rPr>
      </w:pPr>
      <w:bookmarkStart w:id="291" w:name="_Toc432782551"/>
      <w:bookmarkStart w:id="292" w:name="_Toc95382487"/>
      <w:r>
        <w:rPr>
          <w:b/>
          <w:bCs/>
          <w:sz w:val="32"/>
          <w:szCs w:val="36"/>
        </w:rPr>
        <w:t>第四节 需水成果合理性分析</w:t>
      </w:r>
      <w:bookmarkEnd w:id="289"/>
      <w:bookmarkEnd w:id="290"/>
      <w:bookmarkEnd w:id="291"/>
      <w:bookmarkEnd w:id="292"/>
    </w:p>
    <w:p>
      <w:pPr>
        <w:spacing w:line="420" w:lineRule="exact"/>
        <w:ind w:firstLine="480"/>
        <w:rPr>
          <w:sz w:val="24"/>
        </w:rPr>
      </w:pPr>
      <w:r>
        <w:rPr>
          <w:sz w:val="24"/>
        </w:rPr>
        <w:t>为了保证需水预测成果具有现实可行性，本次选取多年的需水方案作为代表，对预测成果进行合理性分析。</w:t>
      </w:r>
    </w:p>
    <w:p>
      <w:pPr>
        <w:pStyle w:val="4"/>
        <w:spacing w:before="156" w:beforeLines="50" w:after="156" w:afterLines="50"/>
        <w:rPr>
          <w:b w:val="0"/>
          <w:bCs w:val="0"/>
          <w:sz w:val="28"/>
        </w:rPr>
      </w:pPr>
      <w:bookmarkStart w:id="293" w:name="_Toc306734676"/>
      <w:bookmarkStart w:id="294" w:name="_Toc382472224"/>
      <w:bookmarkStart w:id="295" w:name="_Toc432782552"/>
      <w:bookmarkStart w:id="296" w:name="_Toc95382488"/>
      <w:r>
        <w:rPr>
          <w:sz w:val="28"/>
        </w:rPr>
        <w:t>一、增长趋势分析</w:t>
      </w:r>
      <w:bookmarkEnd w:id="293"/>
      <w:bookmarkEnd w:id="294"/>
      <w:bookmarkEnd w:id="295"/>
      <w:bookmarkEnd w:id="296"/>
    </w:p>
    <w:p>
      <w:pPr>
        <w:adjustRightInd w:val="0"/>
        <w:snapToGrid w:val="0"/>
        <w:spacing w:line="360" w:lineRule="auto"/>
        <w:ind w:firstLine="482"/>
        <w:rPr>
          <w:sz w:val="24"/>
        </w:rPr>
      </w:pPr>
      <w:bookmarkStart w:id="297" w:name="_Toc306734677"/>
      <w:r>
        <w:rPr>
          <w:sz w:val="24"/>
        </w:rPr>
        <w:t>根据本章水资源预测成果现状</w:t>
      </w:r>
      <w:r>
        <w:rPr>
          <w:rFonts w:hint="eastAsia"/>
          <w:sz w:val="24"/>
        </w:rPr>
        <w:t>2</w:t>
      </w:r>
      <w:r>
        <w:rPr>
          <w:sz w:val="24"/>
        </w:rPr>
        <w:t>020年</w:t>
      </w:r>
      <w:r>
        <w:rPr>
          <w:rFonts w:hint="eastAsia"/>
          <w:sz w:val="24"/>
        </w:rPr>
        <w:t>多年平均</w:t>
      </w:r>
      <w:r>
        <w:rPr>
          <w:sz w:val="24"/>
        </w:rPr>
        <w:t>需水量为26.21</w:t>
      </w:r>
      <w:r>
        <w:rPr>
          <w:rFonts w:hint="eastAsia"/>
          <w:sz w:val="24"/>
        </w:rPr>
        <w:t>亿</w:t>
      </w:r>
      <w:r>
        <w:rPr>
          <w:sz w:val="24"/>
        </w:rPr>
        <w:t>m</w:t>
      </w:r>
      <w:r>
        <w:rPr>
          <w:sz w:val="24"/>
          <w:vertAlign w:val="superscript"/>
        </w:rPr>
        <w:t>3</w:t>
      </w:r>
      <w:r>
        <w:rPr>
          <w:sz w:val="24"/>
        </w:rPr>
        <w:t>，规划2025水量年</w:t>
      </w:r>
      <w:r>
        <w:rPr>
          <w:rFonts w:hint="eastAsia"/>
          <w:sz w:val="24"/>
        </w:rPr>
        <w:t>多年平均</w:t>
      </w:r>
      <w:r>
        <w:rPr>
          <w:sz w:val="24"/>
        </w:rPr>
        <w:t>需水总量为25.81亿m</w:t>
      </w:r>
      <w:r>
        <w:rPr>
          <w:sz w:val="24"/>
          <w:vertAlign w:val="superscript"/>
        </w:rPr>
        <w:t>3</w:t>
      </w:r>
      <w:r>
        <w:rPr>
          <w:sz w:val="24"/>
        </w:rPr>
        <w:t>，2020～2025年</w:t>
      </w:r>
      <w:r>
        <w:rPr>
          <w:rFonts w:hint="eastAsia"/>
          <w:sz w:val="24"/>
        </w:rPr>
        <w:t>全市需水量</w:t>
      </w:r>
      <w:r>
        <w:rPr>
          <w:sz w:val="24"/>
        </w:rPr>
        <w:t>增长</w:t>
      </w:r>
      <w:r>
        <w:rPr>
          <w:rFonts w:hint="eastAsia"/>
          <w:sz w:val="24"/>
        </w:rPr>
        <w:t>率</w:t>
      </w:r>
      <w:r>
        <w:rPr>
          <w:sz w:val="24"/>
        </w:rPr>
        <w:t>为</w:t>
      </w:r>
      <w:r>
        <w:rPr>
          <w:rFonts w:hint="eastAsia"/>
          <w:sz w:val="24"/>
        </w:rPr>
        <w:t>-</w:t>
      </w:r>
      <w:r>
        <w:rPr>
          <w:sz w:val="24"/>
        </w:rPr>
        <w:t>0.31%；规划2030水平年需水总量为25.70</w:t>
      </w:r>
      <w:r>
        <w:rPr>
          <w:rFonts w:hint="eastAsia"/>
          <w:sz w:val="24"/>
        </w:rPr>
        <w:t>亿</w:t>
      </w:r>
      <w:r>
        <w:rPr>
          <w:sz w:val="24"/>
        </w:rPr>
        <w:t>m</w:t>
      </w:r>
      <w:r>
        <w:rPr>
          <w:sz w:val="24"/>
          <w:vertAlign w:val="superscript"/>
        </w:rPr>
        <w:t>3</w:t>
      </w:r>
      <w:r>
        <w:rPr>
          <w:sz w:val="24"/>
        </w:rPr>
        <w:t>，20</w:t>
      </w:r>
      <w:r>
        <w:rPr>
          <w:rFonts w:hint="eastAsia"/>
          <w:sz w:val="24"/>
        </w:rPr>
        <w:t>2</w:t>
      </w:r>
      <w:r>
        <w:rPr>
          <w:sz w:val="24"/>
        </w:rPr>
        <w:t>5～20</w:t>
      </w:r>
      <w:r>
        <w:rPr>
          <w:rFonts w:hint="eastAsia"/>
          <w:sz w:val="24"/>
        </w:rPr>
        <w:t>3</w:t>
      </w:r>
      <w:r>
        <w:rPr>
          <w:sz w:val="24"/>
        </w:rPr>
        <w:t>0年</w:t>
      </w:r>
      <w:r>
        <w:rPr>
          <w:rFonts w:hint="eastAsia"/>
          <w:sz w:val="24"/>
        </w:rPr>
        <w:t>全市需水量</w:t>
      </w:r>
      <w:r>
        <w:rPr>
          <w:sz w:val="24"/>
        </w:rPr>
        <w:t>增长</w:t>
      </w:r>
      <w:r>
        <w:rPr>
          <w:rFonts w:hint="eastAsia"/>
          <w:sz w:val="24"/>
        </w:rPr>
        <w:t>率</w:t>
      </w:r>
      <w:r>
        <w:rPr>
          <w:sz w:val="24"/>
        </w:rPr>
        <w:t>为</w:t>
      </w:r>
      <w:r>
        <w:rPr>
          <w:rFonts w:hint="eastAsia"/>
          <w:sz w:val="24"/>
        </w:rPr>
        <w:t>-</w:t>
      </w:r>
      <w:r>
        <w:rPr>
          <w:sz w:val="24"/>
        </w:rPr>
        <w:t>0.08%。</w:t>
      </w:r>
    </w:p>
    <w:p>
      <w:pPr>
        <w:adjustRightInd w:val="0"/>
        <w:snapToGrid w:val="0"/>
        <w:spacing w:line="360" w:lineRule="auto"/>
        <w:ind w:firstLine="482"/>
        <w:rPr>
          <w:sz w:val="24"/>
        </w:rPr>
      </w:pPr>
      <w:r>
        <w:rPr>
          <w:sz w:val="24"/>
        </w:rPr>
        <w:t>从需水</w:t>
      </w:r>
      <w:r>
        <w:rPr>
          <w:rFonts w:hint="eastAsia"/>
          <w:sz w:val="24"/>
        </w:rPr>
        <w:t>量预测</w:t>
      </w:r>
      <w:r>
        <w:rPr>
          <w:sz w:val="24"/>
        </w:rPr>
        <w:t>趋势来看，规划水平年全市的需水</w:t>
      </w:r>
      <w:r>
        <w:rPr>
          <w:rFonts w:hint="eastAsia"/>
          <w:sz w:val="24"/>
        </w:rPr>
        <w:t>量是逐步下降的</w:t>
      </w:r>
      <w:r>
        <w:rPr>
          <w:sz w:val="24"/>
        </w:rPr>
        <w:t>，</w:t>
      </w:r>
      <w:r>
        <w:rPr>
          <w:rFonts w:hint="eastAsia"/>
          <w:sz w:val="24"/>
        </w:rPr>
        <w:t>这与全市节水型社会建设的目标基本一致</w:t>
      </w:r>
      <w:r>
        <w:rPr>
          <w:sz w:val="24"/>
        </w:rPr>
        <w:t>，</w:t>
      </w:r>
      <w:r>
        <w:rPr>
          <w:rFonts w:hint="eastAsia"/>
          <w:sz w:val="24"/>
        </w:rPr>
        <w:t>下降趋势</w:t>
      </w:r>
      <w:r>
        <w:rPr>
          <w:sz w:val="24"/>
        </w:rPr>
        <w:t>也基本在合理范围内。</w:t>
      </w:r>
    </w:p>
    <w:p>
      <w:pPr>
        <w:pStyle w:val="4"/>
        <w:spacing w:before="156" w:beforeLines="50" w:after="156" w:afterLines="50"/>
        <w:rPr>
          <w:b w:val="0"/>
          <w:bCs w:val="0"/>
          <w:sz w:val="28"/>
        </w:rPr>
      </w:pPr>
      <w:bookmarkStart w:id="298" w:name="_Toc95382489"/>
      <w:bookmarkStart w:id="299" w:name="_Toc382472225"/>
      <w:bookmarkStart w:id="300" w:name="_Toc432782553"/>
      <w:r>
        <w:rPr>
          <w:sz w:val="28"/>
        </w:rPr>
        <w:t>二、需水结构变化</w:t>
      </w:r>
      <w:bookmarkEnd w:id="297"/>
      <w:bookmarkEnd w:id="298"/>
      <w:bookmarkEnd w:id="299"/>
      <w:bookmarkEnd w:id="300"/>
    </w:p>
    <w:p>
      <w:pPr>
        <w:adjustRightInd w:val="0"/>
        <w:snapToGrid w:val="0"/>
        <w:spacing w:line="360" w:lineRule="auto"/>
        <w:ind w:firstLine="480" w:firstLineChars="200"/>
        <w:rPr>
          <w:sz w:val="24"/>
        </w:rPr>
      </w:pPr>
      <w:r>
        <w:rPr>
          <w:sz w:val="24"/>
        </w:rPr>
        <w:t>根据对各水平年需水年的预测，可以得到不同水平年全市需水结构变化如下，详见表4.</w:t>
      </w:r>
      <w:r>
        <w:rPr>
          <w:rFonts w:hint="eastAsia"/>
          <w:sz w:val="24"/>
        </w:rPr>
        <w:t>4.</w:t>
      </w:r>
      <w:r>
        <w:rPr>
          <w:sz w:val="24"/>
        </w:rPr>
        <w:t>1。</w:t>
      </w:r>
    </w:p>
    <w:p>
      <w:pPr>
        <w:wordWrap w:val="0"/>
        <w:adjustRightInd w:val="0"/>
        <w:snapToGrid w:val="0"/>
        <w:spacing w:line="360" w:lineRule="auto"/>
        <w:jc w:val="right"/>
      </w:pPr>
      <w:r>
        <w:rPr>
          <w:rFonts w:hAnsi="宋体"/>
          <w:b/>
          <w:sz w:val="24"/>
          <w:szCs w:val="24"/>
        </w:rPr>
        <w:t>表</w:t>
      </w:r>
      <w:r>
        <w:rPr>
          <w:b/>
          <w:sz w:val="24"/>
          <w:szCs w:val="24"/>
        </w:rPr>
        <w:t xml:space="preserve">4.4.1  </w:t>
      </w:r>
      <w:r>
        <w:rPr>
          <w:rFonts w:hAnsi="宋体"/>
          <w:b/>
          <w:sz w:val="24"/>
          <w:szCs w:val="24"/>
        </w:rPr>
        <w:t>六安市不同水平年需水结构</w:t>
      </w:r>
      <w:r>
        <w:t xml:space="preserve"> </w:t>
      </w:r>
      <w:r>
        <w:rPr>
          <w:rFonts w:hint="eastAsia"/>
        </w:rPr>
        <w:t xml:space="preserve">        </w:t>
      </w:r>
      <w:r>
        <w:t xml:space="preserve">    </w:t>
      </w:r>
      <w:r>
        <w:rPr>
          <w:sz w:val="18"/>
          <w:szCs w:val="18"/>
        </w:rPr>
        <w:t>单位（%）</w:t>
      </w:r>
    </w:p>
    <w:tbl>
      <w:tblPr>
        <w:tblStyle w:val="36"/>
        <w:tblW w:w="8482" w:type="dxa"/>
        <w:jc w:val="center"/>
        <w:tblLayout w:type="autofit"/>
        <w:tblCellMar>
          <w:top w:w="0" w:type="dxa"/>
          <w:left w:w="108" w:type="dxa"/>
          <w:bottom w:w="0" w:type="dxa"/>
          <w:right w:w="108" w:type="dxa"/>
        </w:tblCellMar>
      </w:tblPr>
      <w:tblGrid>
        <w:gridCol w:w="1532"/>
        <w:gridCol w:w="1545"/>
        <w:gridCol w:w="1339"/>
        <w:gridCol w:w="1262"/>
        <w:gridCol w:w="1544"/>
        <w:gridCol w:w="1260"/>
      </w:tblGrid>
      <w:tr>
        <w:tblPrEx>
          <w:tblCellMar>
            <w:top w:w="0" w:type="dxa"/>
            <w:left w:w="108" w:type="dxa"/>
            <w:bottom w:w="0" w:type="dxa"/>
            <w:right w:w="108" w:type="dxa"/>
          </w:tblCellMar>
        </w:tblPrEx>
        <w:trPr>
          <w:trHeight w:val="397" w:hRule="exact"/>
          <w:jc w:val="center"/>
        </w:trPr>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r>
              <w:rPr>
                <w:rFonts w:hint="eastAsia"/>
                <w:sz w:val="18"/>
                <w:szCs w:val="18"/>
              </w:rPr>
              <w:t>水平年</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rFonts w:hint="eastAsia"/>
                <w:sz w:val="18"/>
                <w:szCs w:val="18"/>
              </w:rPr>
              <w:t>农业</w:t>
            </w:r>
          </w:p>
        </w:tc>
        <w:tc>
          <w:tcPr>
            <w:tcW w:w="13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rFonts w:hint="eastAsia"/>
                <w:sz w:val="18"/>
                <w:szCs w:val="18"/>
              </w:rPr>
              <w:t>工业</w:t>
            </w:r>
          </w:p>
        </w:tc>
        <w:tc>
          <w:tcPr>
            <w:tcW w:w="12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rFonts w:hint="eastAsia"/>
                <w:sz w:val="18"/>
                <w:szCs w:val="18"/>
              </w:rPr>
              <w:t>生活</w:t>
            </w:r>
          </w:p>
        </w:tc>
        <w:tc>
          <w:tcPr>
            <w:tcW w:w="15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rFonts w:hint="eastAsia"/>
                <w:sz w:val="18"/>
                <w:szCs w:val="18"/>
              </w:rPr>
              <w:t>河道外生态</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18"/>
                <w:szCs w:val="18"/>
              </w:rPr>
            </w:pPr>
            <w:r>
              <w:rPr>
                <w:rFonts w:hint="eastAsia"/>
                <w:sz w:val="18"/>
                <w:szCs w:val="18"/>
              </w:rPr>
              <w:t>合计</w:t>
            </w:r>
          </w:p>
        </w:tc>
      </w:tr>
      <w:tr>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eastAsia="等线"/>
                <w:sz w:val="18"/>
                <w:szCs w:val="18"/>
              </w:rPr>
              <w:t>2020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80.8</w:t>
            </w:r>
          </w:p>
        </w:tc>
        <w:tc>
          <w:tcPr>
            <w:tcW w:w="1339" w:type="dxa"/>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7.4</w:t>
            </w:r>
          </w:p>
        </w:tc>
        <w:tc>
          <w:tcPr>
            <w:tcW w:w="1262" w:type="dxa"/>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9.2</w:t>
            </w:r>
          </w:p>
        </w:tc>
        <w:tc>
          <w:tcPr>
            <w:tcW w:w="1544" w:type="dxa"/>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2.6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100</w:t>
            </w:r>
          </w:p>
        </w:tc>
      </w:tr>
      <w:tr>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eastAsia="等线"/>
                <w:sz w:val="18"/>
                <w:szCs w:val="18"/>
              </w:rPr>
              <w:t>2025</w:t>
            </w:r>
          </w:p>
        </w:tc>
        <w:tc>
          <w:tcPr>
            <w:tcW w:w="1545" w:type="dxa"/>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78.7</w:t>
            </w:r>
          </w:p>
        </w:tc>
        <w:tc>
          <w:tcPr>
            <w:tcW w:w="1339"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8.1</w:t>
            </w:r>
          </w:p>
        </w:tc>
        <w:tc>
          <w:tcPr>
            <w:tcW w:w="1262"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10.2</w:t>
            </w:r>
          </w:p>
        </w:tc>
        <w:tc>
          <w:tcPr>
            <w:tcW w:w="1544"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3.0</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100</w:t>
            </w:r>
          </w:p>
        </w:tc>
      </w:tr>
      <w:tr>
        <w:tblPrEx>
          <w:tblCellMar>
            <w:top w:w="0" w:type="dxa"/>
            <w:left w:w="108" w:type="dxa"/>
            <w:bottom w:w="0" w:type="dxa"/>
            <w:right w:w="108" w:type="dxa"/>
          </w:tblCellMar>
        </w:tblPrEx>
        <w:trPr>
          <w:trHeight w:val="397" w:hRule="exact"/>
          <w:jc w:val="center"/>
        </w:trPr>
        <w:tc>
          <w:tcPr>
            <w:tcW w:w="1532"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eastAsia="等线"/>
                <w:sz w:val="18"/>
                <w:szCs w:val="18"/>
              </w:rPr>
              <w:t>2030</w:t>
            </w:r>
          </w:p>
        </w:tc>
        <w:tc>
          <w:tcPr>
            <w:tcW w:w="1545" w:type="dxa"/>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76.0</w:t>
            </w:r>
          </w:p>
        </w:tc>
        <w:tc>
          <w:tcPr>
            <w:tcW w:w="1339"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8.9</w:t>
            </w:r>
          </w:p>
        </w:tc>
        <w:tc>
          <w:tcPr>
            <w:tcW w:w="1262"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11.9</w:t>
            </w:r>
          </w:p>
        </w:tc>
        <w:tc>
          <w:tcPr>
            <w:tcW w:w="1544"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3.3</w:t>
            </w:r>
          </w:p>
        </w:tc>
        <w:tc>
          <w:tcPr>
            <w:tcW w:w="1260" w:type="dxa"/>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eastAsia="等线"/>
                <w:sz w:val="18"/>
                <w:szCs w:val="18"/>
              </w:rPr>
              <w:t>100</w:t>
            </w:r>
          </w:p>
        </w:tc>
      </w:tr>
    </w:tbl>
    <w:p>
      <w:pPr>
        <w:adjustRightInd w:val="0"/>
        <w:snapToGrid w:val="0"/>
        <w:spacing w:line="360" w:lineRule="auto"/>
        <w:ind w:firstLine="482"/>
        <w:rPr>
          <w:color w:val="FF0000"/>
          <w:sz w:val="24"/>
        </w:rPr>
      </w:pPr>
    </w:p>
    <w:p>
      <w:pPr>
        <w:adjustRightInd w:val="0"/>
        <w:snapToGrid w:val="0"/>
        <w:spacing w:line="360" w:lineRule="auto"/>
        <w:ind w:firstLine="480" w:firstLineChars="200"/>
        <w:rPr>
          <w:sz w:val="24"/>
        </w:rPr>
      </w:pPr>
      <w:r>
        <w:rPr>
          <w:sz w:val="24"/>
        </w:rPr>
        <w:t>从各部门需水比例来看，在规划期内，全市生活需水比例从2020年的9.2%到2025年的10.2%，再到2030年的11.9%，生活</w:t>
      </w:r>
      <w:r>
        <w:rPr>
          <w:rFonts w:hint="eastAsia"/>
          <w:sz w:val="24"/>
        </w:rPr>
        <w:t>需</w:t>
      </w:r>
      <w:r>
        <w:rPr>
          <w:sz w:val="24"/>
        </w:rPr>
        <w:t>水量比例呈持续增长趋势</w:t>
      </w:r>
      <w:r>
        <w:rPr>
          <w:rFonts w:hint="eastAsia"/>
          <w:sz w:val="24"/>
        </w:rPr>
        <w:t>。</w:t>
      </w:r>
    </w:p>
    <w:p>
      <w:pPr>
        <w:adjustRightInd w:val="0"/>
        <w:snapToGrid w:val="0"/>
        <w:spacing w:line="360" w:lineRule="auto"/>
        <w:ind w:firstLine="480" w:firstLineChars="200"/>
        <w:rPr>
          <w:sz w:val="24"/>
        </w:rPr>
      </w:pPr>
      <w:r>
        <w:rPr>
          <w:rFonts w:hint="eastAsia"/>
          <w:sz w:val="24"/>
        </w:rPr>
        <w:t>全市</w:t>
      </w:r>
      <w:r>
        <w:rPr>
          <w:sz w:val="24"/>
        </w:rPr>
        <w:t>农业需水量比例从2020年的80.8%到2025年的78.7%，再到2030年的76.0%，所占比例呈逐年减少趋势</w:t>
      </w:r>
      <w:r>
        <w:rPr>
          <w:rFonts w:hint="eastAsia"/>
          <w:sz w:val="24"/>
        </w:rPr>
        <w:t>。</w:t>
      </w:r>
    </w:p>
    <w:p>
      <w:pPr>
        <w:adjustRightInd w:val="0"/>
        <w:snapToGrid w:val="0"/>
        <w:spacing w:line="360" w:lineRule="auto"/>
        <w:ind w:firstLine="480" w:firstLineChars="200"/>
        <w:rPr>
          <w:sz w:val="24"/>
        </w:rPr>
      </w:pPr>
      <w:r>
        <w:rPr>
          <w:rFonts w:hint="eastAsia"/>
          <w:sz w:val="24"/>
        </w:rPr>
        <w:t>全市</w:t>
      </w:r>
      <w:r>
        <w:rPr>
          <w:sz w:val="24"/>
        </w:rPr>
        <w:t>工业需水比例从2020年的7.4%到2025年的8.1%，再到2030年的8.9%，所占比例呈逐年上升趋势</w:t>
      </w:r>
      <w:r>
        <w:rPr>
          <w:rFonts w:hint="eastAsia"/>
          <w:sz w:val="24"/>
        </w:rPr>
        <w:t>。</w:t>
      </w:r>
    </w:p>
    <w:p>
      <w:pPr>
        <w:adjustRightInd w:val="0"/>
        <w:snapToGrid w:val="0"/>
        <w:spacing w:line="360" w:lineRule="auto"/>
        <w:ind w:firstLine="480" w:firstLineChars="200"/>
        <w:rPr>
          <w:sz w:val="24"/>
        </w:rPr>
      </w:pPr>
      <w:r>
        <w:rPr>
          <w:rFonts w:hint="eastAsia"/>
          <w:sz w:val="24"/>
        </w:rPr>
        <w:t>全市河道外</w:t>
      </w:r>
      <w:r>
        <w:rPr>
          <w:sz w:val="24"/>
        </w:rPr>
        <w:t>生态需水的比例从2020年的2.6%到2025年的3.0%，再到2030年的3.3%</w:t>
      </w:r>
      <w:r>
        <w:rPr>
          <w:rFonts w:hint="eastAsia"/>
          <w:sz w:val="24"/>
        </w:rPr>
        <w:t>，</w:t>
      </w:r>
      <w:r>
        <w:rPr>
          <w:sz w:val="24"/>
        </w:rPr>
        <w:t>所占比例呈逐年上升趋势。</w:t>
      </w:r>
    </w:p>
    <w:p>
      <w:pPr>
        <w:adjustRightInd w:val="0"/>
        <w:snapToGrid w:val="0"/>
        <w:spacing w:line="360" w:lineRule="auto"/>
        <w:jc w:val="left"/>
        <w:rPr>
          <w:color w:val="FF0000"/>
        </w:rPr>
      </w:pPr>
    </w:p>
    <w:p>
      <w:pPr>
        <w:adjustRightInd w:val="0"/>
        <w:snapToGrid w:val="0"/>
        <w:spacing w:line="360" w:lineRule="auto"/>
        <w:jc w:val="center"/>
        <w:rPr>
          <w:color w:val="FF0000"/>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color w:val="FF0000"/>
        </w:rPr>
      </w:pPr>
      <w:r>
        <w:drawing>
          <wp:inline distT="0" distB="0" distL="0" distR="0">
            <wp:extent cx="4572000" cy="25558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adjustRightInd w:val="0"/>
        <w:snapToGrid w:val="0"/>
        <w:spacing w:line="360" w:lineRule="auto"/>
        <w:jc w:val="center"/>
        <w:rPr>
          <w:b/>
          <w:sz w:val="24"/>
        </w:rPr>
      </w:pPr>
      <w:r>
        <w:rPr>
          <w:b/>
          <w:sz w:val="24"/>
        </w:rPr>
        <w:t>图4.4.1  六安市</w:t>
      </w:r>
      <w:r>
        <w:rPr>
          <w:rFonts w:hint="eastAsia"/>
          <w:b/>
          <w:sz w:val="24"/>
        </w:rPr>
        <w:t>现状2</w:t>
      </w:r>
      <w:r>
        <w:rPr>
          <w:b/>
          <w:sz w:val="24"/>
        </w:rPr>
        <w:t>020基准年需水结构图</w:t>
      </w:r>
    </w:p>
    <w:p>
      <w:pPr>
        <w:adjustRightInd w:val="0"/>
        <w:snapToGrid w:val="0"/>
        <w:spacing w:line="360" w:lineRule="auto"/>
        <w:jc w:val="center"/>
      </w:pPr>
      <w:r>
        <w:drawing>
          <wp:inline distT="0" distB="0" distL="0" distR="0">
            <wp:extent cx="4572000" cy="255587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adjustRightInd w:val="0"/>
        <w:snapToGrid w:val="0"/>
        <w:spacing w:line="360" w:lineRule="auto"/>
        <w:jc w:val="center"/>
        <w:rPr>
          <w:b/>
          <w:sz w:val="24"/>
        </w:rPr>
      </w:pPr>
      <w:r>
        <w:rPr>
          <w:b/>
          <w:sz w:val="24"/>
        </w:rPr>
        <w:t>图4.4.2  六安市规划2025水平年需水结构图</w:t>
      </w:r>
    </w:p>
    <w:p>
      <w:pPr>
        <w:adjustRightInd w:val="0"/>
        <w:snapToGrid w:val="0"/>
        <w:spacing w:line="360" w:lineRule="auto"/>
        <w:jc w:val="center"/>
      </w:pPr>
      <w:r>
        <w:drawing>
          <wp:inline distT="0" distB="0" distL="0" distR="0">
            <wp:extent cx="4572000" cy="2555875"/>
            <wp:effectExtent l="0" t="0" r="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adjustRightInd w:val="0"/>
        <w:snapToGrid w:val="0"/>
        <w:spacing w:line="360" w:lineRule="auto"/>
        <w:jc w:val="center"/>
        <w:rPr>
          <w:b/>
          <w:sz w:val="24"/>
        </w:rPr>
      </w:pPr>
      <w:r>
        <w:rPr>
          <w:b/>
          <w:sz w:val="24"/>
        </w:rPr>
        <w:t>图4.4</w:t>
      </w:r>
      <w:r>
        <w:rPr>
          <w:rFonts w:hint="eastAsia"/>
          <w:b/>
          <w:sz w:val="24"/>
        </w:rPr>
        <w:t>.</w:t>
      </w:r>
      <w:r>
        <w:rPr>
          <w:b/>
          <w:sz w:val="24"/>
        </w:rPr>
        <w:t>3  六安市规划2030水平年需水结构图</w:t>
      </w:r>
    </w:p>
    <w:p>
      <w:pPr>
        <w:adjustRightInd w:val="0"/>
        <w:snapToGrid w:val="0"/>
        <w:spacing w:line="360" w:lineRule="auto"/>
        <w:ind w:firstLine="482"/>
        <w:rPr>
          <w:color w:val="FF0000"/>
          <w:sz w:val="24"/>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ind w:firstLine="482"/>
        <w:rPr>
          <w:sz w:val="24"/>
        </w:rPr>
      </w:pPr>
      <w:r>
        <w:rPr>
          <w:sz w:val="24"/>
        </w:rPr>
        <w:t>以上各用水比例的变化，一方面反映了规划期社会经济结构转换进程中城市化与工业化的影响，另一方面由于加大了农田灌溉节水力度，农业用水将逐渐减少。经分析，各部门需水比例变化与六安市今后产业结构的调整和社会经济的发展趋势基本吻合。</w:t>
      </w:r>
    </w:p>
    <w:p>
      <w:pPr>
        <w:pStyle w:val="4"/>
        <w:spacing w:before="156" w:beforeLines="50" w:after="156" w:afterLines="50"/>
        <w:rPr>
          <w:b w:val="0"/>
          <w:bCs w:val="0"/>
          <w:sz w:val="28"/>
        </w:rPr>
      </w:pPr>
      <w:bookmarkStart w:id="301" w:name="_Toc382472226"/>
      <w:bookmarkStart w:id="302" w:name="_Toc432782554"/>
      <w:bookmarkStart w:id="303" w:name="_Toc306734678"/>
      <w:bookmarkStart w:id="304" w:name="_Toc95382490"/>
      <w:r>
        <w:rPr>
          <w:sz w:val="28"/>
        </w:rPr>
        <w:t>三、用水水平和效率</w:t>
      </w:r>
      <w:bookmarkEnd w:id="301"/>
      <w:bookmarkEnd w:id="302"/>
      <w:bookmarkEnd w:id="303"/>
      <w:bookmarkEnd w:id="304"/>
    </w:p>
    <w:p>
      <w:pPr>
        <w:adjustRightInd w:val="0"/>
        <w:snapToGrid w:val="0"/>
        <w:spacing w:line="360" w:lineRule="auto"/>
        <w:ind w:firstLine="482"/>
        <w:rPr>
          <w:sz w:val="24"/>
        </w:rPr>
      </w:pPr>
      <w:r>
        <w:rPr>
          <w:sz w:val="24"/>
        </w:rPr>
        <w:t>人均需水量和单位GDP需水量是综合反映社会经济发展水平和水资源合理开发利用状况的重要指标，它们与水资源条件、经济发展阶段、产业结构、节水措施、水资源管理水平和科技进步状况等有密切关系。</w:t>
      </w:r>
    </w:p>
    <w:p>
      <w:pPr>
        <w:adjustRightInd w:val="0"/>
        <w:snapToGrid w:val="0"/>
        <w:spacing w:line="360" w:lineRule="auto"/>
        <w:ind w:firstLine="482"/>
        <w:rPr>
          <w:sz w:val="24"/>
        </w:rPr>
      </w:pPr>
      <w:r>
        <w:rPr>
          <w:sz w:val="24"/>
        </w:rPr>
        <w:t>人均需水量反映</w:t>
      </w:r>
      <w:r>
        <w:rPr>
          <w:rFonts w:hint="eastAsia"/>
          <w:sz w:val="24"/>
        </w:rPr>
        <w:t>是</w:t>
      </w:r>
      <w:r>
        <w:rPr>
          <w:sz w:val="24"/>
        </w:rPr>
        <w:t>用水水平</w:t>
      </w:r>
      <w:r>
        <w:rPr>
          <w:rFonts w:hint="eastAsia"/>
          <w:sz w:val="24"/>
        </w:rPr>
        <w:t>主要指标之一</w:t>
      </w:r>
      <w:r>
        <w:rPr>
          <w:sz w:val="24"/>
        </w:rPr>
        <w:t>。六安市2020年人均需水量为596.5 m</w:t>
      </w:r>
      <w:r>
        <w:rPr>
          <w:sz w:val="24"/>
          <w:vertAlign w:val="superscript"/>
        </w:rPr>
        <w:t>3</w:t>
      </w:r>
      <w:r>
        <w:rPr>
          <w:sz w:val="24"/>
        </w:rPr>
        <w:t>，2025年达到563.9 m</w:t>
      </w:r>
      <w:r>
        <w:rPr>
          <w:sz w:val="24"/>
          <w:vertAlign w:val="superscript"/>
        </w:rPr>
        <w:t>3</w:t>
      </w:r>
      <w:r>
        <w:rPr>
          <w:sz w:val="24"/>
        </w:rPr>
        <w:t>，2030年达到544.0 m</w:t>
      </w:r>
      <w:r>
        <w:rPr>
          <w:sz w:val="24"/>
          <w:vertAlign w:val="superscript"/>
        </w:rPr>
        <w:t>3</w:t>
      </w:r>
      <w:r>
        <w:rPr>
          <w:sz w:val="24"/>
        </w:rPr>
        <w:t>。六安市单位需水量指标见表4.4.2。</w:t>
      </w:r>
    </w:p>
    <w:p>
      <w:pPr>
        <w:adjustRightInd w:val="0"/>
        <w:snapToGrid w:val="0"/>
        <w:spacing w:line="360" w:lineRule="auto"/>
        <w:jc w:val="center"/>
        <w:rPr>
          <w:sz w:val="24"/>
          <w:szCs w:val="24"/>
        </w:rPr>
      </w:pPr>
      <w:r>
        <w:rPr>
          <w:rFonts w:hAnsi="宋体"/>
          <w:b/>
          <w:sz w:val="24"/>
          <w:szCs w:val="24"/>
        </w:rPr>
        <w:t>表</w:t>
      </w:r>
      <w:r>
        <w:rPr>
          <w:b/>
          <w:sz w:val="24"/>
          <w:szCs w:val="24"/>
        </w:rPr>
        <w:t>4.4.2</w:t>
      </w:r>
      <w:r>
        <w:rPr>
          <w:sz w:val="24"/>
          <w:szCs w:val="24"/>
        </w:rPr>
        <w:t xml:space="preserve">  </w:t>
      </w:r>
      <w:r>
        <w:rPr>
          <w:rFonts w:ascii="宋体" w:hAnsi="宋体"/>
          <w:b/>
          <w:sz w:val="24"/>
          <w:szCs w:val="24"/>
        </w:rPr>
        <w:t>六安市单位需水量指标</w:t>
      </w:r>
    </w:p>
    <w:tbl>
      <w:tblPr>
        <w:tblStyle w:val="36"/>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227"/>
        <w:gridCol w:w="2144"/>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52" w:type="dxa"/>
            <w:vAlign w:val="center"/>
          </w:tcPr>
          <w:p>
            <w:pPr>
              <w:jc w:val="center"/>
              <w:rPr>
                <w:sz w:val="18"/>
                <w:szCs w:val="18"/>
              </w:rPr>
            </w:pPr>
            <w:r>
              <w:rPr>
                <w:sz w:val="18"/>
                <w:szCs w:val="18"/>
              </w:rPr>
              <w:t>水平年</w:t>
            </w:r>
          </w:p>
        </w:tc>
        <w:tc>
          <w:tcPr>
            <w:tcW w:w="2168" w:type="dxa"/>
            <w:vAlign w:val="center"/>
          </w:tcPr>
          <w:p>
            <w:pPr>
              <w:jc w:val="center"/>
              <w:rPr>
                <w:sz w:val="18"/>
                <w:szCs w:val="18"/>
              </w:rPr>
            </w:pPr>
            <w:r>
              <w:rPr>
                <w:sz w:val="18"/>
                <w:szCs w:val="18"/>
              </w:rPr>
              <w:t>人均需水量</w:t>
            </w:r>
          </w:p>
          <w:p>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/人</w:t>
            </w:r>
            <w:r>
              <w:rPr>
                <w:rFonts w:hint="eastAsia"/>
                <w:sz w:val="18"/>
                <w:szCs w:val="18"/>
              </w:rPr>
              <w:t>）</w:t>
            </w:r>
          </w:p>
        </w:tc>
        <w:tc>
          <w:tcPr>
            <w:tcW w:w="2087" w:type="dxa"/>
            <w:vAlign w:val="center"/>
          </w:tcPr>
          <w:p>
            <w:pPr>
              <w:jc w:val="center"/>
              <w:rPr>
                <w:sz w:val="18"/>
                <w:szCs w:val="18"/>
              </w:rPr>
            </w:pPr>
            <w:r>
              <w:rPr>
                <w:rFonts w:hint="eastAsia"/>
                <w:sz w:val="18"/>
                <w:szCs w:val="18"/>
              </w:rPr>
              <w:t>万元</w:t>
            </w:r>
            <w:r>
              <w:rPr>
                <w:sz w:val="18"/>
                <w:szCs w:val="18"/>
              </w:rPr>
              <w:t>GDP需水量</w:t>
            </w:r>
          </w:p>
          <w:p>
            <w:pPr>
              <w:jc w:val="center"/>
              <w:rPr>
                <w:sz w:val="18"/>
                <w:szCs w:val="18"/>
              </w:rPr>
            </w:pPr>
            <w:r>
              <w:rPr>
                <w:rFonts w:hint="eastAsia"/>
                <w:sz w:val="18"/>
                <w:szCs w:val="18"/>
              </w:rPr>
              <w:t>（</w:t>
            </w:r>
            <w:r>
              <w:rPr>
                <w:sz w:val="18"/>
                <w:szCs w:val="18"/>
              </w:rPr>
              <w:t>m</w:t>
            </w:r>
            <w:r>
              <w:rPr>
                <w:sz w:val="18"/>
                <w:szCs w:val="18"/>
                <w:vertAlign w:val="superscript"/>
              </w:rPr>
              <w:t>3</w:t>
            </w:r>
            <w:r>
              <w:rPr>
                <w:sz w:val="18"/>
                <w:szCs w:val="18"/>
              </w:rPr>
              <w:t>/万元</w:t>
            </w:r>
            <w:r>
              <w:rPr>
                <w:rFonts w:hint="eastAsia"/>
                <w:sz w:val="18"/>
                <w:szCs w:val="18"/>
              </w:rPr>
              <w:t>）</w:t>
            </w:r>
          </w:p>
        </w:tc>
        <w:tc>
          <w:tcPr>
            <w:tcW w:w="2092" w:type="dxa"/>
            <w:vAlign w:val="center"/>
          </w:tcPr>
          <w:p>
            <w:pPr>
              <w:widowControl/>
              <w:jc w:val="center"/>
              <w:rPr>
                <w:kern w:val="0"/>
                <w:sz w:val="18"/>
                <w:szCs w:val="18"/>
              </w:rPr>
            </w:pPr>
            <w:r>
              <w:rPr>
                <w:rFonts w:hint="eastAsia"/>
                <w:kern w:val="0"/>
                <w:sz w:val="18"/>
                <w:szCs w:val="18"/>
              </w:rPr>
              <w:t>万元工业增加值需水量</w:t>
            </w:r>
          </w:p>
          <w:p>
            <w:pPr>
              <w:widowControl/>
              <w:jc w:val="center"/>
              <w:rPr>
                <w:kern w:val="0"/>
                <w:sz w:val="18"/>
                <w:szCs w:val="18"/>
              </w:rPr>
            </w:pPr>
            <w:r>
              <w:rPr>
                <w:kern w:val="0"/>
                <w:sz w:val="18"/>
                <w:szCs w:val="18"/>
              </w:rPr>
              <w:t>（m</w:t>
            </w:r>
            <w:r>
              <w:rPr>
                <w:kern w:val="0"/>
                <w:sz w:val="18"/>
                <w:szCs w:val="18"/>
                <w:vertAlign w:val="superscript"/>
              </w:rPr>
              <w:t>3</w:t>
            </w:r>
            <w:r>
              <w:rPr>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52" w:type="dxa"/>
            <w:vAlign w:val="center"/>
          </w:tcPr>
          <w:p>
            <w:pPr>
              <w:jc w:val="center"/>
              <w:rPr>
                <w:sz w:val="18"/>
                <w:szCs w:val="18"/>
              </w:rPr>
            </w:pPr>
            <w:r>
              <w:rPr>
                <w:rFonts w:eastAsia="等线"/>
                <w:sz w:val="18"/>
                <w:szCs w:val="18"/>
              </w:rPr>
              <w:t>2020</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596.5</w:t>
            </w:r>
          </w:p>
        </w:tc>
        <w:tc>
          <w:tcPr>
            <w:tcW w:w="2087"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157.0</w:t>
            </w:r>
          </w:p>
        </w:tc>
        <w:tc>
          <w:tcPr>
            <w:tcW w:w="2092"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52" w:type="dxa"/>
            <w:vAlign w:val="center"/>
          </w:tcPr>
          <w:p>
            <w:pPr>
              <w:jc w:val="center"/>
              <w:rPr>
                <w:sz w:val="18"/>
                <w:szCs w:val="18"/>
              </w:rPr>
            </w:pPr>
            <w:r>
              <w:rPr>
                <w:rFonts w:eastAsia="等线"/>
                <w:sz w:val="18"/>
                <w:szCs w:val="18"/>
              </w:rPr>
              <w:t>2025</w:t>
            </w:r>
          </w:p>
        </w:tc>
        <w:tc>
          <w:tcPr>
            <w:tcW w:w="2168" w:type="dxa"/>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563.9</w:t>
            </w:r>
          </w:p>
        </w:tc>
        <w:tc>
          <w:tcPr>
            <w:tcW w:w="2087"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97.4</w:t>
            </w:r>
          </w:p>
        </w:tc>
        <w:tc>
          <w:tcPr>
            <w:tcW w:w="2092"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852" w:type="dxa"/>
            <w:vAlign w:val="center"/>
          </w:tcPr>
          <w:p>
            <w:pPr>
              <w:jc w:val="center"/>
              <w:rPr>
                <w:sz w:val="18"/>
                <w:szCs w:val="18"/>
              </w:rPr>
            </w:pPr>
            <w:r>
              <w:rPr>
                <w:rFonts w:eastAsia="等线"/>
                <w:sz w:val="18"/>
                <w:szCs w:val="18"/>
              </w:rPr>
              <w:t>2030</w:t>
            </w:r>
          </w:p>
        </w:tc>
        <w:tc>
          <w:tcPr>
            <w:tcW w:w="2168" w:type="dxa"/>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544.0</w:t>
            </w:r>
          </w:p>
        </w:tc>
        <w:tc>
          <w:tcPr>
            <w:tcW w:w="2087"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83.7</w:t>
            </w:r>
          </w:p>
        </w:tc>
        <w:tc>
          <w:tcPr>
            <w:tcW w:w="2092"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eastAsia="等线"/>
                <w:sz w:val="18"/>
                <w:szCs w:val="18"/>
              </w:rPr>
              <w:t>28.0</w:t>
            </w:r>
          </w:p>
        </w:tc>
      </w:tr>
    </w:tbl>
    <w:p>
      <w:pPr>
        <w:adjustRightInd w:val="0"/>
        <w:snapToGrid w:val="0"/>
        <w:rPr>
          <w:sz w:val="18"/>
          <w:szCs w:val="18"/>
        </w:rPr>
      </w:pPr>
      <w:r>
        <w:rPr>
          <w:rFonts w:hint="eastAsia"/>
          <w:sz w:val="18"/>
          <w:szCs w:val="18"/>
        </w:rPr>
        <w:t>注：上表中单位GDP需水量按20</w:t>
      </w:r>
      <w:r>
        <w:rPr>
          <w:sz w:val="18"/>
          <w:szCs w:val="18"/>
        </w:rPr>
        <w:t>20</w:t>
      </w:r>
      <w:r>
        <w:rPr>
          <w:rFonts w:hint="eastAsia"/>
          <w:sz w:val="18"/>
          <w:szCs w:val="18"/>
        </w:rPr>
        <w:t>年当年价计算。</w:t>
      </w:r>
    </w:p>
    <w:p>
      <w:pPr>
        <w:adjustRightInd w:val="0"/>
        <w:snapToGrid w:val="0"/>
        <w:spacing w:before="156" w:beforeLines="50" w:line="360" w:lineRule="auto"/>
        <w:ind w:firstLine="482"/>
        <w:rPr>
          <w:sz w:val="24"/>
        </w:rPr>
      </w:pPr>
      <w:r>
        <w:rPr>
          <w:sz w:val="24"/>
        </w:rPr>
        <w:t>单位GDP需水量</w:t>
      </w:r>
      <w:r>
        <w:rPr>
          <w:rFonts w:hint="eastAsia"/>
          <w:sz w:val="24"/>
        </w:rPr>
        <w:t>和工业综合需水定额</w:t>
      </w:r>
      <w:r>
        <w:rPr>
          <w:sz w:val="24"/>
        </w:rPr>
        <w:t>主要反映了用水的效率。从上表可以看出，六安市</w:t>
      </w:r>
      <w:r>
        <w:rPr>
          <w:rFonts w:hint="eastAsia"/>
          <w:sz w:val="24"/>
        </w:rPr>
        <w:t>万元</w:t>
      </w:r>
      <w:r>
        <w:rPr>
          <w:sz w:val="24"/>
        </w:rPr>
        <w:t>GDP需水量</w:t>
      </w:r>
      <w:r>
        <w:rPr>
          <w:rFonts w:hint="eastAsia"/>
          <w:sz w:val="24"/>
        </w:rPr>
        <w:t>和万元工业增加值需水量</w:t>
      </w:r>
      <w:r>
        <w:rPr>
          <w:sz w:val="24"/>
        </w:rPr>
        <w:t>减少的幅度比较大，这表明随着科技水平的不断提高，以及产业结构的调整、工艺设备的更新改造等手段，促进了六安市规划水平年用水效率的提高。</w:t>
      </w:r>
    </w:p>
    <w:p>
      <w:pPr>
        <w:spacing w:line="360" w:lineRule="auto"/>
        <w:jc w:val="left"/>
        <w:rPr>
          <w:color w:val="FF0000"/>
          <w:sz w:val="24"/>
        </w:rPr>
      </w:pPr>
    </w:p>
    <w:p>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305" w:name="_Toc14462"/>
      <w:bookmarkStart w:id="306" w:name="_Toc17132"/>
      <w:bookmarkStart w:id="307" w:name="_Toc1729"/>
      <w:bookmarkStart w:id="308" w:name="_Toc142"/>
      <w:bookmarkStart w:id="309" w:name="_Toc16324"/>
      <w:bookmarkStart w:id="310" w:name="_Toc30193"/>
      <w:bookmarkStart w:id="311" w:name="_Toc1634"/>
    </w:p>
    <w:p>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312" w:name="_Toc95382491"/>
      <w:r>
        <w:rPr>
          <w:rFonts w:hint="eastAsia" w:ascii="黑体" w:hAnsi="黑体" w:eastAsia="黑体" w:cs="黑体"/>
          <w:bCs/>
          <w:kern w:val="44"/>
          <w:sz w:val="36"/>
          <w:szCs w:val="36"/>
        </w:rPr>
        <w:t xml:space="preserve">第五章 </w:t>
      </w:r>
      <w:bookmarkEnd w:id="305"/>
      <w:bookmarkEnd w:id="306"/>
      <w:bookmarkEnd w:id="307"/>
      <w:bookmarkEnd w:id="308"/>
      <w:bookmarkEnd w:id="309"/>
      <w:bookmarkEnd w:id="310"/>
      <w:bookmarkEnd w:id="311"/>
      <w:r>
        <w:rPr>
          <w:rFonts w:hint="eastAsia" w:ascii="黑体" w:hAnsi="黑体" w:eastAsia="黑体" w:cs="黑体"/>
          <w:bCs/>
          <w:kern w:val="44"/>
          <w:sz w:val="36"/>
          <w:szCs w:val="36"/>
        </w:rPr>
        <w:t>水资源节约利用</w:t>
      </w:r>
      <w:bookmarkEnd w:id="312"/>
    </w:p>
    <w:p>
      <w:pPr>
        <w:keepNext/>
        <w:keepLines/>
        <w:adjustRightInd w:val="0"/>
        <w:snapToGrid w:val="0"/>
        <w:spacing w:before="312" w:beforeLines="100" w:after="312" w:afterLines="100" w:line="360" w:lineRule="auto"/>
        <w:jc w:val="center"/>
        <w:outlineLvl w:val="1"/>
        <w:rPr>
          <w:b/>
          <w:bCs/>
          <w:sz w:val="32"/>
          <w:szCs w:val="36"/>
        </w:rPr>
      </w:pPr>
      <w:bookmarkStart w:id="313" w:name="_Toc432782556"/>
      <w:bookmarkStart w:id="314" w:name="_Toc95382492"/>
      <w:bookmarkStart w:id="315" w:name="_Toc382472228"/>
      <w:r>
        <w:rPr>
          <w:rFonts w:hint="eastAsia"/>
          <w:b/>
          <w:bCs/>
          <w:sz w:val="32"/>
          <w:szCs w:val="36"/>
        </w:rPr>
        <w:t>第一节 现状用水水平分析</w:t>
      </w:r>
      <w:bookmarkEnd w:id="313"/>
      <w:bookmarkEnd w:id="314"/>
      <w:bookmarkEnd w:id="315"/>
    </w:p>
    <w:p>
      <w:pPr>
        <w:pStyle w:val="4"/>
        <w:spacing w:before="156" w:beforeLines="50" w:after="156" w:afterLines="50"/>
        <w:rPr>
          <w:sz w:val="28"/>
        </w:rPr>
      </w:pPr>
      <w:bookmarkStart w:id="316" w:name="_Toc382472229"/>
      <w:bookmarkStart w:id="317" w:name="_Toc432782557"/>
      <w:bookmarkStart w:id="318" w:name="_Toc95382493"/>
      <w:r>
        <w:rPr>
          <w:rFonts w:hint="eastAsia"/>
          <w:sz w:val="28"/>
        </w:rPr>
        <w:t>一、</w:t>
      </w:r>
      <w:r>
        <w:rPr>
          <w:sz w:val="28"/>
        </w:rPr>
        <w:t>用水综合效率</w:t>
      </w:r>
      <w:bookmarkEnd w:id="316"/>
      <w:bookmarkEnd w:id="317"/>
      <w:bookmarkEnd w:id="318"/>
    </w:p>
    <w:p>
      <w:pPr>
        <w:spacing w:line="360" w:lineRule="auto"/>
        <w:ind w:firstLine="480" w:firstLineChars="200"/>
        <w:rPr>
          <w:sz w:val="24"/>
        </w:rPr>
      </w:pPr>
      <w:r>
        <w:rPr>
          <w:rFonts w:hAnsi="宋体"/>
          <w:sz w:val="24"/>
        </w:rPr>
        <w:t>根据水资源开发利用现状调查分析成果，</w:t>
      </w:r>
      <w:r>
        <w:rPr>
          <w:sz w:val="24"/>
        </w:rPr>
        <w:t>2020年</w:t>
      </w:r>
      <w:r>
        <w:rPr>
          <w:rFonts w:hAnsi="宋体"/>
          <w:sz w:val="24"/>
        </w:rPr>
        <w:t>六安市实际用水量为</w:t>
      </w:r>
      <w:r>
        <w:rPr>
          <w:sz w:val="24"/>
        </w:rPr>
        <w:t>22.26</w:t>
      </w:r>
      <w:r>
        <w:rPr>
          <w:rFonts w:hAnsi="宋体"/>
          <w:sz w:val="24"/>
        </w:rPr>
        <w:t>亿</w:t>
      </w:r>
      <w:r>
        <w:rPr>
          <w:sz w:val="24"/>
        </w:rPr>
        <w:t>m</w:t>
      </w:r>
      <w:r>
        <w:rPr>
          <w:sz w:val="24"/>
          <w:vertAlign w:val="superscript"/>
        </w:rPr>
        <w:t>3</w:t>
      </w:r>
      <w:r>
        <w:rPr>
          <w:rFonts w:hAnsi="宋体"/>
          <w:sz w:val="24"/>
        </w:rPr>
        <w:t>。全市</w:t>
      </w:r>
      <w:r>
        <w:rPr>
          <w:rFonts w:hint="eastAsia" w:hAnsi="宋体"/>
          <w:sz w:val="24"/>
        </w:rPr>
        <w:t>常住</w:t>
      </w:r>
      <w:r>
        <w:rPr>
          <w:rFonts w:hAnsi="宋体"/>
          <w:sz w:val="24"/>
        </w:rPr>
        <w:t>人口为</w:t>
      </w:r>
      <w:r>
        <w:rPr>
          <w:sz w:val="24"/>
        </w:rPr>
        <w:t>439.37</w:t>
      </w:r>
      <w:r>
        <w:rPr>
          <w:rFonts w:hAnsi="宋体"/>
          <w:sz w:val="24"/>
        </w:rPr>
        <w:t>万人，人均综合用水量</w:t>
      </w:r>
      <w:r>
        <w:rPr>
          <w:sz w:val="24"/>
        </w:rPr>
        <w:t>506.7</w:t>
      </w:r>
      <w:r>
        <w:rPr>
          <w:rFonts w:hint="eastAsia"/>
          <w:sz w:val="24"/>
        </w:rPr>
        <w:t xml:space="preserve"> </w:t>
      </w:r>
      <w:r>
        <w:rPr>
          <w:sz w:val="24"/>
        </w:rPr>
        <w:t>m</w:t>
      </w:r>
      <w:r>
        <w:rPr>
          <w:sz w:val="24"/>
          <w:vertAlign w:val="superscript"/>
        </w:rPr>
        <w:t>3</w:t>
      </w:r>
      <w:r>
        <w:rPr>
          <w:sz w:val="24"/>
        </w:rPr>
        <w:t>/</w:t>
      </w:r>
      <w:r>
        <w:rPr>
          <w:rFonts w:hAnsi="宋体"/>
          <w:sz w:val="24"/>
        </w:rPr>
        <w:t>人；全市</w:t>
      </w:r>
      <w:r>
        <w:rPr>
          <w:sz w:val="24"/>
        </w:rPr>
        <w:t>GDP</w:t>
      </w:r>
      <w:r>
        <w:rPr>
          <w:rFonts w:hAnsi="宋体"/>
          <w:sz w:val="24"/>
        </w:rPr>
        <w:t>（以下均为当年价）为</w:t>
      </w:r>
      <w:r>
        <w:rPr>
          <w:sz w:val="24"/>
        </w:rPr>
        <w:t>1669.5</w:t>
      </w:r>
      <w:r>
        <w:rPr>
          <w:rFonts w:hAnsi="宋体"/>
          <w:sz w:val="24"/>
        </w:rPr>
        <w:t>亿元，万元</w:t>
      </w:r>
      <w:r>
        <w:rPr>
          <w:sz w:val="24"/>
        </w:rPr>
        <w:t>GDP</w:t>
      </w:r>
      <w:r>
        <w:rPr>
          <w:rFonts w:hAnsi="宋体"/>
          <w:sz w:val="24"/>
        </w:rPr>
        <w:t>用水量为</w:t>
      </w:r>
      <w:r>
        <w:rPr>
          <w:sz w:val="24"/>
        </w:rPr>
        <w:t>133.3</w:t>
      </w:r>
      <w:r>
        <w:rPr>
          <w:rFonts w:hint="eastAsia"/>
          <w:sz w:val="24"/>
        </w:rPr>
        <w:t xml:space="preserve"> </w:t>
      </w:r>
      <w:r>
        <w:rPr>
          <w:sz w:val="24"/>
        </w:rPr>
        <w:t>m</w:t>
      </w:r>
      <w:r>
        <w:rPr>
          <w:sz w:val="24"/>
          <w:vertAlign w:val="superscript"/>
        </w:rPr>
        <w:t>3</w:t>
      </w:r>
      <w:r>
        <w:rPr>
          <w:sz w:val="24"/>
        </w:rPr>
        <w:t>/</w:t>
      </w:r>
      <w:r>
        <w:rPr>
          <w:rFonts w:hAnsi="宋体"/>
          <w:sz w:val="24"/>
        </w:rPr>
        <w:t>万元</w:t>
      </w:r>
      <w:r>
        <w:rPr>
          <w:rFonts w:hint="eastAsia" w:hAnsi="宋体"/>
          <w:sz w:val="24"/>
        </w:rPr>
        <w:t>（以当年价计算值，下同）</w:t>
      </w:r>
      <w:r>
        <w:rPr>
          <w:rFonts w:hAnsi="宋体"/>
          <w:sz w:val="24"/>
        </w:rPr>
        <w:t>；全市工业用水量为</w:t>
      </w:r>
      <w:r>
        <w:rPr>
          <w:sz w:val="24"/>
        </w:rPr>
        <w:t>1.94</w:t>
      </w:r>
      <w:r>
        <w:rPr>
          <w:rFonts w:hAnsi="宋体"/>
          <w:sz w:val="24"/>
        </w:rPr>
        <w:t>亿</w:t>
      </w:r>
      <w:r>
        <w:rPr>
          <w:sz w:val="24"/>
        </w:rPr>
        <w:t>m</w:t>
      </w:r>
      <w:r>
        <w:rPr>
          <w:sz w:val="24"/>
          <w:vertAlign w:val="superscript"/>
        </w:rPr>
        <w:t>3</w:t>
      </w:r>
      <w:r>
        <w:rPr>
          <w:rFonts w:hAnsi="宋体"/>
          <w:sz w:val="24"/>
        </w:rPr>
        <w:t>，万元工业增加值用水量为</w:t>
      </w:r>
      <w:r>
        <w:rPr>
          <w:sz w:val="24"/>
        </w:rPr>
        <w:t>45.2</w:t>
      </w:r>
      <w:r>
        <w:rPr>
          <w:rFonts w:hint="eastAsia"/>
          <w:sz w:val="24"/>
        </w:rPr>
        <w:t xml:space="preserve"> </w:t>
      </w:r>
      <w:r>
        <w:rPr>
          <w:sz w:val="24"/>
        </w:rPr>
        <w:t>m</w:t>
      </w:r>
      <w:r>
        <w:rPr>
          <w:sz w:val="24"/>
          <w:vertAlign w:val="superscript"/>
        </w:rPr>
        <w:t>3</w:t>
      </w:r>
      <w:r>
        <w:rPr>
          <w:sz w:val="24"/>
        </w:rPr>
        <w:t>/</w:t>
      </w:r>
      <w:r>
        <w:rPr>
          <w:rFonts w:hAnsi="宋体"/>
          <w:sz w:val="24"/>
        </w:rPr>
        <w:t>万元。</w:t>
      </w:r>
    </w:p>
    <w:p>
      <w:pPr>
        <w:spacing w:line="360" w:lineRule="auto"/>
        <w:ind w:firstLine="480" w:firstLineChars="200"/>
        <w:rPr>
          <w:sz w:val="24"/>
        </w:rPr>
      </w:pPr>
      <w:r>
        <w:rPr>
          <w:rFonts w:hAnsi="宋体"/>
          <w:sz w:val="24"/>
        </w:rPr>
        <w:t>六安市万元</w:t>
      </w:r>
      <w:r>
        <w:rPr>
          <w:sz w:val="24"/>
        </w:rPr>
        <w:t>GDP</w:t>
      </w:r>
      <w:r>
        <w:rPr>
          <w:rFonts w:hAnsi="宋体"/>
          <w:sz w:val="24"/>
        </w:rPr>
        <w:t>用水量与</w:t>
      </w:r>
      <w:r>
        <w:rPr>
          <w:rFonts w:hint="eastAsia" w:hAnsi="宋体"/>
          <w:sz w:val="24"/>
        </w:rPr>
        <w:t>全省</w:t>
      </w:r>
      <w:r>
        <w:rPr>
          <w:rFonts w:hAnsi="宋体"/>
          <w:sz w:val="24"/>
        </w:rPr>
        <w:t>比较结果见表</w:t>
      </w:r>
      <w:r>
        <w:rPr>
          <w:rFonts w:hint="eastAsia" w:hAnsi="宋体"/>
          <w:sz w:val="24"/>
        </w:rPr>
        <w:t>5.1.1</w:t>
      </w:r>
      <w:r>
        <w:rPr>
          <w:rFonts w:hAnsi="宋体"/>
          <w:sz w:val="24"/>
        </w:rPr>
        <w:t>。由</w:t>
      </w:r>
      <w:r>
        <w:rPr>
          <w:rFonts w:hint="eastAsia" w:hAnsi="宋体"/>
          <w:sz w:val="24"/>
        </w:rPr>
        <w:t>下表</w:t>
      </w:r>
      <w:r>
        <w:rPr>
          <w:rFonts w:hAnsi="宋体"/>
          <w:sz w:val="24"/>
        </w:rPr>
        <w:t>可以看出，六安市现状万元</w:t>
      </w:r>
      <w:r>
        <w:rPr>
          <w:sz w:val="24"/>
        </w:rPr>
        <w:t>GDP</w:t>
      </w:r>
      <w:r>
        <w:rPr>
          <w:rFonts w:hAnsi="宋体"/>
          <w:sz w:val="24"/>
        </w:rPr>
        <w:t>用水量</w:t>
      </w:r>
      <w:r>
        <w:rPr>
          <w:rFonts w:hint="eastAsia" w:hAnsi="宋体"/>
          <w:sz w:val="24"/>
        </w:rPr>
        <w:t>高</w:t>
      </w:r>
      <w:r>
        <w:rPr>
          <w:rFonts w:hAnsi="宋体"/>
          <w:sz w:val="24"/>
        </w:rPr>
        <w:t>于全省水平。</w:t>
      </w:r>
    </w:p>
    <w:p>
      <w:pPr>
        <w:spacing w:line="360" w:lineRule="auto"/>
        <w:jc w:val="center"/>
        <w:rPr>
          <w:b/>
          <w:sz w:val="24"/>
        </w:rPr>
      </w:pPr>
      <w:r>
        <w:rPr>
          <w:rFonts w:hAnsi="宋体"/>
          <w:b/>
          <w:sz w:val="24"/>
        </w:rPr>
        <w:t>表</w:t>
      </w:r>
      <w:r>
        <w:rPr>
          <w:b/>
          <w:sz w:val="24"/>
        </w:rPr>
        <w:t>5.1</w:t>
      </w:r>
      <w:r>
        <w:rPr>
          <w:rFonts w:hint="eastAsia"/>
          <w:b/>
          <w:sz w:val="24"/>
        </w:rPr>
        <w:t>.</w:t>
      </w:r>
      <w:r>
        <w:rPr>
          <w:b/>
          <w:sz w:val="24"/>
        </w:rPr>
        <w:t xml:space="preserve">1  </w:t>
      </w:r>
      <w:r>
        <w:rPr>
          <w:rFonts w:hAnsi="宋体"/>
          <w:b/>
          <w:sz w:val="24"/>
        </w:rPr>
        <w:t>万元</w:t>
      </w:r>
      <w:r>
        <w:rPr>
          <w:b/>
          <w:sz w:val="24"/>
        </w:rPr>
        <w:t>GDP</w:t>
      </w:r>
      <w:r>
        <w:rPr>
          <w:rFonts w:hAnsi="宋体"/>
          <w:b/>
          <w:sz w:val="24"/>
        </w:rPr>
        <w:t>用水量比较</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2280"/>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7" w:type="pct"/>
            <w:shd w:val="clear" w:color="auto" w:fill="auto"/>
            <w:vAlign w:val="center"/>
          </w:tcPr>
          <w:p>
            <w:pPr>
              <w:widowControl/>
              <w:jc w:val="center"/>
              <w:rPr>
                <w:kern w:val="0"/>
                <w:sz w:val="18"/>
                <w:szCs w:val="18"/>
              </w:rPr>
            </w:pPr>
            <w:r>
              <w:rPr>
                <w:rFonts w:hAnsi="宋体"/>
                <w:kern w:val="0"/>
                <w:sz w:val="18"/>
                <w:szCs w:val="18"/>
              </w:rPr>
              <w:t>地区</w:t>
            </w:r>
          </w:p>
        </w:tc>
        <w:tc>
          <w:tcPr>
            <w:tcW w:w="1337" w:type="pct"/>
            <w:shd w:val="clear" w:color="auto" w:fill="auto"/>
            <w:vAlign w:val="center"/>
          </w:tcPr>
          <w:p>
            <w:pPr>
              <w:widowControl/>
              <w:jc w:val="center"/>
              <w:rPr>
                <w:kern w:val="0"/>
                <w:sz w:val="18"/>
                <w:szCs w:val="18"/>
              </w:rPr>
            </w:pPr>
            <w:r>
              <w:rPr>
                <w:rFonts w:hAnsi="宋体"/>
                <w:kern w:val="0"/>
                <w:sz w:val="18"/>
                <w:szCs w:val="18"/>
              </w:rPr>
              <w:t>年份</w:t>
            </w:r>
          </w:p>
        </w:tc>
        <w:tc>
          <w:tcPr>
            <w:tcW w:w="2326" w:type="pct"/>
            <w:shd w:val="clear" w:color="auto" w:fill="auto"/>
            <w:vAlign w:val="center"/>
          </w:tcPr>
          <w:p>
            <w:pPr>
              <w:widowControl/>
              <w:jc w:val="center"/>
              <w:rPr>
                <w:kern w:val="0"/>
                <w:sz w:val="18"/>
                <w:szCs w:val="18"/>
              </w:rPr>
            </w:pPr>
            <w:r>
              <w:rPr>
                <w:rFonts w:hAnsi="宋体"/>
                <w:kern w:val="0"/>
                <w:sz w:val="18"/>
                <w:szCs w:val="18"/>
              </w:rPr>
              <w:t>万元</w:t>
            </w:r>
            <w:r>
              <w:rPr>
                <w:kern w:val="0"/>
                <w:sz w:val="18"/>
                <w:szCs w:val="18"/>
              </w:rPr>
              <w:t>GDP</w:t>
            </w:r>
            <w:r>
              <w:rPr>
                <w:rFonts w:hAnsi="宋体"/>
                <w:kern w:val="0"/>
                <w:sz w:val="18"/>
                <w:szCs w:val="18"/>
              </w:rPr>
              <w:t>用水量</w:t>
            </w:r>
            <w:r>
              <w:rPr>
                <w:rFonts w:hint="eastAsia" w:hAnsi="宋体"/>
                <w:kern w:val="0"/>
                <w:sz w:val="18"/>
                <w:szCs w:val="18"/>
              </w:rPr>
              <w:t>（</w:t>
            </w:r>
            <w:r>
              <w:rPr>
                <w:kern w:val="0"/>
                <w:sz w:val="18"/>
                <w:szCs w:val="18"/>
              </w:rPr>
              <w:t>m</w:t>
            </w:r>
            <w:r>
              <w:rPr>
                <w:kern w:val="0"/>
                <w:sz w:val="18"/>
                <w:szCs w:val="18"/>
                <w:vertAlign w:val="superscript"/>
              </w:rPr>
              <w:t>3</w:t>
            </w:r>
            <w:r>
              <w:rPr>
                <w:kern w:val="0"/>
                <w:sz w:val="18"/>
                <w:szCs w:val="18"/>
              </w:rPr>
              <w:t>/</w:t>
            </w:r>
            <w:r>
              <w:rPr>
                <w:rFonts w:hAnsi="宋体"/>
                <w:kern w:val="0"/>
                <w:sz w:val="18"/>
                <w:szCs w:val="18"/>
              </w:rPr>
              <w:t>万元</w:t>
            </w:r>
            <w:r>
              <w:rPr>
                <w:rFonts w:hint="eastAsia"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7" w:type="pct"/>
            <w:shd w:val="clear" w:color="auto" w:fill="auto"/>
            <w:vAlign w:val="center"/>
          </w:tcPr>
          <w:p>
            <w:pPr>
              <w:widowControl/>
              <w:jc w:val="center"/>
              <w:rPr>
                <w:kern w:val="0"/>
                <w:sz w:val="18"/>
                <w:szCs w:val="18"/>
              </w:rPr>
            </w:pPr>
            <w:r>
              <w:rPr>
                <w:rFonts w:hAnsi="宋体"/>
                <w:kern w:val="0"/>
                <w:sz w:val="18"/>
                <w:szCs w:val="18"/>
              </w:rPr>
              <w:t>六安市</w:t>
            </w:r>
          </w:p>
        </w:tc>
        <w:tc>
          <w:tcPr>
            <w:tcW w:w="1337" w:type="pct"/>
            <w:shd w:val="clear" w:color="auto" w:fill="auto"/>
            <w:vAlign w:val="center"/>
          </w:tcPr>
          <w:p>
            <w:pPr>
              <w:widowControl/>
              <w:jc w:val="center"/>
              <w:rPr>
                <w:kern w:val="0"/>
                <w:sz w:val="18"/>
                <w:szCs w:val="18"/>
              </w:rPr>
            </w:pPr>
            <w:r>
              <w:rPr>
                <w:kern w:val="0"/>
                <w:sz w:val="18"/>
                <w:szCs w:val="18"/>
              </w:rPr>
              <w:t>2020</w:t>
            </w:r>
          </w:p>
        </w:tc>
        <w:tc>
          <w:tcPr>
            <w:tcW w:w="2326" w:type="pct"/>
            <w:shd w:val="clear" w:color="auto" w:fill="auto"/>
            <w:vAlign w:val="center"/>
          </w:tcPr>
          <w:p>
            <w:pPr>
              <w:widowControl/>
              <w:jc w:val="center"/>
              <w:rPr>
                <w:kern w:val="0"/>
                <w:sz w:val="18"/>
                <w:szCs w:val="18"/>
              </w:rPr>
            </w:pPr>
            <w:r>
              <w:rPr>
                <w:rFonts w:eastAsia="等线"/>
                <w:sz w:val="18"/>
                <w:szCs w:val="18"/>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7" w:type="pct"/>
            <w:shd w:val="clear" w:color="auto" w:fill="auto"/>
            <w:vAlign w:val="center"/>
          </w:tcPr>
          <w:p>
            <w:pPr>
              <w:widowControl/>
              <w:jc w:val="center"/>
              <w:rPr>
                <w:kern w:val="0"/>
                <w:sz w:val="18"/>
                <w:szCs w:val="18"/>
              </w:rPr>
            </w:pPr>
            <w:r>
              <w:rPr>
                <w:rFonts w:hAnsi="宋体"/>
                <w:kern w:val="0"/>
                <w:sz w:val="18"/>
                <w:szCs w:val="18"/>
              </w:rPr>
              <w:t>安徽省</w:t>
            </w:r>
          </w:p>
        </w:tc>
        <w:tc>
          <w:tcPr>
            <w:tcW w:w="1337" w:type="pct"/>
            <w:shd w:val="clear" w:color="auto" w:fill="auto"/>
            <w:vAlign w:val="center"/>
          </w:tcPr>
          <w:p>
            <w:pPr>
              <w:widowControl/>
              <w:jc w:val="center"/>
              <w:rPr>
                <w:kern w:val="0"/>
                <w:sz w:val="18"/>
                <w:szCs w:val="18"/>
              </w:rPr>
            </w:pPr>
            <w:r>
              <w:rPr>
                <w:kern w:val="0"/>
                <w:sz w:val="18"/>
                <w:szCs w:val="18"/>
              </w:rPr>
              <w:t>2020</w:t>
            </w:r>
          </w:p>
        </w:tc>
        <w:tc>
          <w:tcPr>
            <w:tcW w:w="2326" w:type="pct"/>
            <w:shd w:val="clear" w:color="auto" w:fill="auto"/>
            <w:vAlign w:val="center"/>
          </w:tcPr>
          <w:p>
            <w:pPr>
              <w:widowControl/>
              <w:jc w:val="center"/>
              <w:rPr>
                <w:kern w:val="0"/>
                <w:sz w:val="18"/>
                <w:szCs w:val="18"/>
              </w:rPr>
            </w:pPr>
            <w:r>
              <w:rPr>
                <w:rFonts w:eastAsia="等线"/>
                <w:sz w:val="18"/>
                <w:szCs w:val="18"/>
              </w:rPr>
              <w:t>69.4</w:t>
            </w:r>
          </w:p>
        </w:tc>
      </w:tr>
    </w:tbl>
    <w:p>
      <w:pPr>
        <w:pStyle w:val="4"/>
        <w:spacing w:before="156" w:beforeLines="50" w:after="156" w:afterLines="50"/>
        <w:rPr>
          <w:sz w:val="28"/>
        </w:rPr>
      </w:pPr>
      <w:bookmarkStart w:id="319" w:name="_Toc432782558"/>
      <w:bookmarkStart w:id="320" w:name="_Toc95382494"/>
      <w:bookmarkStart w:id="321" w:name="_Toc382472230"/>
      <w:r>
        <w:rPr>
          <w:rFonts w:hint="eastAsia"/>
          <w:sz w:val="28"/>
        </w:rPr>
        <w:t>二、</w:t>
      </w:r>
      <w:r>
        <w:rPr>
          <w:sz w:val="28"/>
        </w:rPr>
        <w:t>生活用水现状</w:t>
      </w:r>
      <w:bookmarkEnd w:id="319"/>
      <w:bookmarkEnd w:id="320"/>
      <w:bookmarkEnd w:id="321"/>
    </w:p>
    <w:p>
      <w:pPr>
        <w:spacing w:line="520" w:lineRule="exact"/>
        <w:ind w:firstLine="480" w:firstLineChars="200"/>
        <w:rPr>
          <w:sz w:val="24"/>
        </w:rPr>
      </w:pPr>
      <w:r>
        <w:rPr>
          <w:rFonts w:hint="eastAsia" w:hAnsi="宋体"/>
          <w:sz w:val="24"/>
        </w:rPr>
        <w:t>（一）</w:t>
      </w:r>
      <w:r>
        <w:rPr>
          <w:rFonts w:hAnsi="宋体"/>
          <w:sz w:val="24"/>
        </w:rPr>
        <w:t>人均用水水平</w:t>
      </w:r>
    </w:p>
    <w:p>
      <w:pPr>
        <w:spacing w:line="360" w:lineRule="auto"/>
        <w:ind w:firstLine="480" w:firstLineChars="200"/>
        <w:rPr>
          <w:sz w:val="24"/>
        </w:rPr>
      </w:pPr>
      <w:r>
        <w:rPr>
          <w:rFonts w:hAnsi="宋体"/>
          <w:sz w:val="24"/>
        </w:rPr>
        <w:t>生活用水包括城镇生活用水和农村生活用水，</w:t>
      </w:r>
      <w:r>
        <w:rPr>
          <w:sz w:val="24"/>
        </w:rPr>
        <w:t>2020年</w:t>
      </w:r>
      <w:r>
        <w:rPr>
          <w:rFonts w:hAnsi="宋体"/>
          <w:sz w:val="24"/>
        </w:rPr>
        <w:t>六安市居民生活用水量为</w:t>
      </w:r>
      <w:r>
        <w:rPr>
          <w:sz w:val="24"/>
        </w:rPr>
        <w:t>2.</w:t>
      </w:r>
      <w:r>
        <w:rPr>
          <w:rFonts w:hint="eastAsia"/>
          <w:sz w:val="24"/>
        </w:rPr>
        <w:t>4</w:t>
      </w:r>
      <w:r>
        <w:rPr>
          <w:sz w:val="24"/>
        </w:rPr>
        <w:t>0</w:t>
      </w:r>
      <w:r>
        <w:rPr>
          <w:rFonts w:hAnsi="宋体"/>
          <w:sz w:val="24"/>
        </w:rPr>
        <w:t>亿</w:t>
      </w:r>
      <w:r>
        <w:rPr>
          <w:sz w:val="24"/>
        </w:rPr>
        <w:t>m</w:t>
      </w:r>
      <w:r>
        <w:rPr>
          <w:sz w:val="24"/>
          <w:vertAlign w:val="superscript"/>
        </w:rPr>
        <w:t>3</w:t>
      </w:r>
      <w:r>
        <w:rPr>
          <w:rFonts w:hAnsi="宋体"/>
          <w:sz w:val="24"/>
        </w:rPr>
        <w:t>，其中城镇生活</w:t>
      </w:r>
      <w:r>
        <w:rPr>
          <w:rFonts w:hint="eastAsia" w:hAnsi="宋体"/>
          <w:sz w:val="24"/>
        </w:rPr>
        <w:t>（含城镇公共）</w:t>
      </w:r>
      <w:r>
        <w:rPr>
          <w:rFonts w:hAnsi="宋体"/>
          <w:sz w:val="24"/>
        </w:rPr>
        <w:t>用水量为</w:t>
      </w:r>
      <w:r>
        <w:rPr>
          <w:sz w:val="24"/>
        </w:rPr>
        <w:t>1.51</w:t>
      </w:r>
      <w:r>
        <w:rPr>
          <w:rFonts w:hAnsi="宋体"/>
          <w:sz w:val="24"/>
        </w:rPr>
        <w:t>亿</w:t>
      </w:r>
      <w:r>
        <w:rPr>
          <w:sz w:val="24"/>
        </w:rPr>
        <w:t>m</w:t>
      </w:r>
      <w:r>
        <w:rPr>
          <w:sz w:val="24"/>
          <w:vertAlign w:val="superscript"/>
        </w:rPr>
        <w:t>3</w:t>
      </w:r>
      <w:r>
        <w:rPr>
          <w:rFonts w:hAnsi="宋体"/>
          <w:sz w:val="24"/>
        </w:rPr>
        <w:t>，占生活用水总量的</w:t>
      </w:r>
      <w:r>
        <w:rPr>
          <w:sz w:val="24"/>
        </w:rPr>
        <w:t>63.1%</w:t>
      </w:r>
      <w:r>
        <w:rPr>
          <w:rFonts w:hAnsi="宋体"/>
          <w:sz w:val="24"/>
        </w:rPr>
        <w:t>；农村生活用水量为</w:t>
      </w:r>
      <w:r>
        <w:rPr>
          <w:sz w:val="24"/>
        </w:rPr>
        <w:t>0.89</w:t>
      </w:r>
      <w:r>
        <w:rPr>
          <w:rFonts w:hAnsi="宋体"/>
          <w:sz w:val="24"/>
        </w:rPr>
        <w:t>亿</w:t>
      </w:r>
      <w:r>
        <w:rPr>
          <w:sz w:val="24"/>
        </w:rPr>
        <w:t>m</w:t>
      </w:r>
      <w:r>
        <w:rPr>
          <w:sz w:val="24"/>
          <w:vertAlign w:val="superscript"/>
        </w:rPr>
        <w:t>3</w:t>
      </w:r>
      <w:r>
        <w:rPr>
          <w:rFonts w:hAnsi="宋体"/>
          <w:sz w:val="24"/>
        </w:rPr>
        <w:t>，占生活用水总量的</w:t>
      </w:r>
      <w:r>
        <w:rPr>
          <w:sz w:val="24"/>
        </w:rPr>
        <w:t>36.9%</w:t>
      </w:r>
      <w:r>
        <w:rPr>
          <w:rFonts w:hAnsi="宋体"/>
          <w:sz w:val="24"/>
        </w:rPr>
        <w:t>。</w:t>
      </w:r>
      <w:r>
        <w:rPr>
          <w:rFonts w:hint="eastAsia" w:hAnsi="宋体"/>
          <w:sz w:val="24"/>
        </w:rPr>
        <w:t xml:space="preserve"> </w:t>
      </w:r>
    </w:p>
    <w:p>
      <w:pPr>
        <w:spacing w:line="360" w:lineRule="auto"/>
        <w:ind w:firstLine="480" w:firstLineChars="200"/>
        <w:rPr>
          <w:sz w:val="24"/>
        </w:rPr>
      </w:pPr>
      <w:r>
        <w:rPr>
          <w:rFonts w:hAnsi="宋体"/>
          <w:sz w:val="24"/>
        </w:rPr>
        <w:t>生活用水指标在一定程度上反映了该地区居民生活水平高低和经济发达程度，本次规划生活用水效率与节水潜力分析主要指城镇生活用水。城镇生活用水与城市规模、卫生设施情况、用水习惯和用水管理情况有关，高低在一定程度上反应该地区居民生活水平高低和经济发达程度。</w:t>
      </w:r>
    </w:p>
    <w:p>
      <w:pPr>
        <w:spacing w:line="360" w:lineRule="auto"/>
        <w:ind w:firstLine="480" w:firstLineChars="200"/>
        <w:rPr>
          <w:sz w:val="24"/>
        </w:rPr>
      </w:pPr>
      <w:r>
        <w:rPr>
          <w:sz w:val="24"/>
        </w:rPr>
        <w:t>2020年</w:t>
      </w:r>
      <w:r>
        <w:rPr>
          <w:rFonts w:hAnsi="宋体"/>
          <w:sz w:val="24"/>
        </w:rPr>
        <w:t>六安市</w:t>
      </w:r>
      <w:r>
        <w:rPr>
          <w:rFonts w:hint="eastAsia" w:hAnsi="宋体"/>
          <w:sz w:val="24"/>
        </w:rPr>
        <w:t>常住人口为</w:t>
      </w:r>
      <w:r>
        <w:rPr>
          <w:rFonts w:hAnsi="宋体"/>
          <w:sz w:val="24"/>
        </w:rPr>
        <w:t>439.37</w:t>
      </w:r>
      <w:r>
        <w:rPr>
          <w:rFonts w:hint="eastAsia" w:hAnsi="宋体"/>
          <w:sz w:val="24"/>
        </w:rPr>
        <w:t>万人</w:t>
      </w:r>
      <w:r>
        <w:rPr>
          <w:rFonts w:hAnsi="宋体"/>
          <w:sz w:val="24"/>
        </w:rPr>
        <w:t>，其中城镇人口</w:t>
      </w:r>
      <w:r>
        <w:rPr>
          <w:sz w:val="24"/>
        </w:rPr>
        <w:t>213.03</w:t>
      </w:r>
      <w:r>
        <w:rPr>
          <w:rFonts w:hAnsi="宋体"/>
          <w:sz w:val="24"/>
        </w:rPr>
        <w:t>万人，农村人口</w:t>
      </w:r>
      <w:r>
        <w:rPr>
          <w:sz w:val="24"/>
        </w:rPr>
        <w:t>226.34</w:t>
      </w:r>
      <w:r>
        <w:rPr>
          <w:rFonts w:hAnsi="宋体"/>
          <w:sz w:val="24"/>
        </w:rPr>
        <w:t>万人，根据用水量分析城镇</w:t>
      </w:r>
      <w:r>
        <w:rPr>
          <w:rFonts w:hint="eastAsia" w:hAnsi="宋体"/>
          <w:sz w:val="24"/>
        </w:rPr>
        <w:t>人均</w:t>
      </w:r>
      <w:r>
        <w:rPr>
          <w:rFonts w:hAnsi="宋体"/>
          <w:sz w:val="24"/>
        </w:rPr>
        <w:t>生活用水</w:t>
      </w:r>
      <w:r>
        <w:rPr>
          <w:rFonts w:hint="eastAsia" w:hAnsi="宋体"/>
          <w:sz w:val="24"/>
        </w:rPr>
        <w:t>指标</w:t>
      </w:r>
      <w:r>
        <w:rPr>
          <w:rFonts w:hAnsi="宋体"/>
          <w:sz w:val="24"/>
        </w:rPr>
        <w:t>为</w:t>
      </w:r>
      <w:r>
        <w:rPr>
          <w:sz w:val="24"/>
        </w:rPr>
        <w:t>194.7</w:t>
      </w:r>
      <w:r>
        <w:rPr>
          <w:rFonts w:hint="eastAsia"/>
          <w:sz w:val="24"/>
        </w:rPr>
        <w:t xml:space="preserve"> </w:t>
      </w:r>
      <w:r>
        <w:rPr>
          <w:sz w:val="24"/>
        </w:rPr>
        <w:t>L/</w:t>
      </w:r>
      <w:r>
        <w:rPr>
          <w:rFonts w:hAnsi="宋体"/>
          <w:sz w:val="24"/>
        </w:rPr>
        <w:t>人</w:t>
      </w:r>
      <w:r>
        <w:rPr>
          <w:sz w:val="24"/>
        </w:rPr>
        <w:t>·</w:t>
      </w:r>
      <w:r>
        <w:rPr>
          <w:rFonts w:hAnsi="宋体"/>
          <w:sz w:val="24"/>
        </w:rPr>
        <w:t>日</w:t>
      </w:r>
      <w:r>
        <w:rPr>
          <w:rFonts w:hint="eastAsia" w:hAnsi="宋体"/>
          <w:sz w:val="24"/>
        </w:rPr>
        <w:t>（含城镇公共用水）</w:t>
      </w:r>
      <w:r>
        <w:rPr>
          <w:rFonts w:hAnsi="宋体"/>
          <w:sz w:val="24"/>
        </w:rPr>
        <w:t>，农村</w:t>
      </w:r>
      <w:r>
        <w:rPr>
          <w:rFonts w:hint="eastAsia" w:hAnsi="宋体"/>
          <w:sz w:val="24"/>
        </w:rPr>
        <w:t>生活</w:t>
      </w:r>
      <w:r>
        <w:rPr>
          <w:rFonts w:hAnsi="宋体"/>
          <w:sz w:val="24"/>
        </w:rPr>
        <w:t>人均用水指标为</w:t>
      </w:r>
      <w:r>
        <w:rPr>
          <w:sz w:val="24"/>
        </w:rPr>
        <w:t>107.2</w:t>
      </w:r>
      <w:r>
        <w:rPr>
          <w:rFonts w:hint="eastAsia"/>
          <w:sz w:val="24"/>
        </w:rPr>
        <w:t xml:space="preserve"> </w:t>
      </w:r>
      <w:r>
        <w:rPr>
          <w:sz w:val="24"/>
        </w:rPr>
        <w:t>L/</w:t>
      </w:r>
      <w:r>
        <w:rPr>
          <w:rFonts w:hAnsi="宋体"/>
          <w:sz w:val="24"/>
        </w:rPr>
        <w:t>人</w:t>
      </w:r>
      <w:r>
        <w:rPr>
          <w:sz w:val="24"/>
        </w:rPr>
        <w:t>·</w:t>
      </w:r>
      <w:r>
        <w:rPr>
          <w:rFonts w:hAnsi="宋体"/>
          <w:sz w:val="24"/>
        </w:rPr>
        <w:t>日。</w:t>
      </w:r>
    </w:p>
    <w:p>
      <w:pPr>
        <w:wordWrap w:val="0"/>
        <w:spacing w:line="520" w:lineRule="exact"/>
        <w:ind w:right="196" w:rightChars="98"/>
        <w:jc w:val="right"/>
        <w:rPr>
          <w:b/>
          <w:sz w:val="24"/>
        </w:rPr>
      </w:pPr>
      <w:r>
        <w:rPr>
          <w:rFonts w:hAnsi="宋体"/>
          <w:b/>
          <w:sz w:val="24"/>
        </w:rPr>
        <w:t>表</w:t>
      </w:r>
      <w:r>
        <w:rPr>
          <w:b/>
          <w:sz w:val="24"/>
        </w:rPr>
        <w:t>5.1</w:t>
      </w:r>
      <w:r>
        <w:rPr>
          <w:rFonts w:hint="eastAsia"/>
          <w:b/>
          <w:sz w:val="24"/>
        </w:rPr>
        <w:t>.</w:t>
      </w:r>
      <w:r>
        <w:rPr>
          <w:b/>
          <w:sz w:val="24"/>
        </w:rPr>
        <w:t xml:space="preserve">2  </w:t>
      </w:r>
      <w:r>
        <w:rPr>
          <w:rFonts w:hAnsi="宋体"/>
          <w:b/>
          <w:sz w:val="24"/>
        </w:rPr>
        <w:t>人均生活用水量比较表</w:t>
      </w:r>
      <w:r>
        <w:rPr>
          <w:b/>
          <w:sz w:val="24"/>
        </w:rPr>
        <w:t xml:space="preserve">  </w:t>
      </w:r>
      <w:r>
        <w:rPr>
          <w:rFonts w:hint="eastAsia"/>
          <w:b/>
          <w:sz w:val="24"/>
        </w:rPr>
        <w:t xml:space="preserve">       </w:t>
      </w:r>
      <w:r>
        <w:rPr>
          <w:b/>
          <w:sz w:val="24"/>
        </w:rPr>
        <w:t xml:space="preserve">   </w:t>
      </w:r>
      <w:r>
        <w:rPr>
          <w:rFonts w:hAnsi="宋体"/>
          <w:sz w:val="18"/>
          <w:szCs w:val="18"/>
        </w:rPr>
        <w:t>单位：</w:t>
      </w:r>
      <w:r>
        <w:rPr>
          <w:sz w:val="18"/>
          <w:szCs w:val="18"/>
        </w:rPr>
        <w:t>L/</w:t>
      </w:r>
      <w:r>
        <w:rPr>
          <w:rFonts w:hAnsi="宋体"/>
          <w:sz w:val="18"/>
          <w:szCs w:val="18"/>
        </w:rPr>
        <w:t>人</w:t>
      </w:r>
      <w:r>
        <w:rPr>
          <w:sz w:val="18"/>
          <w:szCs w:val="18"/>
        </w:rPr>
        <w:t>·</w:t>
      </w:r>
      <w:r>
        <w:rPr>
          <w:rFonts w:hAnsi="宋体"/>
          <w:sz w:val="18"/>
          <w:szCs w:val="18"/>
        </w:rPr>
        <w:t>日</w:t>
      </w:r>
    </w:p>
    <w:tbl>
      <w:tblPr>
        <w:tblStyle w:val="36"/>
        <w:tblW w:w="5000" w:type="pct"/>
        <w:tblInd w:w="0" w:type="dxa"/>
        <w:tblLayout w:type="autofit"/>
        <w:tblCellMar>
          <w:top w:w="0" w:type="dxa"/>
          <w:left w:w="108" w:type="dxa"/>
          <w:bottom w:w="0" w:type="dxa"/>
          <w:right w:w="108" w:type="dxa"/>
        </w:tblCellMar>
      </w:tblPr>
      <w:tblGrid>
        <w:gridCol w:w="1799"/>
        <w:gridCol w:w="1799"/>
        <w:gridCol w:w="2465"/>
        <w:gridCol w:w="2465"/>
      </w:tblGrid>
      <w:tr>
        <w:tblPrEx>
          <w:tblCellMar>
            <w:top w:w="0" w:type="dxa"/>
            <w:left w:w="108" w:type="dxa"/>
            <w:bottom w:w="0" w:type="dxa"/>
            <w:right w:w="108" w:type="dxa"/>
          </w:tblCellMar>
        </w:tblPrEx>
        <w:trPr>
          <w:trHeight w:val="397" w:hRule="atLeast"/>
        </w:trPr>
        <w:tc>
          <w:tcPr>
            <w:tcW w:w="10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地区</w:t>
            </w:r>
          </w:p>
        </w:tc>
        <w:tc>
          <w:tcPr>
            <w:tcW w:w="1055"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年份</w:t>
            </w:r>
          </w:p>
        </w:tc>
        <w:tc>
          <w:tcPr>
            <w:tcW w:w="1445"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城镇生活</w:t>
            </w:r>
            <w:r>
              <w:rPr>
                <w:rFonts w:hint="eastAsia" w:hAnsi="宋体"/>
                <w:kern w:val="0"/>
                <w:sz w:val="18"/>
                <w:szCs w:val="18"/>
              </w:rPr>
              <w:t>（含城镇公共）</w:t>
            </w:r>
          </w:p>
        </w:tc>
        <w:tc>
          <w:tcPr>
            <w:tcW w:w="1445"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农村生活</w:t>
            </w:r>
          </w:p>
        </w:tc>
      </w:tr>
      <w:tr>
        <w:tblPrEx>
          <w:tblCellMar>
            <w:top w:w="0" w:type="dxa"/>
            <w:left w:w="108" w:type="dxa"/>
            <w:bottom w:w="0" w:type="dxa"/>
            <w:right w:w="108" w:type="dxa"/>
          </w:tblCellMar>
        </w:tblPrEx>
        <w:trPr>
          <w:trHeight w:val="397" w:hRule="atLeast"/>
        </w:trPr>
        <w:tc>
          <w:tcPr>
            <w:tcW w:w="1055"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六安市</w:t>
            </w:r>
          </w:p>
        </w:tc>
        <w:tc>
          <w:tcPr>
            <w:tcW w:w="105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2020</w:t>
            </w:r>
          </w:p>
        </w:tc>
        <w:tc>
          <w:tcPr>
            <w:tcW w:w="144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eastAsia="等线"/>
                <w:sz w:val="18"/>
                <w:szCs w:val="18"/>
              </w:rPr>
              <w:t>194.7</w:t>
            </w:r>
          </w:p>
        </w:tc>
        <w:tc>
          <w:tcPr>
            <w:tcW w:w="144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eastAsia="等线"/>
                <w:sz w:val="18"/>
                <w:szCs w:val="18"/>
              </w:rPr>
              <w:t>107.2</w:t>
            </w:r>
          </w:p>
        </w:tc>
      </w:tr>
      <w:tr>
        <w:tblPrEx>
          <w:tblCellMar>
            <w:top w:w="0" w:type="dxa"/>
            <w:left w:w="108" w:type="dxa"/>
            <w:bottom w:w="0" w:type="dxa"/>
            <w:right w:w="108" w:type="dxa"/>
          </w:tblCellMar>
        </w:tblPrEx>
        <w:trPr>
          <w:trHeight w:val="397" w:hRule="atLeast"/>
        </w:trPr>
        <w:tc>
          <w:tcPr>
            <w:tcW w:w="1055"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安徽省</w:t>
            </w:r>
          </w:p>
        </w:tc>
        <w:tc>
          <w:tcPr>
            <w:tcW w:w="105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2020</w:t>
            </w:r>
          </w:p>
        </w:tc>
        <w:tc>
          <w:tcPr>
            <w:tcW w:w="144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eastAsia="等线"/>
                <w:sz w:val="18"/>
                <w:szCs w:val="18"/>
              </w:rPr>
              <w:t>187.0</w:t>
            </w:r>
          </w:p>
        </w:tc>
        <w:tc>
          <w:tcPr>
            <w:tcW w:w="1445" w:type="pct"/>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eastAsia="等线"/>
                <w:sz w:val="18"/>
                <w:szCs w:val="18"/>
              </w:rPr>
              <w:t>116.4</w:t>
            </w:r>
          </w:p>
        </w:tc>
      </w:tr>
    </w:tbl>
    <w:p>
      <w:pPr>
        <w:spacing w:line="360" w:lineRule="auto"/>
        <w:ind w:firstLine="480" w:firstLineChars="200"/>
        <w:rPr>
          <w:sz w:val="24"/>
        </w:rPr>
      </w:pPr>
      <w:r>
        <w:rPr>
          <w:rFonts w:hint="eastAsia" w:hAnsi="宋体"/>
          <w:sz w:val="24"/>
        </w:rPr>
        <w:t>（二）</w:t>
      </w:r>
      <w:r>
        <w:rPr>
          <w:rFonts w:hAnsi="宋体"/>
          <w:sz w:val="24"/>
        </w:rPr>
        <w:t>节水器具的普及率及管网漏失率</w:t>
      </w:r>
    </w:p>
    <w:p>
      <w:pPr>
        <w:spacing w:line="360" w:lineRule="auto"/>
        <w:ind w:firstLine="480" w:firstLineChars="200"/>
        <w:rPr>
          <w:sz w:val="24"/>
        </w:rPr>
      </w:pPr>
      <w:r>
        <w:rPr>
          <w:rFonts w:hAnsi="宋体"/>
          <w:sz w:val="24"/>
        </w:rPr>
        <w:t>为反映城市生活用水效率，对全市范围内的城镇供水管网漏损率和节水普及率进行了调查。节水器具的普及率是指使用节水器具的居民户数占城市居民总户数的百分数，六安市城市范围内居民家庭生活节水器具普及程度差异很大。新建小区居民家庭节水器具的普及程度普遍较高；建设年代较早的居民楼节水器具普及程度较低，近年来，结合安全饮水工程建设，六安市部分农村地区也逐渐安装了节水龙头。目前六安市节水器具普及率有了一定的提高。</w:t>
      </w:r>
    </w:p>
    <w:p>
      <w:pPr>
        <w:pStyle w:val="4"/>
        <w:spacing w:before="156" w:beforeLines="50" w:after="156" w:afterLines="50"/>
        <w:rPr>
          <w:sz w:val="28"/>
        </w:rPr>
      </w:pPr>
      <w:bookmarkStart w:id="322" w:name="_Toc382472231"/>
      <w:bookmarkStart w:id="323" w:name="_Toc432782559"/>
      <w:bookmarkStart w:id="324" w:name="_Toc95382495"/>
      <w:r>
        <w:rPr>
          <w:rFonts w:hint="eastAsia"/>
          <w:sz w:val="28"/>
        </w:rPr>
        <w:t>三、</w:t>
      </w:r>
      <w:r>
        <w:rPr>
          <w:sz w:val="28"/>
        </w:rPr>
        <w:t>生产用水现状</w:t>
      </w:r>
      <w:bookmarkEnd w:id="322"/>
      <w:bookmarkEnd w:id="323"/>
      <w:bookmarkEnd w:id="324"/>
    </w:p>
    <w:p>
      <w:pPr>
        <w:spacing w:line="360" w:lineRule="auto"/>
        <w:ind w:firstLine="480" w:firstLineChars="200"/>
        <w:rPr>
          <w:rFonts w:hAnsi="宋体"/>
          <w:sz w:val="24"/>
        </w:rPr>
      </w:pPr>
      <w:r>
        <w:rPr>
          <w:rFonts w:hint="eastAsia" w:hAnsi="宋体"/>
          <w:sz w:val="24"/>
        </w:rPr>
        <w:t>（一）</w:t>
      </w:r>
      <w:r>
        <w:rPr>
          <w:rFonts w:hAnsi="宋体"/>
          <w:sz w:val="24"/>
        </w:rPr>
        <w:t>农业用水</w:t>
      </w:r>
    </w:p>
    <w:p>
      <w:pPr>
        <w:spacing w:line="360" w:lineRule="auto"/>
        <w:ind w:firstLine="480" w:firstLineChars="200"/>
        <w:rPr>
          <w:sz w:val="24"/>
        </w:rPr>
      </w:pPr>
      <w:r>
        <w:rPr>
          <w:rFonts w:hAnsi="宋体"/>
          <w:sz w:val="24"/>
        </w:rPr>
        <w:t>农业用水主要由种植业用水（农田灌溉）和林牧渔畜业两部分用水组成，根据水资源开发利用现状调查评价成果，</w:t>
      </w:r>
      <w:r>
        <w:rPr>
          <w:sz w:val="24"/>
        </w:rPr>
        <w:t>2020年</w:t>
      </w:r>
      <w:r>
        <w:rPr>
          <w:rFonts w:hAnsi="宋体"/>
          <w:sz w:val="24"/>
        </w:rPr>
        <w:t>六安市全市农业用水总量为</w:t>
      </w:r>
      <w:r>
        <w:rPr>
          <w:sz w:val="24"/>
        </w:rPr>
        <w:t>17.23</w:t>
      </w:r>
      <w:r>
        <w:rPr>
          <w:rFonts w:hAnsi="宋体"/>
          <w:sz w:val="24"/>
        </w:rPr>
        <w:t>亿</w:t>
      </w:r>
      <w:r>
        <w:rPr>
          <w:sz w:val="24"/>
        </w:rPr>
        <w:t>m</w:t>
      </w:r>
      <w:r>
        <w:rPr>
          <w:sz w:val="24"/>
          <w:vertAlign w:val="superscript"/>
        </w:rPr>
        <w:t>3</w:t>
      </w:r>
      <w:r>
        <w:rPr>
          <w:rFonts w:hAnsi="宋体"/>
          <w:sz w:val="24"/>
        </w:rPr>
        <w:t>，其中农业灌溉用水</w:t>
      </w:r>
      <w:r>
        <w:rPr>
          <w:rFonts w:hint="eastAsia" w:hAnsi="宋体"/>
          <w:sz w:val="24"/>
        </w:rPr>
        <w:t>量</w:t>
      </w:r>
      <w:r>
        <w:rPr>
          <w:sz w:val="24"/>
        </w:rPr>
        <w:t>16.77</w:t>
      </w:r>
      <w:r>
        <w:rPr>
          <w:rFonts w:hint="eastAsia"/>
          <w:sz w:val="24"/>
        </w:rPr>
        <w:t>亿</w:t>
      </w:r>
      <w:r>
        <w:rPr>
          <w:sz w:val="24"/>
        </w:rPr>
        <w:t>m</w:t>
      </w:r>
      <w:r>
        <w:rPr>
          <w:sz w:val="24"/>
          <w:vertAlign w:val="superscript"/>
        </w:rPr>
        <w:t>3</w:t>
      </w:r>
      <w:r>
        <w:rPr>
          <w:rFonts w:hAnsi="宋体"/>
          <w:sz w:val="24"/>
        </w:rPr>
        <w:t>，占农业用水总量</w:t>
      </w:r>
      <w:r>
        <w:rPr>
          <w:sz w:val="24"/>
        </w:rPr>
        <w:t>97.3%</w:t>
      </w:r>
      <w:r>
        <w:rPr>
          <w:rFonts w:hAnsi="宋体"/>
          <w:sz w:val="24"/>
        </w:rPr>
        <w:t>，林牧渔</w:t>
      </w:r>
      <w:r>
        <w:rPr>
          <w:rFonts w:hint="eastAsia" w:hAnsi="宋体"/>
          <w:sz w:val="24"/>
        </w:rPr>
        <w:t>畜</w:t>
      </w:r>
      <w:r>
        <w:rPr>
          <w:rFonts w:hAnsi="宋体"/>
          <w:sz w:val="24"/>
        </w:rPr>
        <w:t>用水</w:t>
      </w:r>
      <w:r>
        <w:rPr>
          <w:rFonts w:hint="eastAsia"/>
          <w:sz w:val="24"/>
        </w:rPr>
        <w:t>量</w:t>
      </w:r>
      <w:r>
        <w:rPr>
          <w:sz w:val="24"/>
        </w:rPr>
        <w:t>0.47</w:t>
      </w:r>
      <w:r>
        <w:rPr>
          <w:rFonts w:hint="eastAsia"/>
          <w:sz w:val="24"/>
        </w:rPr>
        <w:t>亿</w:t>
      </w:r>
      <w:r>
        <w:rPr>
          <w:sz w:val="24"/>
        </w:rPr>
        <w:t>m</w:t>
      </w:r>
      <w:r>
        <w:rPr>
          <w:sz w:val="24"/>
          <w:vertAlign w:val="superscript"/>
        </w:rPr>
        <w:t>3</w:t>
      </w:r>
      <w:r>
        <w:rPr>
          <w:rFonts w:hAnsi="宋体"/>
          <w:sz w:val="24"/>
        </w:rPr>
        <w:t>，占农业用水总量</w:t>
      </w:r>
      <w:r>
        <w:rPr>
          <w:sz w:val="24"/>
        </w:rPr>
        <w:t>2.7%</w:t>
      </w:r>
      <w:r>
        <w:rPr>
          <w:rFonts w:hAnsi="宋体"/>
          <w:sz w:val="24"/>
        </w:rPr>
        <w:t>。</w:t>
      </w:r>
    </w:p>
    <w:p>
      <w:pPr>
        <w:spacing w:line="360" w:lineRule="auto"/>
        <w:ind w:firstLine="480" w:firstLineChars="200"/>
        <w:rPr>
          <w:sz w:val="24"/>
        </w:rPr>
      </w:pPr>
      <w:r>
        <w:rPr>
          <w:rFonts w:hAnsi="宋体"/>
          <w:sz w:val="24"/>
        </w:rPr>
        <w:t>近年来伴随着</w:t>
      </w:r>
      <w:r>
        <w:rPr>
          <w:rFonts w:hint="eastAsia" w:hAnsi="宋体"/>
          <w:sz w:val="24"/>
        </w:rPr>
        <w:t>城市</w:t>
      </w:r>
      <w:r>
        <w:rPr>
          <w:rFonts w:hAnsi="宋体"/>
          <w:sz w:val="24"/>
        </w:rPr>
        <w:t>现代化农业的发展，优化农业种植结构，对灌溉渠系修葺，采用节水灌溉方式等一系列工程和非工程措施，农业节水水平在一定程度上有很大的提高。</w:t>
      </w:r>
    </w:p>
    <w:p>
      <w:pPr>
        <w:spacing w:line="360" w:lineRule="auto"/>
        <w:ind w:firstLine="480" w:firstLineChars="200"/>
        <w:rPr>
          <w:sz w:val="24"/>
        </w:rPr>
      </w:pPr>
      <w:r>
        <w:rPr>
          <w:rFonts w:hAnsi="宋体"/>
          <w:sz w:val="24"/>
        </w:rPr>
        <w:t>截止</w:t>
      </w:r>
      <w:r>
        <w:rPr>
          <w:sz w:val="24"/>
        </w:rPr>
        <w:t>2020年</w:t>
      </w:r>
      <w:r>
        <w:rPr>
          <w:rFonts w:hint="eastAsia"/>
          <w:sz w:val="24"/>
        </w:rPr>
        <w:t>，</w:t>
      </w:r>
      <w:r>
        <w:rPr>
          <w:rFonts w:hAnsi="宋体"/>
          <w:sz w:val="24"/>
        </w:rPr>
        <w:t>六安市灌溉水</w:t>
      </w:r>
      <w:r>
        <w:rPr>
          <w:rFonts w:hint="eastAsia" w:hAnsi="宋体"/>
          <w:sz w:val="24"/>
        </w:rPr>
        <w:t>有效利用</w:t>
      </w:r>
      <w:r>
        <w:rPr>
          <w:rFonts w:hAnsi="宋体"/>
          <w:sz w:val="24"/>
        </w:rPr>
        <w:t>系数为</w:t>
      </w:r>
      <w:r>
        <w:rPr>
          <w:rFonts w:hint="eastAsia" w:hAnsi="宋体"/>
          <w:sz w:val="24"/>
        </w:rPr>
        <w:t>0.</w:t>
      </w:r>
      <w:r>
        <w:rPr>
          <w:rFonts w:hAnsi="宋体"/>
          <w:sz w:val="24"/>
        </w:rPr>
        <w:t>5167，</w:t>
      </w:r>
      <w:r>
        <w:rPr>
          <w:sz w:val="24"/>
        </w:rPr>
        <w:t>2020年</w:t>
      </w:r>
      <w:r>
        <w:rPr>
          <w:rFonts w:hAnsi="宋体"/>
          <w:sz w:val="24"/>
        </w:rPr>
        <w:t>六安市农业亩均灌溉综合用水量为</w:t>
      </w:r>
      <w:r>
        <w:rPr>
          <w:sz w:val="24"/>
        </w:rPr>
        <w:t>321.1 m</w:t>
      </w:r>
      <w:r>
        <w:rPr>
          <w:sz w:val="24"/>
          <w:vertAlign w:val="superscript"/>
        </w:rPr>
        <w:t>3</w:t>
      </w:r>
      <w:r>
        <w:rPr>
          <w:sz w:val="24"/>
        </w:rPr>
        <w:t>/</w:t>
      </w:r>
      <w:r>
        <w:rPr>
          <w:rFonts w:hAnsi="宋体"/>
          <w:sz w:val="24"/>
        </w:rPr>
        <w:t>亩，综合分析各项指标，六安市现状农业用水总体效率不高，目前我</w:t>
      </w:r>
      <w:r>
        <w:rPr>
          <w:rFonts w:hint="eastAsia" w:hAnsi="宋体"/>
          <w:sz w:val="24"/>
        </w:rPr>
        <w:t>市</w:t>
      </w:r>
      <w:r>
        <w:rPr>
          <w:rFonts w:hAnsi="宋体"/>
          <w:sz w:val="24"/>
        </w:rPr>
        <w:t>农业节水灌溉面积比例仍偏小，灌溉水利用效率与先进地区相比差距较大，农业节水总体水平一般，节水潜力较大。</w:t>
      </w:r>
    </w:p>
    <w:p>
      <w:pPr>
        <w:spacing w:line="360" w:lineRule="auto"/>
        <w:ind w:firstLine="480" w:firstLineChars="200"/>
        <w:rPr>
          <w:rFonts w:hAnsi="宋体"/>
          <w:sz w:val="24"/>
        </w:rPr>
      </w:pPr>
      <w:r>
        <w:rPr>
          <w:rFonts w:hint="eastAsia" w:hAnsi="宋体"/>
          <w:sz w:val="24"/>
        </w:rPr>
        <w:t>（二）</w:t>
      </w:r>
      <w:r>
        <w:rPr>
          <w:rFonts w:hAnsi="宋体"/>
          <w:sz w:val="24"/>
        </w:rPr>
        <w:t>工业用水</w:t>
      </w:r>
    </w:p>
    <w:p>
      <w:pPr>
        <w:spacing w:line="360" w:lineRule="auto"/>
        <w:ind w:firstLine="480" w:firstLineChars="200"/>
        <w:rPr>
          <w:sz w:val="24"/>
        </w:rPr>
      </w:pPr>
      <w:r>
        <w:rPr>
          <w:rFonts w:hAnsi="宋体"/>
          <w:sz w:val="24"/>
        </w:rPr>
        <w:t>工业用水包括火（核）电和一般工业用水。</w:t>
      </w:r>
      <w:r>
        <w:rPr>
          <w:sz w:val="24"/>
        </w:rPr>
        <w:t>2020年</w:t>
      </w:r>
      <w:r>
        <w:rPr>
          <w:rFonts w:hAnsi="宋体"/>
          <w:sz w:val="24"/>
        </w:rPr>
        <w:t>六安市工业用水总量为</w:t>
      </w:r>
      <w:r>
        <w:rPr>
          <w:sz w:val="24"/>
        </w:rPr>
        <w:t>1.94</w:t>
      </w:r>
      <w:r>
        <w:rPr>
          <w:rFonts w:hint="eastAsia"/>
          <w:sz w:val="24"/>
        </w:rPr>
        <w:t>亿</w:t>
      </w:r>
      <w:r>
        <w:rPr>
          <w:sz w:val="24"/>
        </w:rPr>
        <w:t>m</w:t>
      </w:r>
      <w:r>
        <w:rPr>
          <w:sz w:val="24"/>
          <w:vertAlign w:val="superscript"/>
        </w:rPr>
        <w:t>3</w:t>
      </w:r>
      <w:r>
        <w:rPr>
          <w:rFonts w:hAnsi="宋体"/>
          <w:sz w:val="24"/>
        </w:rPr>
        <w:t>，其中火（核）电用水量</w:t>
      </w:r>
      <w:r>
        <w:rPr>
          <w:sz w:val="24"/>
        </w:rPr>
        <w:t>0.13</w:t>
      </w:r>
      <w:r>
        <w:rPr>
          <w:rFonts w:hAnsi="宋体"/>
          <w:sz w:val="24"/>
        </w:rPr>
        <w:t>亿</w:t>
      </w:r>
      <w:r>
        <w:rPr>
          <w:sz w:val="24"/>
        </w:rPr>
        <w:t>m</w:t>
      </w:r>
      <w:r>
        <w:rPr>
          <w:sz w:val="24"/>
          <w:vertAlign w:val="superscript"/>
        </w:rPr>
        <w:t>3</w:t>
      </w:r>
      <w:r>
        <w:rPr>
          <w:rFonts w:hAnsi="宋体"/>
          <w:sz w:val="24"/>
        </w:rPr>
        <w:t>，一般工业用水量</w:t>
      </w:r>
      <w:r>
        <w:rPr>
          <w:rFonts w:hint="eastAsia"/>
          <w:sz w:val="24"/>
        </w:rPr>
        <w:t>1</w:t>
      </w:r>
      <w:r>
        <w:rPr>
          <w:sz w:val="24"/>
        </w:rPr>
        <w:t>.81</w:t>
      </w:r>
      <w:r>
        <w:rPr>
          <w:rFonts w:hAnsi="宋体"/>
          <w:sz w:val="24"/>
        </w:rPr>
        <w:t>亿</w:t>
      </w:r>
      <w:r>
        <w:rPr>
          <w:sz w:val="24"/>
        </w:rPr>
        <w:t>m</w:t>
      </w:r>
      <w:r>
        <w:rPr>
          <w:sz w:val="24"/>
          <w:vertAlign w:val="superscript"/>
        </w:rPr>
        <w:t>3</w:t>
      </w:r>
      <w:r>
        <w:rPr>
          <w:rFonts w:hAnsi="宋体"/>
          <w:sz w:val="24"/>
        </w:rPr>
        <w:t>，</w:t>
      </w:r>
      <w:r>
        <w:rPr>
          <w:sz w:val="24"/>
        </w:rPr>
        <w:t>2020年</w:t>
      </w:r>
      <w:r>
        <w:rPr>
          <w:rFonts w:hAnsi="宋体"/>
          <w:sz w:val="24"/>
        </w:rPr>
        <w:t>六安市万元工业增加值用水量</w:t>
      </w:r>
      <w:r>
        <w:rPr>
          <w:sz w:val="24"/>
        </w:rPr>
        <w:t>45.2</w:t>
      </w:r>
      <w:r>
        <w:rPr>
          <w:rFonts w:hint="eastAsia"/>
          <w:sz w:val="24"/>
        </w:rPr>
        <w:t xml:space="preserve"> </w:t>
      </w:r>
      <w:r>
        <w:rPr>
          <w:sz w:val="24"/>
        </w:rPr>
        <w:t>m</w:t>
      </w:r>
      <w:r>
        <w:rPr>
          <w:sz w:val="24"/>
          <w:vertAlign w:val="superscript"/>
        </w:rPr>
        <w:t>3</w:t>
      </w:r>
      <w:r>
        <w:rPr>
          <w:sz w:val="24"/>
        </w:rPr>
        <w:t>/</w:t>
      </w:r>
      <w:r>
        <w:rPr>
          <w:rFonts w:hAnsi="宋体"/>
          <w:sz w:val="24"/>
        </w:rPr>
        <w:t>万元</w:t>
      </w:r>
      <w:r>
        <w:rPr>
          <w:rFonts w:hint="eastAsia" w:hAnsi="宋体"/>
          <w:sz w:val="24"/>
        </w:rPr>
        <w:t>（按当年价计算）</w:t>
      </w:r>
      <w:r>
        <w:rPr>
          <w:rFonts w:hAnsi="宋体"/>
          <w:sz w:val="24"/>
        </w:rPr>
        <w:t>。</w:t>
      </w:r>
    </w:p>
    <w:p>
      <w:pPr>
        <w:keepNext/>
        <w:keepLines/>
        <w:adjustRightInd w:val="0"/>
        <w:snapToGrid w:val="0"/>
        <w:spacing w:before="312" w:beforeLines="100" w:after="312" w:afterLines="100" w:line="360" w:lineRule="auto"/>
        <w:jc w:val="center"/>
        <w:outlineLvl w:val="1"/>
        <w:rPr>
          <w:b/>
          <w:bCs/>
          <w:sz w:val="32"/>
          <w:szCs w:val="36"/>
        </w:rPr>
      </w:pPr>
      <w:bookmarkStart w:id="325" w:name="_Toc382472232"/>
      <w:bookmarkStart w:id="326" w:name="_Toc432782560"/>
      <w:bookmarkStart w:id="327" w:name="_Toc95382496"/>
      <w:r>
        <w:rPr>
          <w:rFonts w:hint="eastAsia"/>
          <w:b/>
          <w:bCs/>
          <w:sz w:val="32"/>
          <w:szCs w:val="36"/>
        </w:rPr>
        <w:t>第二节 节水潜力分析</w:t>
      </w:r>
      <w:bookmarkEnd w:id="325"/>
      <w:bookmarkEnd w:id="326"/>
      <w:bookmarkEnd w:id="327"/>
    </w:p>
    <w:p>
      <w:pPr>
        <w:spacing w:line="360" w:lineRule="auto"/>
        <w:ind w:firstLine="480" w:firstLineChars="200"/>
        <w:rPr>
          <w:sz w:val="24"/>
        </w:rPr>
      </w:pPr>
      <w:r>
        <w:rPr>
          <w:rFonts w:hAnsi="宋体"/>
          <w:sz w:val="24"/>
        </w:rPr>
        <w:t>根据对六安市用水现状水平分析表明，六安市现状用水效率与先进水平相比还有较大差距，各行业还有较大的节水潜力可挖。</w:t>
      </w:r>
    </w:p>
    <w:p>
      <w:pPr>
        <w:spacing w:line="360" w:lineRule="auto"/>
        <w:ind w:firstLine="480" w:firstLineChars="200"/>
        <w:rPr>
          <w:rFonts w:hAnsi="宋体"/>
          <w:sz w:val="24"/>
        </w:rPr>
      </w:pPr>
      <w:r>
        <w:rPr>
          <w:rFonts w:hint="eastAsia" w:hAnsi="宋体"/>
          <w:sz w:val="24"/>
        </w:rPr>
        <w:t>（一）</w:t>
      </w:r>
      <w:r>
        <w:rPr>
          <w:rFonts w:hAnsi="宋体"/>
          <w:sz w:val="24"/>
        </w:rPr>
        <w:t>生活</w:t>
      </w:r>
    </w:p>
    <w:p>
      <w:pPr>
        <w:spacing w:line="360" w:lineRule="auto"/>
        <w:ind w:firstLine="480" w:firstLineChars="200"/>
        <w:rPr>
          <w:sz w:val="24"/>
        </w:rPr>
      </w:pPr>
      <w:r>
        <w:rPr>
          <w:rFonts w:hAnsi="宋体"/>
          <w:sz w:val="24"/>
        </w:rPr>
        <w:t>生活节水的重点是减少水的浪费和损失，主要手段是通过普及节水器具、提高水价、增强节水意识等，将用水量和用水定额控制在与经济社会发展水平和生活条件改善相应的范围内。</w:t>
      </w:r>
    </w:p>
    <w:p>
      <w:pPr>
        <w:spacing w:line="360" w:lineRule="auto"/>
        <w:ind w:firstLine="480" w:firstLineChars="200"/>
        <w:rPr>
          <w:rFonts w:hAnsi="宋体"/>
          <w:sz w:val="24"/>
        </w:rPr>
      </w:pPr>
      <w:r>
        <w:rPr>
          <w:rFonts w:hAnsi="宋体"/>
          <w:sz w:val="24"/>
        </w:rPr>
        <w:t>城镇生活节水潜力主要包括供水管网节水和节水器具两个部分，</w:t>
      </w:r>
      <w:r>
        <w:rPr>
          <w:rFonts w:hint="eastAsia" w:hAnsi="宋体"/>
          <w:sz w:val="24"/>
        </w:rPr>
        <w:t>供水管网节水根据</w:t>
      </w:r>
      <w:r>
        <w:rPr>
          <w:rFonts w:hAnsi="宋体"/>
          <w:sz w:val="24"/>
        </w:rPr>
        <w:t>城市管网漏损率</w:t>
      </w:r>
      <w:r>
        <w:rPr>
          <w:rFonts w:hint="eastAsia" w:hAnsi="宋体"/>
          <w:sz w:val="24"/>
        </w:rPr>
        <w:t>和城镇生活用水量计算，节水器具节水根据城镇</w:t>
      </w:r>
      <w:r>
        <w:rPr>
          <w:rFonts w:hAnsi="宋体"/>
          <w:sz w:val="24"/>
        </w:rPr>
        <w:t>人口及节水器具普及率</w:t>
      </w:r>
      <w:r>
        <w:rPr>
          <w:rFonts w:hint="eastAsia" w:hAnsi="宋体"/>
          <w:sz w:val="24"/>
        </w:rPr>
        <w:t>计算。</w:t>
      </w:r>
      <w:r>
        <w:rPr>
          <w:rFonts w:hAnsi="宋体"/>
          <w:sz w:val="24"/>
        </w:rPr>
        <w:t>通过计算得到</w:t>
      </w:r>
      <w:r>
        <w:rPr>
          <w:sz w:val="24"/>
        </w:rPr>
        <w:t>2025</w:t>
      </w:r>
      <w:r>
        <w:rPr>
          <w:rFonts w:hint="eastAsia"/>
          <w:sz w:val="24"/>
        </w:rPr>
        <w:t>年和</w:t>
      </w:r>
      <w:r>
        <w:rPr>
          <w:sz w:val="24"/>
        </w:rPr>
        <w:t>2030</w:t>
      </w:r>
      <w:r>
        <w:rPr>
          <w:rFonts w:hAnsi="宋体"/>
          <w:sz w:val="24"/>
        </w:rPr>
        <w:t>年城镇生活的节水潜力分别为</w:t>
      </w:r>
      <w:r>
        <w:rPr>
          <w:sz w:val="24"/>
        </w:rPr>
        <w:t>264</w:t>
      </w:r>
      <w:r>
        <w:rPr>
          <w:rFonts w:hAnsi="宋体"/>
          <w:sz w:val="24"/>
        </w:rPr>
        <w:t>万</w:t>
      </w:r>
      <w:r>
        <w:rPr>
          <w:sz w:val="24"/>
        </w:rPr>
        <w:t>m</w:t>
      </w:r>
      <w:r>
        <w:rPr>
          <w:sz w:val="24"/>
          <w:vertAlign w:val="superscript"/>
        </w:rPr>
        <w:t>3</w:t>
      </w:r>
      <w:r>
        <w:rPr>
          <w:sz w:val="24"/>
        </w:rPr>
        <w:t>/a</w:t>
      </w:r>
      <w:r>
        <w:rPr>
          <w:rFonts w:hAnsi="宋体"/>
          <w:sz w:val="24"/>
        </w:rPr>
        <w:t>和522万m</w:t>
      </w:r>
      <w:r>
        <w:rPr>
          <w:rFonts w:hAnsi="宋体"/>
          <w:sz w:val="24"/>
          <w:vertAlign w:val="superscript"/>
        </w:rPr>
        <w:t>3</w:t>
      </w:r>
      <w:r>
        <w:rPr>
          <w:rFonts w:hAnsi="宋体"/>
          <w:sz w:val="24"/>
        </w:rPr>
        <w:t>/a。</w:t>
      </w:r>
    </w:p>
    <w:p>
      <w:pPr>
        <w:spacing w:line="360" w:lineRule="auto"/>
        <w:ind w:firstLine="480" w:firstLineChars="200"/>
        <w:rPr>
          <w:rFonts w:hAnsi="宋体"/>
          <w:sz w:val="24"/>
        </w:rPr>
      </w:pPr>
      <w:r>
        <w:rPr>
          <w:rFonts w:hint="eastAsia" w:hAnsi="宋体"/>
          <w:sz w:val="24"/>
        </w:rPr>
        <w:t>（二）</w:t>
      </w:r>
      <w:r>
        <w:rPr>
          <w:rFonts w:hAnsi="宋体"/>
          <w:sz w:val="24"/>
        </w:rPr>
        <w:t>农业</w:t>
      </w:r>
    </w:p>
    <w:p>
      <w:pPr>
        <w:spacing w:line="360" w:lineRule="auto"/>
        <w:ind w:firstLine="480" w:firstLineChars="200"/>
        <w:rPr>
          <w:sz w:val="24"/>
        </w:rPr>
      </w:pPr>
      <w:r>
        <w:rPr>
          <w:rFonts w:hAnsi="宋体"/>
          <w:sz w:val="24"/>
        </w:rPr>
        <w:t>考虑随着节水</w:t>
      </w:r>
      <w:r>
        <w:rPr>
          <w:rFonts w:hint="eastAsia" w:hAnsi="宋体"/>
          <w:sz w:val="24"/>
        </w:rPr>
        <w:t>灌溉制度</w:t>
      </w:r>
      <w:r>
        <w:rPr>
          <w:rFonts w:hAnsi="宋体"/>
          <w:sz w:val="24"/>
        </w:rPr>
        <w:t>的推广，水田、水浇地、菜田等作物灌溉定额逐渐减少；同时加大对现有灌溉渠系的修葺与维护，至</w:t>
      </w:r>
      <w:r>
        <w:rPr>
          <w:sz w:val="24"/>
        </w:rPr>
        <w:t>2025</w:t>
      </w:r>
      <w:r>
        <w:rPr>
          <w:rFonts w:hAnsi="宋体"/>
          <w:sz w:val="24"/>
        </w:rPr>
        <w:t>年灌溉水利系数由现状年的</w:t>
      </w:r>
      <w:r>
        <w:rPr>
          <w:sz w:val="24"/>
        </w:rPr>
        <w:t>0.5167</w:t>
      </w:r>
      <w:r>
        <w:rPr>
          <w:rFonts w:hAnsi="宋体"/>
          <w:sz w:val="24"/>
        </w:rPr>
        <w:t>提高到</w:t>
      </w:r>
      <w:r>
        <w:rPr>
          <w:sz w:val="24"/>
        </w:rPr>
        <w:t>0.55</w:t>
      </w:r>
      <w:r>
        <w:rPr>
          <w:rFonts w:hAnsi="宋体"/>
          <w:sz w:val="24"/>
        </w:rPr>
        <w:t>，</w:t>
      </w:r>
      <w:r>
        <w:rPr>
          <w:sz w:val="24"/>
        </w:rPr>
        <w:t>2030</w:t>
      </w:r>
      <w:r>
        <w:rPr>
          <w:rFonts w:hAnsi="宋体"/>
          <w:sz w:val="24"/>
        </w:rPr>
        <w:t>年提高至</w:t>
      </w:r>
      <w:r>
        <w:rPr>
          <w:sz w:val="24"/>
        </w:rPr>
        <w:t>0.57</w:t>
      </w:r>
      <w:r>
        <w:rPr>
          <w:rFonts w:hAnsi="宋体"/>
          <w:sz w:val="24"/>
        </w:rPr>
        <w:t>。在各类农田灌溉面积采用现状（</w:t>
      </w:r>
      <w:r>
        <w:rPr>
          <w:sz w:val="24"/>
        </w:rPr>
        <w:t>2020年</w:t>
      </w:r>
      <w:r>
        <w:rPr>
          <w:rFonts w:hAnsi="宋体"/>
          <w:sz w:val="24"/>
        </w:rPr>
        <w:t>）有效灌溉面积的情况下，多年平均条件下，</w:t>
      </w:r>
      <w:r>
        <w:rPr>
          <w:sz w:val="24"/>
        </w:rPr>
        <w:t>2025</w:t>
      </w:r>
      <w:r>
        <w:rPr>
          <w:rFonts w:hAnsi="宋体"/>
          <w:sz w:val="24"/>
        </w:rPr>
        <w:t>年和</w:t>
      </w:r>
      <w:r>
        <w:rPr>
          <w:sz w:val="24"/>
        </w:rPr>
        <w:t>2030</w:t>
      </w:r>
      <w:r>
        <w:rPr>
          <w:rFonts w:hAnsi="宋体"/>
          <w:sz w:val="24"/>
        </w:rPr>
        <w:t>年农业节水潜力分别为</w:t>
      </w:r>
      <w:r>
        <w:rPr>
          <w:sz w:val="24"/>
        </w:rPr>
        <w:t>17304</w:t>
      </w:r>
      <w:r>
        <w:rPr>
          <w:rFonts w:hAnsi="宋体"/>
          <w:sz w:val="24"/>
        </w:rPr>
        <w:t>万</w:t>
      </w:r>
      <w:r>
        <w:rPr>
          <w:sz w:val="24"/>
        </w:rPr>
        <w:t>m</w:t>
      </w:r>
      <w:r>
        <w:rPr>
          <w:sz w:val="24"/>
          <w:vertAlign w:val="superscript"/>
        </w:rPr>
        <w:t>3</w:t>
      </w:r>
      <w:r>
        <w:rPr>
          <w:sz w:val="24"/>
        </w:rPr>
        <w:t>/a</w:t>
      </w:r>
      <w:r>
        <w:rPr>
          <w:rFonts w:hAnsi="宋体"/>
          <w:sz w:val="24"/>
        </w:rPr>
        <w:t>和</w:t>
      </w:r>
      <w:r>
        <w:rPr>
          <w:sz w:val="24"/>
        </w:rPr>
        <w:t>34523</w:t>
      </w:r>
      <w:r>
        <w:rPr>
          <w:rFonts w:hAnsi="宋体"/>
          <w:sz w:val="24"/>
        </w:rPr>
        <w:t>万</w:t>
      </w:r>
      <w:r>
        <w:rPr>
          <w:sz w:val="24"/>
        </w:rPr>
        <w:t>m</w:t>
      </w:r>
      <w:r>
        <w:rPr>
          <w:sz w:val="24"/>
          <w:vertAlign w:val="superscript"/>
        </w:rPr>
        <w:t>3</w:t>
      </w:r>
      <w:r>
        <w:rPr>
          <w:sz w:val="24"/>
        </w:rPr>
        <w:t>/a</w:t>
      </w:r>
      <w:r>
        <w:rPr>
          <w:rFonts w:hAnsi="宋体"/>
          <w:sz w:val="24"/>
        </w:rPr>
        <w:t>。</w:t>
      </w:r>
    </w:p>
    <w:p>
      <w:pPr>
        <w:spacing w:line="360" w:lineRule="auto"/>
        <w:ind w:firstLine="480" w:firstLineChars="200"/>
        <w:rPr>
          <w:rFonts w:hAnsi="宋体"/>
          <w:sz w:val="24"/>
        </w:rPr>
      </w:pPr>
      <w:r>
        <w:rPr>
          <w:rFonts w:hint="eastAsia" w:hAnsi="宋体"/>
          <w:sz w:val="24"/>
        </w:rPr>
        <w:t>（三）</w:t>
      </w:r>
      <w:r>
        <w:rPr>
          <w:rFonts w:hAnsi="宋体"/>
          <w:sz w:val="24"/>
        </w:rPr>
        <w:t>工业</w:t>
      </w:r>
    </w:p>
    <w:p>
      <w:pPr>
        <w:spacing w:line="360" w:lineRule="auto"/>
        <w:ind w:firstLine="480" w:firstLineChars="200"/>
        <w:rPr>
          <w:rFonts w:hAnsi="宋体"/>
          <w:sz w:val="24"/>
        </w:rPr>
      </w:pPr>
      <w:r>
        <w:rPr>
          <w:rFonts w:hAnsi="宋体"/>
          <w:sz w:val="24"/>
        </w:rPr>
        <w:t>工业节水潜力主要体现在调整产业结构、改良生产工艺、提高工业用水重复利用率、减少输水管道漏损等方面，结合</w:t>
      </w:r>
      <w:r>
        <w:rPr>
          <w:rFonts w:hint="eastAsia" w:hAnsi="宋体"/>
          <w:sz w:val="24"/>
        </w:rPr>
        <w:t>六安</w:t>
      </w:r>
      <w:r>
        <w:rPr>
          <w:rFonts w:hAnsi="宋体"/>
          <w:sz w:val="24"/>
        </w:rPr>
        <w:t>市工业用水实际和国内节水工作先进城市的经验，提出未来各水平年的工业节水指标值。</w:t>
      </w:r>
    </w:p>
    <w:p>
      <w:pPr>
        <w:spacing w:line="360" w:lineRule="auto"/>
        <w:ind w:firstLine="480" w:firstLineChars="200"/>
        <w:rPr>
          <w:sz w:val="24"/>
        </w:rPr>
      </w:pPr>
      <w:r>
        <w:rPr>
          <w:rFonts w:hAnsi="宋体"/>
          <w:sz w:val="24"/>
        </w:rPr>
        <w:t>按</w:t>
      </w:r>
      <w:r>
        <w:rPr>
          <w:sz w:val="24"/>
        </w:rPr>
        <w:t>2020年</w:t>
      </w:r>
      <w:r>
        <w:rPr>
          <w:rFonts w:hAnsi="宋体"/>
          <w:sz w:val="24"/>
        </w:rPr>
        <w:t>工业经济指标计算，至</w:t>
      </w:r>
      <w:r>
        <w:rPr>
          <w:sz w:val="24"/>
        </w:rPr>
        <w:t>2025</w:t>
      </w:r>
      <w:r>
        <w:rPr>
          <w:rFonts w:hAnsi="宋体"/>
          <w:sz w:val="24"/>
        </w:rPr>
        <w:t>年和</w:t>
      </w:r>
      <w:r>
        <w:rPr>
          <w:sz w:val="24"/>
        </w:rPr>
        <w:t>2030</w:t>
      </w:r>
      <w:r>
        <w:rPr>
          <w:rFonts w:hAnsi="宋体"/>
          <w:sz w:val="24"/>
        </w:rPr>
        <w:t>年六安工业节水潜力分别为5240万</w:t>
      </w:r>
      <w:r>
        <w:rPr>
          <w:sz w:val="24"/>
        </w:rPr>
        <w:t>m</w:t>
      </w:r>
      <w:r>
        <w:rPr>
          <w:sz w:val="24"/>
          <w:vertAlign w:val="superscript"/>
        </w:rPr>
        <w:t>3</w:t>
      </w:r>
      <w:r>
        <w:rPr>
          <w:sz w:val="24"/>
        </w:rPr>
        <w:t>/a</w:t>
      </w:r>
      <w:r>
        <w:rPr>
          <w:rFonts w:hAnsi="宋体"/>
          <w:sz w:val="24"/>
        </w:rPr>
        <w:t>和7363万</w:t>
      </w:r>
      <w:r>
        <w:rPr>
          <w:sz w:val="24"/>
        </w:rPr>
        <w:t>m</w:t>
      </w:r>
      <w:r>
        <w:rPr>
          <w:sz w:val="24"/>
          <w:vertAlign w:val="superscript"/>
        </w:rPr>
        <w:t>3</w:t>
      </w:r>
      <w:r>
        <w:rPr>
          <w:sz w:val="24"/>
        </w:rPr>
        <w:t>/a</w:t>
      </w:r>
      <w:r>
        <w:rPr>
          <w:rFonts w:hAnsi="宋体"/>
          <w:sz w:val="24"/>
        </w:rPr>
        <w:t>。</w:t>
      </w:r>
    </w:p>
    <w:p>
      <w:pPr>
        <w:spacing w:line="360" w:lineRule="auto"/>
        <w:ind w:firstLine="480" w:firstLineChars="200"/>
        <w:rPr>
          <w:rFonts w:hAnsi="宋体"/>
          <w:sz w:val="24"/>
        </w:rPr>
      </w:pPr>
      <w:r>
        <w:rPr>
          <w:rFonts w:hAnsi="宋体"/>
          <w:sz w:val="24"/>
        </w:rPr>
        <w:t>不同行业节水潜力见表</w:t>
      </w:r>
      <w:r>
        <w:rPr>
          <w:rFonts w:hint="eastAsia" w:hAnsi="宋体"/>
          <w:sz w:val="24"/>
        </w:rPr>
        <w:t>5.2.1</w:t>
      </w:r>
      <w:r>
        <w:rPr>
          <w:rFonts w:hAnsi="宋体"/>
          <w:sz w:val="24"/>
        </w:rPr>
        <w:t>。</w:t>
      </w:r>
    </w:p>
    <w:p>
      <w:pPr>
        <w:wordWrap w:val="0"/>
        <w:spacing w:line="520" w:lineRule="exact"/>
        <w:ind w:firstLine="482" w:firstLineChars="200"/>
        <w:jc w:val="right"/>
        <w:rPr>
          <w:b/>
          <w:sz w:val="24"/>
        </w:rPr>
      </w:pPr>
      <w:r>
        <w:rPr>
          <w:rFonts w:hAnsi="宋体"/>
          <w:b/>
          <w:sz w:val="24"/>
        </w:rPr>
        <w:t>表</w:t>
      </w:r>
      <w:r>
        <w:rPr>
          <w:b/>
          <w:sz w:val="24"/>
        </w:rPr>
        <w:t>5.</w:t>
      </w:r>
      <w:r>
        <w:rPr>
          <w:rFonts w:hint="eastAsia"/>
          <w:b/>
          <w:sz w:val="24"/>
        </w:rPr>
        <w:t xml:space="preserve">2.1  不同行业节水潜力表              </w:t>
      </w:r>
      <w:r>
        <w:rPr>
          <w:rFonts w:hint="eastAsia"/>
          <w:sz w:val="18"/>
          <w:szCs w:val="18"/>
        </w:rPr>
        <w:t xml:space="preserve"> 单位：万m</w:t>
      </w:r>
      <w:r>
        <w:rPr>
          <w:rFonts w:hint="eastAsia"/>
          <w:sz w:val="18"/>
          <w:szCs w:val="18"/>
          <w:vertAlign w:val="superscript"/>
        </w:rPr>
        <w:t>3</w:t>
      </w:r>
    </w:p>
    <w:tbl>
      <w:tblPr>
        <w:tblStyle w:val="36"/>
        <w:tblW w:w="5000" w:type="pct"/>
        <w:tblInd w:w="0" w:type="dxa"/>
        <w:tblLayout w:type="autofit"/>
        <w:tblCellMar>
          <w:top w:w="0" w:type="dxa"/>
          <w:left w:w="108" w:type="dxa"/>
          <w:bottom w:w="0" w:type="dxa"/>
          <w:right w:w="108" w:type="dxa"/>
        </w:tblCellMar>
      </w:tblPr>
      <w:tblGrid>
        <w:gridCol w:w="1214"/>
        <w:gridCol w:w="1827"/>
        <w:gridCol w:w="1829"/>
        <w:gridCol w:w="1829"/>
        <w:gridCol w:w="1829"/>
      </w:tblGrid>
      <w:tr>
        <w:tblPrEx>
          <w:tblCellMar>
            <w:top w:w="0" w:type="dxa"/>
            <w:left w:w="108" w:type="dxa"/>
            <w:bottom w:w="0" w:type="dxa"/>
            <w:right w:w="108" w:type="dxa"/>
          </w:tblCellMar>
        </w:tblPrEx>
        <w:trPr>
          <w:trHeight w:val="397" w:hRule="atLeast"/>
        </w:trPr>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水平年</w:t>
            </w:r>
          </w:p>
        </w:tc>
        <w:tc>
          <w:tcPr>
            <w:tcW w:w="1071"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生活</w:t>
            </w:r>
          </w:p>
        </w:tc>
        <w:tc>
          <w:tcPr>
            <w:tcW w:w="1072"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农业</w:t>
            </w:r>
          </w:p>
        </w:tc>
        <w:tc>
          <w:tcPr>
            <w:tcW w:w="1072"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工业</w:t>
            </w:r>
          </w:p>
        </w:tc>
        <w:tc>
          <w:tcPr>
            <w:tcW w:w="1072"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Ansi="宋体"/>
                <w:kern w:val="0"/>
                <w:sz w:val="18"/>
                <w:szCs w:val="18"/>
              </w:rPr>
              <w:t>合计</w:t>
            </w:r>
          </w:p>
        </w:tc>
      </w:tr>
      <w:tr>
        <w:tblPrEx>
          <w:tblCellMar>
            <w:top w:w="0" w:type="dxa"/>
            <w:left w:w="108" w:type="dxa"/>
            <w:bottom w:w="0" w:type="dxa"/>
            <w:right w:w="108" w:type="dxa"/>
          </w:tblCellMar>
        </w:tblPrEx>
        <w:trPr>
          <w:trHeight w:val="397" w:hRule="atLeast"/>
        </w:trPr>
        <w:tc>
          <w:tcPr>
            <w:tcW w:w="71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2025</w:t>
            </w:r>
            <w:r>
              <w:rPr>
                <w:rFonts w:hint="eastAsia"/>
                <w:kern w:val="0"/>
                <w:sz w:val="18"/>
                <w:szCs w:val="18"/>
              </w:rPr>
              <w:t>年</w:t>
            </w:r>
          </w:p>
        </w:tc>
        <w:tc>
          <w:tcPr>
            <w:tcW w:w="10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264</w:t>
            </w:r>
          </w:p>
        </w:tc>
        <w:tc>
          <w:tcPr>
            <w:tcW w:w="107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17304</w:t>
            </w:r>
          </w:p>
        </w:tc>
        <w:tc>
          <w:tcPr>
            <w:tcW w:w="107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5240</w:t>
            </w:r>
          </w:p>
        </w:tc>
        <w:tc>
          <w:tcPr>
            <w:tcW w:w="1072"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22808</w:t>
            </w:r>
          </w:p>
        </w:tc>
      </w:tr>
      <w:tr>
        <w:tblPrEx>
          <w:tblCellMar>
            <w:top w:w="0" w:type="dxa"/>
            <w:left w:w="108" w:type="dxa"/>
            <w:bottom w:w="0" w:type="dxa"/>
            <w:right w:w="108" w:type="dxa"/>
          </w:tblCellMar>
        </w:tblPrEx>
        <w:trPr>
          <w:trHeight w:val="397" w:hRule="atLeast"/>
        </w:trPr>
        <w:tc>
          <w:tcPr>
            <w:tcW w:w="712" w:type="pc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2030</w:t>
            </w:r>
            <w:r>
              <w:rPr>
                <w:rFonts w:hint="eastAsia"/>
                <w:kern w:val="0"/>
                <w:sz w:val="18"/>
                <w:szCs w:val="18"/>
              </w:rPr>
              <w:t>年</w:t>
            </w:r>
          </w:p>
        </w:tc>
        <w:tc>
          <w:tcPr>
            <w:tcW w:w="1071"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522</w:t>
            </w:r>
          </w:p>
        </w:tc>
        <w:tc>
          <w:tcPr>
            <w:tcW w:w="1072"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34523</w:t>
            </w:r>
          </w:p>
        </w:tc>
        <w:tc>
          <w:tcPr>
            <w:tcW w:w="1072"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7363</w:t>
            </w:r>
          </w:p>
        </w:tc>
        <w:tc>
          <w:tcPr>
            <w:tcW w:w="1072" w:type="pct"/>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42408</w:t>
            </w:r>
          </w:p>
        </w:tc>
      </w:tr>
    </w:tbl>
    <w:p>
      <w:pPr>
        <w:spacing w:line="360" w:lineRule="auto"/>
        <w:ind w:firstLine="480" w:firstLineChars="200"/>
        <w:rPr>
          <w:color w:val="FF0000"/>
          <w:sz w:val="24"/>
        </w:rPr>
      </w:pPr>
    </w:p>
    <w:p>
      <w:pPr>
        <w:keepNext/>
        <w:keepLines/>
        <w:adjustRightInd w:val="0"/>
        <w:snapToGrid w:val="0"/>
        <w:spacing w:before="312" w:beforeLines="100" w:after="312" w:afterLines="100" w:line="360" w:lineRule="auto"/>
        <w:jc w:val="center"/>
        <w:outlineLvl w:val="1"/>
        <w:rPr>
          <w:b/>
          <w:bCs/>
          <w:sz w:val="32"/>
          <w:szCs w:val="36"/>
        </w:rPr>
      </w:pPr>
      <w:bookmarkStart w:id="328" w:name="_Toc432782563"/>
      <w:bookmarkStart w:id="329" w:name="_Toc382472235"/>
      <w:bookmarkStart w:id="330" w:name="_Toc95382497"/>
      <w:r>
        <w:rPr>
          <w:rFonts w:hint="eastAsia"/>
          <w:b/>
          <w:bCs/>
          <w:sz w:val="32"/>
          <w:szCs w:val="36"/>
        </w:rPr>
        <w:t>第三节 节水</w:t>
      </w:r>
      <w:bookmarkEnd w:id="328"/>
      <w:bookmarkEnd w:id="329"/>
      <w:r>
        <w:rPr>
          <w:rFonts w:hint="eastAsia"/>
          <w:b/>
          <w:bCs/>
          <w:sz w:val="32"/>
          <w:szCs w:val="36"/>
        </w:rPr>
        <w:t>目标和总体布局</w:t>
      </w:r>
      <w:bookmarkEnd w:id="330"/>
    </w:p>
    <w:p>
      <w:pPr>
        <w:pStyle w:val="4"/>
        <w:spacing w:before="156" w:beforeLines="50" w:after="156" w:afterLines="50"/>
        <w:rPr>
          <w:sz w:val="28"/>
        </w:rPr>
      </w:pPr>
      <w:bookmarkStart w:id="331" w:name="_Toc432782564"/>
      <w:bookmarkStart w:id="332" w:name="_Toc382472236"/>
      <w:bookmarkStart w:id="333" w:name="_Toc95382498"/>
      <w:r>
        <w:rPr>
          <w:rFonts w:hint="eastAsia"/>
          <w:sz w:val="28"/>
        </w:rPr>
        <w:t>一、</w:t>
      </w:r>
      <w:bookmarkEnd w:id="331"/>
      <w:bookmarkEnd w:id="332"/>
      <w:r>
        <w:rPr>
          <w:rFonts w:hint="eastAsia"/>
          <w:sz w:val="28"/>
        </w:rPr>
        <w:t>节水目标</w:t>
      </w:r>
      <w:bookmarkEnd w:id="333"/>
    </w:p>
    <w:p>
      <w:pPr>
        <w:spacing w:line="360" w:lineRule="auto"/>
        <w:ind w:firstLine="480" w:firstLineChars="200"/>
        <w:rPr>
          <w:rFonts w:hAnsi="宋体"/>
          <w:sz w:val="24"/>
        </w:rPr>
      </w:pPr>
      <w:r>
        <w:rPr>
          <w:rFonts w:hint="eastAsia" w:hAnsi="宋体"/>
          <w:sz w:val="24"/>
        </w:rPr>
        <w:t>（一）</w:t>
      </w:r>
      <w:r>
        <w:rPr>
          <w:rFonts w:hAnsi="宋体"/>
          <w:sz w:val="24"/>
        </w:rPr>
        <w:t>总体目标</w:t>
      </w:r>
    </w:p>
    <w:p>
      <w:pPr>
        <w:spacing w:line="360" w:lineRule="auto"/>
        <w:ind w:firstLine="480" w:firstLineChars="200"/>
        <w:rPr>
          <w:sz w:val="24"/>
        </w:rPr>
      </w:pPr>
      <w:r>
        <w:rPr>
          <w:rFonts w:hint="eastAsia" w:hAnsi="宋体"/>
          <w:sz w:val="24"/>
        </w:rPr>
        <w:t>坚持“以水定城、以水定地、以水定人、以水定产”的原则要求，把水资源作为最大的刚性约束，合理规划人口、城市和产业发展，坚决抑制不合理用水需求，大力发展节水产业和技术，大力推进农业节水，实施全社会节水行动，推动用水方式由粗放向节约集约转变。</w:t>
      </w:r>
    </w:p>
    <w:p>
      <w:pPr>
        <w:spacing w:line="360" w:lineRule="auto"/>
        <w:ind w:firstLine="480" w:firstLineChars="200"/>
        <w:rPr>
          <w:sz w:val="24"/>
        </w:rPr>
      </w:pPr>
      <w:r>
        <w:rPr>
          <w:rFonts w:hAnsi="宋体"/>
          <w:sz w:val="24"/>
        </w:rPr>
        <w:t>至</w:t>
      </w:r>
      <w:r>
        <w:rPr>
          <w:sz w:val="24"/>
        </w:rPr>
        <w:t>2025</w:t>
      </w:r>
      <w:r>
        <w:rPr>
          <w:rFonts w:hAnsi="宋体"/>
          <w:sz w:val="24"/>
        </w:rPr>
        <w:t>年，</w:t>
      </w:r>
      <w:r>
        <w:rPr>
          <w:rFonts w:hint="eastAsia" w:hAnsi="宋体"/>
          <w:sz w:val="24"/>
        </w:rPr>
        <w:t>全市</w:t>
      </w:r>
      <w:r>
        <w:rPr>
          <w:rFonts w:hAnsi="宋体"/>
          <w:sz w:val="24"/>
        </w:rPr>
        <w:t>万元</w:t>
      </w:r>
      <w:r>
        <w:rPr>
          <w:sz w:val="24"/>
        </w:rPr>
        <w:t>GDP</w:t>
      </w:r>
      <w:r>
        <w:rPr>
          <w:rFonts w:hAnsi="宋体"/>
          <w:sz w:val="24"/>
        </w:rPr>
        <w:t>用水量</w:t>
      </w:r>
      <w:r>
        <w:rPr>
          <w:rFonts w:hint="eastAsia" w:hAnsi="宋体"/>
          <w:sz w:val="24"/>
        </w:rPr>
        <w:t>比现状年下降2</w:t>
      </w:r>
      <w:r>
        <w:rPr>
          <w:rFonts w:hAnsi="宋体"/>
          <w:sz w:val="24"/>
        </w:rPr>
        <w:t>0</w:t>
      </w:r>
      <w:r>
        <w:rPr>
          <w:rFonts w:hint="eastAsia" w:hAnsi="宋体"/>
          <w:sz w:val="24"/>
        </w:rPr>
        <w:t>%，</w:t>
      </w:r>
      <w:r>
        <w:rPr>
          <w:rFonts w:hAnsi="宋体"/>
          <w:sz w:val="24"/>
        </w:rPr>
        <w:t>控制在</w:t>
      </w:r>
      <w:r>
        <w:rPr>
          <w:sz w:val="24"/>
        </w:rPr>
        <w:t>97.4 m</w:t>
      </w:r>
      <w:r>
        <w:rPr>
          <w:sz w:val="24"/>
          <w:vertAlign w:val="superscript"/>
        </w:rPr>
        <w:t>3</w:t>
      </w:r>
      <w:r>
        <w:rPr>
          <w:rFonts w:hint="eastAsia"/>
          <w:sz w:val="24"/>
        </w:rPr>
        <w:t>以下</w:t>
      </w:r>
      <w:r>
        <w:rPr>
          <w:rFonts w:hAnsi="宋体"/>
          <w:sz w:val="24"/>
        </w:rPr>
        <w:t>；至</w:t>
      </w:r>
      <w:r>
        <w:rPr>
          <w:sz w:val="24"/>
        </w:rPr>
        <w:t>2030</w:t>
      </w:r>
      <w:r>
        <w:rPr>
          <w:rFonts w:hAnsi="宋体"/>
          <w:sz w:val="24"/>
        </w:rPr>
        <w:t>年，</w:t>
      </w:r>
      <w:r>
        <w:rPr>
          <w:rFonts w:hint="eastAsia" w:hAnsi="宋体"/>
          <w:sz w:val="24"/>
        </w:rPr>
        <w:t>全市</w:t>
      </w:r>
      <w:r>
        <w:rPr>
          <w:rFonts w:hAnsi="宋体"/>
          <w:sz w:val="24"/>
        </w:rPr>
        <w:t>万元</w:t>
      </w:r>
      <w:r>
        <w:rPr>
          <w:sz w:val="24"/>
        </w:rPr>
        <w:t>GDP</w:t>
      </w:r>
      <w:r>
        <w:rPr>
          <w:rFonts w:hAnsi="宋体"/>
          <w:sz w:val="24"/>
        </w:rPr>
        <w:t>用水量控制在</w:t>
      </w:r>
      <w:r>
        <w:rPr>
          <w:sz w:val="24"/>
        </w:rPr>
        <w:t>82.2 m</w:t>
      </w:r>
      <w:r>
        <w:rPr>
          <w:sz w:val="24"/>
          <w:vertAlign w:val="superscript"/>
        </w:rPr>
        <w:t>3</w:t>
      </w:r>
      <w:r>
        <w:rPr>
          <w:rFonts w:hint="eastAsia"/>
          <w:sz w:val="24"/>
        </w:rPr>
        <w:t>以下</w:t>
      </w:r>
      <w:r>
        <w:rPr>
          <w:rFonts w:hAnsi="宋体"/>
          <w:sz w:val="24"/>
        </w:rPr>
        <w:t>。</w:t>
      </w:r>
    </w:p>
    <w:p>
      <w:pPr>
        <w:spacing w:line="360" w:lineRule="auto"/>
        <w:ind w:firstLine="480" w:firstLineChars="200"/>
        <w:rPr>
          <w:rFonts w:hAnsi="宋体"/>
          <w:sz w:val="24"/>
        </w:rPr>
      </w:pPr>
      <w:r>
        <w:rPr>
          <w:rFonts w:hint="eastAsia" w:hAnsi="宋体"/>
          <w:sz w:val="24"/>
        </w:rPr>
        <w:t>（二）</w:t>
      </w:r>
      <w:r>
        <w:rPr>
          <w:rFonts w:hAnsi="宋体"/>
          <w:sz w:val="24"/>
        </w:rPr>
        <w:t>主要行业节水指标</w:t>
      </w:r>
    </w:p>
    <w:p>
      <w:pPr>
        <w:spacing w:line="360" w:lineRule="auto"/>
        <w:ind w:firstLine="480" w:firstLineChars="200"/>
        <w:rPr>
          <w:rFonts w:hAnsi="宋体"/>
          <w:sz w:val="24"/>
        </w:rPr>
      </w:pPr>
      <w:r>
        <w:rPr>
          <w:rFonts w:hint="eastAsia" w:hAnsi="宋体"/>
          <w:sz w:val="24"/>
        </w:rPr>
        <w:t>1、</w:t>
      </w:r>
      <w:r>
        <w:rPr>
          <w:rFonts w:hAnsi="宋体"/>
          <w:sz w:val="24"/>
        </w:rPr>
        <w:t>农业节水目标</w:t>
      </w:r>
    </w:p>
    <w:p>
      <w:pPr>
        <w:spacing w:line="360" w:lineRule="auto"/>
        <w:ind w:firstLine="480" w:firstLineChars="200"/>
        <w:rPr>
          <w:sz w:val="24"/>
        </w:rPr>
      </w:pPr>
      <w:r>
        <w:rPr>
          <w:rFonts w:hAnsi="宋体"/>
          <w:sz w:val="24"/>
        </w:rPr>
        <w:t>以提高水的利用率和水分生产效率为核心，以建立六安现代节水型农业为目标，通过采取工程、技</w:t>
      </w:r>
      <w:r>
        <w:rPr>
          <w:rFonts w:hint="eastAsia" w:hAnsi="宋体"/>
          <w:sz w:val="24"/>
        </w:rPr>
        <w:t xml:space="preserve"> </w:t>
      </w:r>
      <w:r>
        <w:rPr>
          <w:rFonts w:hAnsi="宋体"/>
          <w:sz w:val="24"/>
        </w:rPr>
        <w:t>术、经济和管理等综合性农业节水措施，基本构筑完成节水型农业灌溉体系，逐步形成与六安水资源状况相适应的农业种植结构，以灌溉现代化促进农业现代化。</w:t>
      </w:r>
    </w:p>
    <w:p>
      <w:pPr>
        <w:spacing w:line="360" w:lineRule="auto"/>
        <w:ind w:firstLine="480" w:firstLineChars="200"/>
        <w:rPr>
          <w:sz w:val="24"/>
        </w:rPr>
      </w:pPr>
      <w:r>
        <w:rPr>
          <w:rFonts w:hAnsi="宋体"/>
          <w:sz w:val="24"/>
        </w:rPr>
        <w:t>至</w:t>
      </w:r>
      <w:r>
        <w:rPr>
          <w:sz w:val="24"/>
        </w:rPr>
        <w:t>2025</w:t>
      </w:r>
      <w:r>
        <w:rPr>
          <w:rFonts w:hAnsi="宋体"/>
          <w:sz w:val="24"/>
        </w:rPr>
        <w:t>年，六安市灌溉水</w:t>
      </w:r>
      <w:r>
        <w:rPr>
          <w:rFonts w:hint="eastAsia" w:hAnsi="宋体"/>
          <w:sz w:val="24"/>
        </w:rPr>
        <w:t>有效利用</w:t>
      </w:r>
      <w:r>
        <w:rPr>
          <w:rFonts w:hAnsi="宋体"/>
          <w:sz w:val="24"/>
        </w:rPr>
        <w:t>系数达到</w:t>
      </w:r>
      <w:r>
        <w:rPr>
          <w:sz w:val="24"/>
        </w:rPr>
        <w:t>0.55</w:t>
      </w:r>
      <w:r>
        <w:rPr>
          <w:rFonts w:hAnsi="宋体"/>
          <w:sz w:val="24"/>
        </w:rPr>
        <w:t>，</w:t>
      </w:r>
      <w:r>
        <w:rPr>
          <w:rFonts w:hint="eastAsia" w:hAnsi="宋体"/>
          <w:sz w:val="24"/>
        </w:rPr>
        <w:t>多年平均</w:t>
      </w:r>
      <w:r>
        <w:rPr>
          <w:rFonts w:hAnsi="宋体"/>
          <w:sz w:val="24"/>
        </w:rPr>
        <w:t>农业综合灌溉</w:t>
      </w:r>
      <w:r>
        <w:rPr>
          <w:rFonts w:hint="eastAsia" w:hAnsi="宋体"/>
          <w:sz w:val="24"/>
        </w:rPr>
        <w:t>指标</w:t>
      </w:r>
      <w:r>
        <w:rPr>
          <w:rFonts w:hAnsi="宋体"/>
          <w:sz w:val="24"/>
        </w:rPr>
        <w:t>可减少至</w:t>
      </w:r>
      <w:r>
        <w:rPr>
          <w:sz w:val="24"/>
        </w:rPr>
        <w:t>314.2 m</w:t>
      </w:r>
      <w:r>
        <w:rPr>
          <w:sz w:val="24"/>
          <w:vertAlign w:val="superscript"/>
        </w:rPr>
        <w:t>3</w:t>
      </w:r>
      <w:r>
        <w:rPr>
          <w:sz w:val="24"/>
        </w:rPr>
        <w:t>/</w:t>
      </w:r>
      <w:r>
        <w:rPr>
          <w:rFonts w:hAnsi="宋体"/>
          <w:sz w:val="24"/>
        </w:rPr>
        <w:t>亩；</w:t>
      </w:r>
      <w:r>
        <w:rPr>
          <w:rFonts w:hint="eastAsia"/>
          <w:sz w:val="24"/>
        </w:rPr>
        <w:t>至</w:t>
      </w:r>
      <w:r>
        <w:rPr>
          <w:sz w:val="24"/>
        </w:rPr>
        <w:t>2030</w:t>
      </w:r>
      <w:r>
        <w:rPr>
          <w:rFonts w:hAnsi="宋体"/>
          <w:sz w:val="24"/>
        </w:rPr>
        <w:t>年</w:t>
      </w:r>
      <w:r>
        <w:rPr>
          <w:rFonts w:hint="eastAsia" w:hAnsi="宋体"/>
          <w:sz w:val="24"/>
        </w:rPr>
        <w:t>，全市</w:t>
      </w:r>
      <w:r>
        <w:rPr>
          <w:rFonts w:hAnsi="宋体"/>
          <w:sz w:val="24"/>
        </w:rPr>
        <w:t>灌溉水</w:t>
      </w:r>
      <w:r>
        <w:rPr>
          <w:rFonts w:hint="eastAsia" w:hAnsi="宋体"/>
          <w:sz w:val="24"/>
        </w:rPr>
        <w:t>有效利用</w:t>
      </w:r>
      <w:r>
        <w:rPr>
          <w:rFonts w:hAnsi="宋体"/>
          <w:sz w:val="24"/>
        </w:rPr>
        <w:t>系数提高到</w:t>
      </w:r>
      <w:r>
        <w:rPr>
          <w:sz w:val="24"/>
        </w:rPr>
        <w:t>0.57</w:t>
      </w:r>
      <w:r>
        <w:rPr>
          <w:rFonts w:hAnsi="宋体"/>
          <w:sz w:val="24"/>
        </w:rPr>
        <w:t>，</w:t>
      </w:r>
      <w:r>
        <w:rPr>
          <w:rFonts w:hint="eastAsia" w:hAnsi="宋体"/>
          <w:sz w:val="24"/>
        </w:rPr>
        <w:t>多年平均</w:t>
      </w:r>
      <w:r>
        <w:rPr>
          <w:rFonts w:hAnsi="宋体"/>
          <w:sz w:val="24"/>
        </w:rPr>
        <w:t>农业综合灌溉</w:t>
      </w:r>
      <w:r>
        <w:rPr>
          <w:rFonts w:hint="eastAsia" w:hAnsi="宋体"/>
          <w:sz w:val="24"/>
        </w:rPr>
        <w:t>指标</w:t>
      </w:r>
      <w:r>
        <w:rPr>
          <w:rFonts w:hAnsi="宋体"/>
          <w:sz w:val="24"/>
        </w:rPr>
        <w:t>减少至</w:t>
      </w:r>
      <w:r>
        <w:rPr>
          <w:sz w:val="24"/>
        </w:rPr>
        <w:t>285.7 m</w:t>
      </w:r>
      <w:r>
        <w:rPr>
          <w:sz w:val="24"/>
          <w:vertAlign w:val="superscript"/>
        </w:rPr>
        <w:t>3</w:t>
      </w:r>
      <w:r>
        <w:rPr>
          <w:sz w:val="24"/>
        </w:rPr>
        <w:t>/</w:t>
      </w:r>
      <w:r>
        <w:rPr>
          <w:rFonts w:hAnsi="宋体"/>
          <w:sz w:val="24"/>
        </w:rPr>
        <w:t>亩。</w:t>
      </w:r>
    </w:p>
    <w:p>
      <w:pPr>
        <w:spacing w:line="360" w:lineRule="auto"/>
        <w:ind w:firstLine="480" w:firstLineChars="200"/>
        <w:rPr>
          <w:rFonts w:hAnsi="宋体"/>
          <w:sz w:val="24"/>
        </w:rPr>
      </w:pPr>
      <w:r>
        <w:rPr>
          <w:rFonts w:hint="eastAsia" w:hAnsi="宋体"/>
          <w:sz w:val="24"/>
        </w:rPr>
        <w:t>2、</w:t>
      </w:r>
      <w:r>
        <w:rPr>
          <w:rFonts w:hAnsi="宋体"/>
          <w:sz w:val="24"/>
        </w:rPr>
        <w:t>工业节水目标</w:t>
      </w:r>
    </w:p>
    <w:p>
      <w:pPr>
        <w:spacing w:line="360" w:lineRule="auto"/>
        <w:ind w:firstLine="480" w:firstLineChars="200"/>
        <w:rPr>
          <w:sz w:val="24"/>
        </w:rPr>
      </w:pPr>
      <w:r>
        <w:rPr>
          <w:rFonts w:hAnsi="宋体"/>
          <w:sz w:val="24"/>
        </w:rPr>
        <w:t>以提高水的利用效率为核心，以降低耗水定额和提高重复利用率为关键，强化工业节水管理，重点抓好用水大户、污染大户的节水工作，高耗水行业主要节水，有条件的企业力争</w:t>
      </w:r>
      <w:r>
        <w:rPr>
          <w:rFonts w:hint="eastAsia" w:hAnsi="宋体"/>
          <w:sz w:val="24"/>
        </w:rPr>
        <w:t>实行</w:t>
      </w:r>
      <w:r>
        <w:rPr>
          <w:sz w:val="24"/>
        </w:rPr>
        <w:t>“</w:t>
      </w:r>
      <w:r>
        <w:rPr>
          <w:rFonts w:hAnsi="宋体"/>
          <w:sz w:val="24"/>
        </w:rPr>
        <w:t>零</w:t>
      </w:r>
      <w:r>
        <w:rPr>
          <w:sz w:val="24"/>
        </w:rPr>
        <w:t>”</w:t>
      </w:r>
      <w:r>
        <w:rPr>
          <w:rFonts w:hAnsi="宋体"/>
          <w:sz w:val="24"/>
        </w:rPr>
        <w:t>排放，加强节水管理，提高水的重复利用率，实现节水减排的目的。</w:t>
      </w:r>
    </w:p>
    <w:p>
      <w:pPr>
        <w:spacing w:line="360" w:lineRule="auto"/>
        <w:ind w:firstLine="480" w:firstLineChars="200"/>
        <w:rPr>
          <w:sz w:val="24"/>
        </w:rPr>
      </w:pPr>
      <w:r>
        <w:rPr>
          <w:rFonts w:hint="eastAsia"/>
          <w:sz w:val="24"/>
        </w:rPr>
        <w:t>至</w:t>
      </w:r>
      <w:r>
        <w:rPr>
          <w:sz w:val="24"/>
        </w:rPr>
        <w:t>2025</w:t>
      </w:r>
      <w:r>
        <w:rPr>
          <w:rFonts w:hAnsi="宋体"/>
          <w:sz w:val="24"/>
        </w:rPr>
        <w:t>年，</w:t>
      </w:r>
      <w:r>
        <w:rPr>
          <w:rFonts w:hint="eastAsia" w:hAnsi="宋体"/>
          <w:sz w:val="24"/>
        </w:rPr>
        <w:t>全市</w:t>
      </w:r>
      <w:r>
        <w:rPr>
          <w:rFonts w:hAnsi="宋体"/>
          <w:sz w:val="24"/>
        </w:rPr>
        <w:t>万元工业增加值用水量</w:t>
      </w:r>
      <w:r>
        <w:rPr>
          <w:rFonts w:hint="eastAsia" w:hAnsi="宋体"/>
          <w:sz w:val="24"/>
        </w:rPr>
        <w:t>比现状年下降</w:t>
      </w:r>
      <w:r>
        <w:rPr>
          <w:rFonts w:hAnsi="宋体"/>
          <w:sz w:val="24"/>
        </w:rPr>
        <w:t>18</w:t>
      </w:r>
      <w:r>
        <w:rPr>
          <w:rFonts w:hint="eastAsia" w:hAnsi="宋体"/>
          <w:sz w:val="24"/>
        </w:rPr>
        <w:t>%，</w:t>
      </w:r>
      <w:r>
        <w:rPr>
          <w:rFonts w:hAnsi="宋体"/>
          <w:sz w:val="24"/>
        </w:rPr>
        <w:t>控制在</w:t>
      </w:r>
      <w:r>
        <w:rPr>
          <w:sz w:val="24"/>
        </w:rPr>
        <w:t>33 m</w:t>
      </w:r>
      <w:r>
        <w:rPr>
          <w:sz w:val="24"/>
          <w:vertAlign w:val="superscript"/>
        </w:rPr>
        <w:t>3</w:t>
      </w:r>
      <w:r>
        <w:rPr>
          <w:rFonts w:hint="eastAsia"/>
          <w:sz w:val="24"/>
        </w:rPr>
        <w:t>以下</w:t>
      </w:r>
      <w:r>
        <w:rPr>
          <w:rFonts w:hAnsi="宋体"/>
          <w:sz w:val="24"/>
        </w:rPr>
        <w:t>，工业用水的重复利用率达到93</w:t>
      </w:r>
      <w:r>
        <w:rPr>
          <w:sz w:val="24"/>
        </w:rPr>
        <w:t>%</w:t>
      </w:r>
      <w:r>
        <w:rPr>
          <w:rFonts w:hint="eastAsia"/>
          <w:sz w:val="24"/>
        </w:rPr>
        <w:t>以上</w:t>
      </w:r>
      <w:r>
        <w:rPr>
          <w:rFonts w:hint="eastAsia" w:hAnsi="宋体"/>
          <w:sz w:val="24"/>
        </w:rPr>
        <w:t>；至</w:t>
      </w:r>
      <w:r>
        <w:rPr>
          <w:sz w:val="24"/>
        </w:rPr>
        <w:t>2030</w:t>
      </w:r>
      <w:r>
        <w:rPr>
          <w:rFonts w:hAnsi="宋体"/>
          <w:sz w:val="24"/>
        </w:rPr>
        <w:t>年，</w:t>
      </w:r>
      <w:r>
        <w:rPr>
          <w:rFonts w:hint="eastAsia" w:hAnsi="宋体"/>
          <w:sz w:val="24"/>
        </w:rPr>
        <w:t>全市</w:t>
      </w:r>
      <w:r>
        <w:rPr>
          <w:rFonts w:hAnsi="宋体"/>
          <w:sz w:val="24"/>
        </w:rPr>
        <w:t>万元工业增加值用水量控制在</w:t>
      </w:r>
      <w:r>
        <w:rPr>
          <w:sz w:val="24"/>
        </w:rPr>
        <w:t>28 m</w:t>
      </w:r>
      <w:r>
        <w:rPr>
          <w:sz w:val="24"/>
          <w:vertAlign w:val="superscript"/>
        </w:rPr>
        <w:t>3</w:t>
      </w:r>
      <w:r>
        <w:rPr>
          <w:rFonts w:hint="eastAsia"/>
          <w:sz w:val="24"/>
        </w:rPr>
        <w:t>以下</w:t>
      </w:r>
      <w:r>
        <w:rPr>
          <w:rFonts w:hAnsi="宋体"/>
          <w:sz w:val="24"/>
        </w:rPr>
        <w:t>，工业用水的重复利用率</w:t>
      </w:r>
      <w:r>
        <w:rPr>
          <w:rFonts w:hint="eastAsia" w:hAnsi="宋体"/>
          <w:sz w:val="24"/>
        </w:rPr>
        <w:t>进一步提高</w:t>
      </w:r>
      <w:r>
        <w:rPr>
          <w:rFonts w:hAnsi="宋体"/>
          <w:sz w:val="24"/>
        </w:rPr>
        <w:t>。</w:t>
      </w:r>
    </w:p>
    <w:p>
      <w:pPr>
        <w:spacing w:line="360" w:lineRule="auto"/>
        <w:ind w:firstLine="480" w:firstLineChars="200"/>
        <w:rPr>
          <w:rFonts w:hAnsi="宋体"/>
          <w:sz w:val="24"/>
        </w:rPr>
      </w:pPr>
      <w:r>
        <w:rPr>
          <w:rFonts w:hint="eastAsia" w:hAnsi="宋体"/>
          <w:sz w:val="24"/>
        </w:rPr>
        <w:t>3、</w:t>
      </w:r>
      <w:r>
        <w:rPr>
          <w:rFonts w:hAnsi="宋体"/>
          <w:sz w:val="24"/>
        </w:rPr>
        <w:t>生活节水目标</w:t>
      </w:r>
    </w:p>
    <w:p>
      <w:pPr>
        <w:spacing w:line="360" w:lineRule="auto"/>
        <w:ind w:firstLine="480" w:firstLineChars="200"/>
        <w:rPr>
          <w:sz w:val="24"/>
        </w:rPr>
      </w:pPr>
      <w:r>
        <w:rPr>
          <w:rFonts w:hAnsi="宋体"/>
          <w:sz w:val="24"/>
        </w:rPr>
        <w:t>以提高生活节水器具普及率和降低输水管网漏损率为关键，强化城镇用水管理，以用水计量和定额供水为重点，初步建立起城镇生活节水体系。建立合理的水价形成机制，控制人均生活用水量过快增长。</w:t>
      </w:r>
    </w:p>
    <w:p>
      <w:pPr>
        <w:spacing w:line="360" w:lineRule="auto"/>
        <w:ind w:firstLine="480" w:firstLineChars="200"/>
        <w:rPr>
          <w:sz w:val="24"/>
        </w:rPr>
      </w:pPr>
      <w:r>
        <w:rPr>
          <w:rFonts w:hAnsi="宋体"/>
          <w:sz w:val="24"/>
        </w:rPr>
        <w:t>至</w:t>
      </w:r>
      <w:r>
        <w:rPr>
          <w:sz w:val="24"/>
        </w:rPr>
        <w:t>2025</w:t>
      </w:r>
      <w:r>
        <w:rPr>
          <w:rFonts w:hAnsi="宋体"/>
          <w:sz w:val="24"/>
        </w:rPr>
        <w:t>年，城市管网漏损率</w:t>
      </w:r>
      <w:r>
        <w:rPr>
          <w:rFonts w:hint="eastAsia" w:hAnsi="宋体"/>
          <w:sz w:val="24"/>
        </w:rPr>
        <w:t>维持控制在</w:t>
      </w:r>
      <w:r>
        <w:rPr>
          <w:sz w:val="24"/>
        </w:rPr>
        <w:t>10%</w:t>
      </w:r>
      <w:r>
        <w:rPr>
          <w:rFonts w:hint="eastAsia"/>
          <w:sz w:val="24"/>
        </w:rPr>
        <w:t>以下</w:t>
      </w:r>
      <w:r>
        <w:rPr>
          <w:rFonts w:hAnsi="宋体"/>
          <w:sz w:val="24"/>
        </w:rPr>
        <w:t>，节水器具的普及率</w:t>
      </w:r>
      <w:r>
        <w:rPr>
          <w:rFonts w:hint="eastAsia" w:hAnsi="宋体"/>
          <w:sz w:val="24"/>
        </w:rPr>
        <w:t>达到100</w:t>
      </w:r>
      <w:r>
        <w:rPr>
          <w:sz w:val="24"/>
        </w:rPr>
        <w:t>%</w:t>
      </w:r>
      <w:r>
        <w:rPr>
          <w:rFonts w:hAnsi="宋体"/>
          <w:sz w:val="24"/>
        </w:rPr>
        <w:t>；</w:t>
      </w:r>
      <w:r>
        <w:rPr>
          <w:rFonts w:hint="eastAsia" w:hAnsi="宋体"/>
          <w:sz w:val="24"/>
        </w:rPr>
        <w:t>至</w:t>
      </w:r>
      <w:r>
        <w:rPr>
          <w:sz w:val="24"/>
        </w:rPr>
        <w:t>2030</w:t>
      </w:r>
      <w:r>
        <w:rPr>
          <w:rFonts w:hAnsi="宋体"/>
          <w:sz w:val="24"/>
        </w:rPr>
        <w:t>年，城市管网漏损率</w:t>
      </w:r>
      <w:r>
        <w:rPr>
          <w:rFonts w:hint="eastAsia" w:hAnsi="宋体"/>
          <w:sz w:val="24"/>
        </w:rPr>
        <w:t>进一步下降</w:t>
      </w:r>
      <w:r>
        <w:rPr>
          <w:rFonts w:hAnsi="宋体"/>
          <w:sz w:val="24"/>
        </w:rPr>
        <w:t>，节水器具的普及率</w:t>
      </w:r>
      <w:r>
        <w:rPr>
          <w:rFonts w:hint="eastAsia" w:hAnsi="宋体"/>
          <w:sz w:val="24"/>
        </w:rPr>
        <w:t>维持在100</w:t>
      </w:r>
      <w:r>
        <w:rPr>
          <w:sz w:val="24"/>
        </w:rPr>
        <w:t>%</w:t>
      </w:r>
      <w:r>
        <w:rPr>
          <w:rFonts w:hAnsi="宋体"/>
          <w:sz w:val="24"/>
        </w:rPr>
        <w:t>。</w:t>
      </w:r>
    </w:p>
    <w:p>
      <w:pPr>
        <w:spacing w:line="360" w:lineRule="auto"/>
        <w:ind w:firstLine="480" w:firstLineChars="200"/>
        <w:rPr>
          <w:rFonts w:hAnsi="宋体"/>
          <w:sz w:val="24"/>
        </w:rPr>
      </w:pPr>
      <w:r>
        <w:rPr>
          <w:rFonts w:hint="eastAsia" w:hAnsi="宋体"/>
          <w:sz w:val="24"/>
        </w:rPr>
        <w:t>4、</w:t>
      </w:r>
      <w:r>
        <w:rPr>
          <w:rFonts w:hAnsi="宋体"/>
          <w:sz w:val="24"/>
        </w:rPr>
        <w:t>非常规水资源利用目标</w:t>
      </w:r>
    </w:p>
    <w:p>
      <w:pPr>
        <w:suppressAutoHyphens/>
        <w:autoSpaceDE w:val="0"/>
        <w:autoSpaceDN w:val="0"/>
        <w:adjustRightInd w:val="0"/>
        <w:spacing w:line="360" w:lineRule="auto"/>
        <w:ind w:firstLine="480" w:firstLineChars="200"/>
        <w:rPr>
          <w:rFonts w:hAnsi="宋体"/>
          <w:color w:val="FF0000"/>
          <w:sz w:val="24"/>
        </w:rPr>
      </w:pPr>
      <w:r>
        <w:rPr>
          <w:rFonts w:hAnsi="宋体"/>
          <w:sz w:val="24"/>
        </w:rPr>
        <w:t>在科学合理利用水资源的同时，加强其他水源利用，编制其他水源利用规划，增加可供水量，缓解水资源瓶颈制约。</w:t>
      </w:r>
      <w:r>
        <w:rPr>
          <w:rFonts w:hint="eastAsia"/>
          <w:kern w:val="1"/>
          <w:sz w:val="24"/>
          <w:szCs w:val="24"/>
        </w:rPr>
        <w:t>加快推进城镇污水处理设施及污水再生利用设施建设，建设城市污水处理设施时，应预留再生处理设施空间。优化城市供水系统与配水管网，推动具备条件的城市建立再生水利用管网系统，建立分质供水管网。</w:t>
      </w:r>
    </w:p>
    <w:p>
      <w:pPr>
        <w:suppressAutoHyphens/>
        <w:autoSpaceDE w:val="0"/>
        <w:autoSpaceDN w:val="0"/>
        <w:adjustRightInd w:val="0"/>
        <w:spacing w:line="360" w:lineRule="auto"/>
        <w:ind w:firstLine="480" w:firstLineChars="200"/>
        <w:rPr>
          <w:kern w:val="1"/>
          <w:sz w:val="24"/>
          <w:szCs w:val="24"/>
        </w:rPr>
      </w:pPr>
      <w:r>
        <w:rPr>
          <w:rFonts w:hint="eastAsia"/>
          <w:kern w:val="1"/>
          <w:sz w:val="24"/>
          <w:szCs w:val="24"/>
        </w:rPr>
        <w:t>至2025年，城市非常规水源利用率在现状年基础上有所提升；至2</w:t>
      </w:r>
      <w:r>
        <w:rPr>
          <w:kern w:val="1"/>
          <w:sz w:val="24"/>
          <w:szCs w:val="24"/>
        </w:rPr>
        <w:t>030</w:t>
      </w:r>
      <w:r>
        <w:rPr>
          <w:rFonts w:hint="eastAsia"/>
          <w:kern w:val="1"/>
          <w:sz w:val="24"/>
          <w:szCs w:val="24"/>
        </w:rPr>
        <w:t>年，城市非常规水源利用率将进一步提高。</w:t>
      </w:r>
    </w:p>
    <w:p>
      <w:pPr>
        <w:pStyle w:val="4"/>
        <w:spacing w:before="156" w:beforeLines="50" w:after="156" w:afterLines="50"/>
        <w:rPr>
          <w:sz w:val="28"/>
        </w:rPr>
      </w:pPr>
      <w:bookmarkStart w:id="334" w:name="_Toc95382499"/>
      <w:r>
        <w:rPr>
          <w:rFonts w:hint="eastAsia"/>
          <w:sz w:val="28"/>
        </w:rPr>
        <w:t>二、总体布局</w:t>
      </w:r>
      <w:bookmarkEnd w:id="334"/>
    </w:p>
    <w:p>
      <w:pPr>
        <w:spacing w:line="360" w:lineRule="auto"/>
        <w:ind w:firstLine="480" w:firstLineChars="200"/>
        <w:rPr>
          <w:sz w:val="24"/>
          <w:szCs w:val="24"/>
        </w:rPr>
      </w:pPr>
      <w:r>
        <w:rPr>
          <w:rFonts w:hint="eastAsia"/>
          <w:sz w:val="24"/>
          <w:szCs w:val="24"/>
        </w:rPr>
        <w:t>根据区域自然地理情况、水资源禀赋条件、经济社会发展的总体布局及开发利用特点，六安市“十四五”节水规划总体布局应与城市总体发展战略一致，并为未来各区域发展提供相应的水利工程基础设施提出各区域未来发展的布局思路。</w:t>
      </w:r>
    </w:p>
    <w:p>
      <w:pPr>
        <w:spacing w:line="360" w:lineRule="auto"/>
        <w:ind w:firstLine="482" w:firstLineChars="200"/>
        <w:rPr>
          <w:b/>
          <w:bCs/>
          <w:sz w:val="24"/>
          <w:szCs w:val="24"/>
        </w:rPr>
      </w:pPr>
      <w:bookmarkStart w:id="335" w:name="_Toc73971899"/>
      <w:r>
        <w:rPr>
          <w:rFonts w:hint="eastAsia"/>
          <w:b/>
          <w:bCs/>
          <w:sz w:val="24"/>
          <w:szCs w:val="24"/>
        </w:rPr>
        <w:t>1、金安区</w:t>
      </w:r>
      <w:bookmarkEnd w:id="335"/>
    </w:p>
    <w:p>
      <w:pPr>
        <w:spacing w:line="360" w:lineRule="auto"/>
        <w:ind w:firstLine="480" w:firstLineChars="200"/>
        <w:rPr>
          <w:sz w:val="24"/>
          <w:szCs w:val="24"/>
        </w:rPr>
      </w:pPr>
      <w:r>
        <w:rPr>
          <w:rFonts w:hint="eastAsia"/>
          <w:sz w:val="24"/>
          <w:szCs w:val="24"/>
        </w:rPr>
        <w:t>金安区地处江淮分水岭，该区位于江淮分水岭北侧，分为南部丘陵区和北部平原区。区域内人口密集、经济发达、工业集中，耕地资源丰富，是六安市城市建成区所在地，同时也是六安市主要的粮食生产基地。该区对水资源需求及供水保证率程度要求较高。</w:t>
      </w:r>
    </w:p>
    <w:p>
      <w:pPr>
        <w:spacing w:line="360" w:lineRule="auto"/>
        <w:ind w:firstLine="480" w:firstLineChars="200"/>
        <w:rPr>
          <w:sz w:val="24"/>
          <w:szCs w:val="24"/>
        </w:rPr>
      </w:pPr>
      <w:r>
        <w:rPr>
          <w:rFonts w:hint="eastAsia"/>
          <w:sz w:val="24"/>
          <w:szCs w:val="24"/>
        </w:rPr>
        <w:t>该区因地处江淮分水岭，属干旱易发区。农业节水方面，重点是解决灌区骨干工程老化失修、渠系不配套、渗漏损失严重等问题，开展田间工程节水改造、强化农田水利基本建设，发展高效输配水技术。加强区域塘坝水资源调控、非充分灌溉技术及水肥耦合与高效利用技术方面的示范。发展高效节水农业设施，推广水肥一体化技术，加强农业用水总量控制与灌溉定额管理。调整农业产业结构，重点发展油料、果树、苗木、花卉等特色经济作物，加大耐旱作物种植比例。</w:t>
      </w:r>
    </w:p>
    <w:p>
      <w:pPr>
        <w:spacing w:line="360" w:lineRule="auto"/>
        <w:ind w:firstLine="480" w:firstLineChars="200"/>
        <w:rPr>
          <w:sz w:val="24"/>
          <w:szCs w:val="24"/>
        </w:rPr>
      </w:pPr>
      <w:r>
        <w:rPr>
          <w:rFonts w:hint="eastAsia"/>
          <w:sz w:val="24"/>
          <w:szCs w:val="24"/>
        </w:rPr>
        <w:t>围绕合肥都市圈发展要求，加强城镇、产业发展和环境保护之间的关系，通过加强需水管理，控制城镇用水过快增长。推进工业、农业、城镇等重点领域节水改造，扩大再生水利用。在金安区水权确权登记试点的工作基础上，进一步推进建立水权交易市场。全面推进节水型城市创建，建设节水型社会。</w:t>
      </w:r>
    </w:p>
    <w:p>
      <w:pPr>
        <w:spacing w:line="360" w:lineRule="auto"/>
        <w:ind w:firstLine="482" w:firstLineChars="200"/>
        <w:rPr>
          <w:b/>
          <w:bCs/>
          <w:sz w:val="24"/>
          <w:szCs w:val="24"/>
        </w:rPr>
      </w:pPr>
      <w:bookmarkStart w:id="336" w:name="_Toc73971900"/>
      <w:r>
        <w:rPr>
          <w:rFonts w:hint="eastAsia"/>
          <w:b/>
          <w:bCs/>
          <w:sz w:val="24"/>
          <w:szCs w:val="24"/>
        </w:rPr>
        <w:t>2、裕安区、叶集区</w:t>
      </w:r>
      <w:bookmarkEnd w:id="336"/>
    </w:p>
    <w:p>
      <w:pPr>
        <w:spacing w:line="360" w:lineRule="auto"/>
        <w:ind w:firstLine="480" w:firstLineChars="200"/>
        <w:rPr>
          <w:sz w:val="24"/>
          <w:szCs w:val="24"/>
        </w:rPr>
      </w:pPr>
      <w:r>
        <w:rPr>
          <w:rFonts w:hint="eastAsia"/>
          <w:sz w:val="24"/>
          <w:szCs w:val="24"/>
        </w:rPr>
        <w:t>该区是节水灌溉发展的重点区域。农业节水重点解决灌区续建配套与节水改造工程，开展田间工程节水改造、强化农田水利基本建设，发展高效输配水技术。加强区域塘坝水资源调控、非充分灌溉技术及水肥耦合与高效利用技术方面的示范。大力推广</w:t>
      </w:r>
      <w:r>
        <w:rPr>
          <w:sz w:val="24"/>
          <w:szCs w:val="24"/>
        </w:rPr>
        <w:t>“</w:t>
      </w:r>
      <w:r>
        <w:rPr>
          <w:rFonts w:hint="eastAsia"/>
          <w:sz w:val="24"/>
          <w:szCs w:val="24"/>
        </w:rPr>
        <w:t>浅湿间歇</w:t>
      </w:r>
      <w:r>
        <w:rPr>
          <w:sz w:val="24"/>
          <w:szCs w:val="24"/>
        </w:rPr>
        <w:t>”</w:t>
      </w:r>
      <w:r>
        <w:rPr>
          <w:rFonts w:hint="eastAsia"/>
          <w:sz w:val="24"/>
          <w:szCs w:val="24"/>
        </w:rPr>
        <w:t>、</w:t>
      </w:r>
      <w:r>
        <w:rPr>
          <w:sz w:val="24"/>
          <w:szCs w:val="24"/>
        </w:rPr>
        <w:t>“</w:t>
      </w:r>
      <w:r>
        <w:rPr>
          <w:rFonts w:hint="eastAsia"/>
          <w:sz w:val="24"/>
          <w:szCs w:val="24"/>
        </w:rPr>
        <w:t>浅晒深湿</w:t>
      </w:r>
      <w:r>
        <w:rPr>
          <w:sz w:val="24"/>
          <w:szCs w:val="24"/>
        </w:rPr>
        <w:t>”</w:t>
      </w:r>
      <w:r>
        <w:rPr>
          <w:rFonts w:hint="eastAsia"/>
          <w:sz w:val="24"/>
          <w:szCs w:val="24"/>
        </w:rPr>
        <w:t>的水稻节水灌溉制度，发展高效节水农业设施，推广水肥一体化技术，加强农业用水总量控制与灌溉定额管理。</w:t>
      </w:r>
    </w:p>
    <w:p>
      <w:pPr>
        <w:spacing w:line="360" w:lineRule="auto"/>
        <w:ind w:firstLine="480" w:firstLineChars="200"/>
        <w:rPr>
          <w:sz w:val="24"/>
          <w:szCs w:val="24"/>
        </w:rPr>
      </w:pPr>
      <w:r>
        <w:rPr>
          <w:rFonts w:hint="eastAsia"/>
          <w:sz w:val="24"/>
          <w:szCs w:val="24"/>
        </w:rPr>
        <w:t>以构筑淠河生态经济带、加快史河流域综合治理为契机，积极转变用水方式，加快产业结构调整、优化产业布局、淘汰落后产能。加大工业节水力度，深挖节水潜力，开展节水技术改造和工艺技术提升。通过加大再生水等非常规水资源的利用，减少新鲜水资源的取用量。</w:t>
      </w:r>
    </w:p>
    <w:p>
      <w:pPr>
        <w:spacing w:line="360" w:lineRule="auto"/>
        <w:ind w:firstLine="480" w:firstLineChars="200"/>
        <w:rPr>
          <w:kern w:val="1"/>
          <w:sz w:val="24"/>
          <w:szCs w:val="24"/>
        </w:rPr>
      </w:pPr>
      <w:r>
        <w:rPr>
          <w:rFonts w:hint="eastAsia"/>
          <w:sz w:val="24"/>
          <w:szCs w:val="24"/>
        </w:rPr>
        <w:t>该区需开展管网普查、水平衡测试和改造漏损管网，降低城镇供水管网漏损率；对城区老旧小区节水器具进行改造。</w:t>
      </w:r>
    </w:p>
    <w:p>
      <w:pPr>
        <w:spacing w:line="360" w:lineRule="auto"/>
        <w:ind w:firstLine="482" w:firstLineChars="200"/>
        <w:rPr>
          <w:b/>
          <w:bCs/>
          <w:sz w:val="24"/>
          <w:szCs w:val="24"/>
        </w:rPr>
      </w:pPr>
      <w:bookmarkStart w:id="337" w:name="_Toc73971898"/>
      <w:r>
        <w:rPr>
          <w:rFonts w:hint="eastAsia"/>
          <w:b/>
          <w:bCs/>
          <w:sz w:val="24"/>
          <w:szCs w:val="24"/>
        </w:rPr>
        <w:t>3、霍邱县</w:t>
      </w:r>
      <w:bookmarkEnd w:id="337"/>
    </w:p>
    <w:p>
      <w:pPr>
        <w:spacing w:line="360" w:lineRule="auto"/>
        <w:ind w:firstLine="480" w:firstLineChars="200"/>
        <w:rPr>
          <w:sz w:val="24"/>
          <w:szCs w:val="24"/>
        </w:rPr>
      </w:pPr>
      <w:r>
        <w:rPr>
          <w:rFonts w:hint="eastAsia"/>
          <w:sz w:val="24"/>
          <w:szCs w:val="24"/>
        </w:rPr>
        <w:t>霍邱县是安徽省农业大县，是安徽省粮食主产区之一。县内淮河穿境而过，境内有城东湖、城西湖。该区是节水灌溉发展的重点区域。应高效使用地表水，优化作物种植结构，改变沿淮地区</w:t>
      </w:r>
      <w:r>
        <w:rPr>
          <w:sz w:val="24"/>
          <w:szCs w:val="24"/>
        </w:rPr>
        <w:t>“</w:t>
      </w:r>
      <w:r>
        <w:rPr>
          <w:rFonts w:hint="eastAsia"/>
          <w:sz w:val="24"/>
          <w:szCs w:val="24"/>
        </w:rPr>
        <w:t>大水漫灌</w:t>
      </w:r>
      <w:r>
        <w:rPr>
          <w:sz w:val="24"/>
          <w:szCs w:val="24"/>
        </w:rPr>
        <w:t>”</w:t>
      </w:r>
      <w:r>
        <w:rPr>
          <w:rFonts w:hint="eastAsia"/>
          <w:sz w:val="24"/>
          <w:szCs w:val="24"/>
        </w:rPr>
        <w:t>的传统灌溉方式，大力推广水稻节水灌溉技术，减少面源污染；完善田间灌排渠系，推行农艺节水和深耕深松。</w:t>
      </w:r>
    </w:p>
    <w:p>
      <w:pPr>
        <w:spacing w:line="360" w:lineRule="auto"/>
        <w:ind w:firstLine="480" w:firstLineChars="200"/>
        <w:rPr>
          <w:sz w:val="24"/>
          <w:szCs w:val="24"/>
        </w:rPr>
      </w:pPr>
      <w:r>
        <w:rPr>
          <w:rFonts w:hint="eastAsia"/>
          <w:sz w:val="24"/>
          <w:szCs w:val="24"/>
        </w:rPr>
        <w:t>以构筑淮河生态经济带、加快淮河流域综合治理为契机，积极转变用水方式，加快产业结构调整、优化产业布局、淘汰落后产能。加大工业节水力度，深挖节水潜力，开展节水技术改造和工艺技术提升。通过加大再生水和矿井水等非常规水资源的利用，减少新鲜水资源的取用量。实施“江淮粮仓”发展战略，推进优质稻米生产核心区建设，加快形成优质粮油生产基地和粮油加工产业集群。以“淠河生态经济带”建设为契机，实施生态菜篮子工程，扩大霍邱县蔬菜基地规模。</w:t>
      </w:r>
    </w:p>
    <w:p>
      <w:pPr>
        <w:spacing w:line="360" w:lineRule="auto"/>
        <w:ind w:firstLine="480" w:firstLineChars="200"/>
        <w:rPr>
          <w:sz w:val="24"/>
          <w:szCs w:val="24"/>
        </w:rPr>
      </w:pPr>
      <w:r>
        <w:rPr>
          <w:rFonts w:hint="eastAsia"/>
          <w:sz w:val="24"/>
          <w:szCs w:val="24"/>
        </w:rPr>
        <w:t>以霍邱县冯井镇白庙村为核心的霍邱钢城，规划将发展成为钢铁产业一体化的新型工业城镇，钢铁工业是用水大户，应继续强化钢铁企业的用水和节水工作，提高中水回收利用率。该区必须加快城镇供水管网改造，开展管网普查、水平衡测试和改造漏损管网，降低城镇供水管网漏损率；对城区老旧小区节水器具进行改造。</w:t>
      </w:r>
    </w:p>
    <w:p>
      <w:pPr>
        <w:spacing w:line="360" w:lineRule="auto"/>
        <w:ind w:firstLine="482" w:firstLineChars="200"/>
        <w:rPr>
          <w:b/>
          <w:bCs/>
          <w:sz w:val="24"/>
          <w:szCs w:val="24"/>
        </w:rPr>
      </w:pPr>
      <w:bookmarkStart w:id="338" w:name="_Toc73971897"/>
      <w:r>
        <w:rPr>
          <w:rFonts w:hint="eastAsia"/>
          <w:b/>
          <w:bCs/>
          <w:sz w:val="24"/>
          <w:szCs w:val="24"/>
        </w:rPr>
        <w:t>4、金寨县、霍山县、舒城县</w:t>
      </w:r>
      <w:bookmarkEnd w:id="338"/>
    </w:p>
    <w:p>
      <w:pPr>
        <w:spacing w:line="360" w:lineRule="auto"/>
        <w:ind w:firstLine="480" w:firstLineChars="200"/>
        <w:rPr>
          <w:sz w:val="24"/>
          <w:szCs w:val="24"/>
          <w:highlight w:val="yellow"/>
        </w:rPr>
      </w:pPr>
      <w:r>
        <w:rPr>
          <w:rFonts w:hint="eastAsia"/>
          <w:sz w:val="24"/>
          <w:szCs w:val="24"/>
        </w:rPr>
        <w:t>金寨县、霍山县、舒城县</w:t>
      </w:r>
      <w:r>
        <w:rPr>
          <w:sz w:val="24"/>
          <w:szCs w:val="24"/>
        </w:rPr>
        <w:t>主要水系为淠河</w:t>
      </w:r>
      <w:r>
        <w:rPr>
          <w:rFonts w:hint="eastAsia"/>
          <w:sz w:val="24"/>
          <w:szCs w:val="24"/>
        </w:rPr>
        <w:t>、</w:t>
      </w:r>
      <w:r>
        <w:rPr>
          <w:sz w:val="24"/>
          <w:szCs w:val="24"/>
        </w:rPr>
        <w:t>史河及</w:t>
      </w:r>
      <w:r>
        <w:rPr>
          <w:rFonts w:hint="eastAsia"/>
          <w:sz w:val="24"/>
          <w:szCs w:val="24"/>
        </w:rPr>
        <w:t>杭埠河</w:t>
      </w:r>
      <w:r>
        <w:rPr>
          <w:sz w:val="24"/>
          <w:szCs w:val="24"/>
        </w:rPr>
        <w:t>水系。</w:t>
      </w:r>
      <w:r>
        <w:rPr>
          <w:rFonts w:hint="eastAsia"/>
          <w:sz w:val="24"/>
          <w:szCs w:val="24"/>
        </w:rPr>
        <w:t>该区位于大别山区，区内包含佛子岭、磨子潭、白莲崖、响洪甸、梅山及龙河口6座大型水库，是淠史杭灌区的重要供水水源地。区域内耕地面积较小，人口相对稀少，除乡镇中心外其余大部分地区对水资源需求及供水保证程度要求不高。灌区主水源的佛子岭、梅山、响洪甸、磨子潭、龙河口、白莲崖6座水库是整个江淮分水岭地区防洪保安工程重要组成部分，是皖西、皖中、豫东南防洪安全的屏障</w:t>
      </w:r>
    </w:p>
    <w:p>
      <w:pPr>
        <w:spacing w:line="360" w:lineRule="auto"/>
        <w:ind w:firstLine="480" w:firstLineChars="200"/>
        <w:rPr>
          <w:sz w:val="24"/>
          <w:szCs w:val="24"/>
        </w:rPr>
      </w:pPr>
      <w:r>
        <w:rPr>
          <w:rFonts w:hint="eastAsia"/>
          <w:sz w:val="24"/>
          <w:szCs w:val="24"/>
        </w:rPr>
        <w:t>该区农业节水方向重点为根据工程建设的具体条件，兴建塘坝、小水库等小型蓄水工程，加大对雨洪水的集蓄利用。在山间宽缓的平原谷底，适宜发展以喷灌为主的高效节水灌溉。</w:t>
      </w:r>
    </w:p>
    <w:p>
      <w:pPr>
        <w:spacing w:line="360" w:lineRule="auto"/>
        <w:ind w:firstLine="480" w:firstLineChars="200"/>
        <w:rPr>
          <w:sz w:val="24"/>
          <w:szCs w:val="24"/>
        </w:rPr>
      </w:pPr>
      <w:r>
        <w:rPr>
          <w:rFonts w:hint="eastAsia"/>
          <w:sz w:val="24"/>
          <w:szCs w:val="24"/>
        </w:rPr>
        <w:t>该区域为国家和省级生态重点生态功能区，全国重要的水土保持、水源涵养和生物多样性维护生态功能区。应按照保护优先、点状开发、和谐发展的思路，开展城镇布局规划研究，完善城镇布局；应坚持绿色发展，严格项目准入门槛，适度发展资源环境可承载的生态旅游服务和农副产品生产加工等产业。</w:t>
      </w:r>
    </w:p>
    <w:p>
      <w:pPr>
        <w:spacing w:line="360" w:lineRule="auto"/>
        <w:ind w:firstLine="480" w:firstLineChars="200"/>
        <w:rPr>
          <w:sz w:val="24"/>
          <w:szCs w:val="24"/>
        </w:rPr>
      </w:pPr>
      <w:r>
        <w:rPr>
          <w:rFonts w:hint="eastAsia"/>
          <w:sz w:val="24"/>
          <w:szCs w:val="24"/>
        </w:rPr>
        <w:t>该区是我省重要的旅游区，部分城镇供水管网漏损率较高，应着力降低城镇管网漏失率，重点加强公共服务机构节水，加快推进城镇污水处理设施，鼓励和推进再生水利用，在发展中保护好良好生态。</w:t>
      </w:r>
    </w:p>
    <w:p>
      <w:pPr>
        <w:keepNext/>
        <w:keepLines/>
        <w:adjustRightInd w:val="0"/>
        <w:snapToGrid w:val="0"/>
        <w:spacing w:before="312" w:beforeLines="100" w:after="312" w:afterLines="100" w:line="360" w:lineRule="auto"/>
        <w:jc w:val="center"/>
        <w:outlineLvl w:val="1"/>
        <w:rPr>
          <w:b/>
          <w:bCs/>
          <w:sz w:val="32"/>
          <w:szCs w:val="36"/>
        </w:rPr>
      </w:pPr>
      <w:bookmarkStart w:id="339" w:name="_Toc95382500"/>
      <w:r>
        <w:rPr>
          <w:rFonts w:hint="eastAsia"/>
          <w:b/>
          <w:bCs/>
          <w:sz w:val="32"/>
          <w:szCs w:val="36"/>
        </w:rPr>
        <w:t>第四节 节水任务和工作内容</w:t>
      </w:r>
      <w:bookmarkEnd w:id="339"/>
    </w:p>
    <w:p>
      <w:pPr>
        <w:pStyle w:val="4"/>
        <w:spacing w:before="156" w:beforeLines="50" w:after="156" w:afterLines="50"/>
        <w:rPr>
          <w:sz w:val="28"/>
        </w:rPr>
      </w:pPr>
      <w:bookmarkStart w:id="340" w:name="_Toc95382501"/>
      <w:r>
        <w:rPr>
          <w:rFonts w:hint="eastAsia"/>
          <w:sz w:val="28"/>
        </w:rPr>
        <w:t>一、农业节水</w:t>
      </w:r>
      <w:bookmarkEnd w:id="340"/>
    </w:p>
    <w:p>
      <w:pPr>
        <w:spacing w:line="360" w:lineRule="auto"/>
        <w:ind w:firstLine="480" w:firstLineChars="200"/>
        <w:rPr>
          <w:sz w:val="24"/>
          <w:szCs w:val="24"/>
        </w:rPr>
      </w:pPr>
      <w:r>
        <w:rPr>
          <w:rFonts w:hint="eastAsia"/>
          <w:sz w:val="24"/>
          <w:szCs w:val="24"/>
        </w:rPr>
        <w:t>大力推进节水灌溉技术。加快大中型灌区续建配套和现代化改造，推进规模化高效节水灌溉。结合高标准农田建设，加大田间节水设施建设力度，进一步完善灌排体系，推广节水灌溉方式；抓好小型农田水利设施建设，发展低压管道输水灌溉、喷灌、微灌等高效节水灌溉，推广水肥一体化技术。积极配合国家节水行动和农业水价综合改革，推动实现新增高效节水灌溉面积符合农业用水、计量条件和节水要求。</w:t>
      </w:r>
    </w:p>
    <w:p>
      <w:pPr>
        <w:spacing w:line="360" w:lineRule="auto"/>
        <w:ind w:firstLine="480" w:firstLineChars="200"/>
        <w:rPr>
          <w:sz w:val="24"/>
          <w:szCs w:val="24"/>
        </w:rPr>
      </w:pPr>
      <w:r>
        <w:rPr>
          <w:rFonts w:hint="eastAsia"/>
          <w:sz w:val="24"/>
          <w:szCs w:val="24"/>
        </w:rPr>
        <w:t>优化作物种植结构。推进适水种植、量水生产，优化配置水源，充分利用天然降水，高效使用地表水，优化灌区供需水结构，通过调减部分水田面积，改种耗水更少的作物，引导种植经济价值更高的单季作物替代两季作物等措施减少农田灌溉取水量。</w:t>
      </w:r>
    </w:p>
    <w:p>
      <w:pPr>
        <w:spacing w:line="360" w:lineRule="auto"/>
        <w:ind w:firstLine="480" w:firstLineChars="200"/>
        <w:rPr>
          <w:sz w:val="24"/>
          <w:szCs w:val="24"/>
        </w:rPr>
      </w:pPr>
      <w:r>
        <w:rPr>
          <w:rFonts w:hint="eastAsia"/>
          <w:sz w:val="24"/>
          <w:szCs w:val="24"/>
        </w:rPr>
        <w:t>推广畜牧渔业节水。实施规模养殖场节水改造和建设，推进养殖无水无害化处理和适度再生利用，提高畜禽饮水、畜禽养殖场舍冲洗、粪便污水资源化等用水效率。发展节水渔业，大力推进稻渔综合种养。</w:t>
      </w:r>
    </w:p>
    <w:p>
      <w:pPr>
        <w:spacing w:line="360" w:lineRule="auto"/>
        <w:ind w:firstLine="480" w:firstLineChars="200"/>
        <w:rPr>
          <w:sz w:val="24"/>
          <w:szCs w:val="24"/>
        </w:rPr>
      </w:pPr>
      <w:r>
        <w:rPr>
          <w:rFonts w:hint="eastAsia"/>
          <w:sz w:val="24"/>
          <w:szCs w:val="24"/>
        </w:rPr>
        <w:t>加快推进农村生活节水。在实施农村集中供水、污水处理工程和保障饮水安全基础上，加强农村生活用水设施改造。加快村镇生活供水设施及配套管网建设与改造，推进小厂整合，有条件的地区推进城乡供水一体化，保障饮水安全，安装计量设施。推广使用节水器具，创造良好的节水条件。</w:t>
      </w:r>
    </w:p>
    <w:p>
      <w:pPr>
        <w:pStyle w:val="4"/>
        <w:spacing w:before="156" w:beforeLines="50" w:after="156" w:afterLines="50"/>
        <w:rPr>
          <w:sz w:val="28"/>
        </w:rPr>
      </w:pPr>
      <w:bookmarkStart w:id="341" w:name="_Toc95382502"/>
      <w:r>
        <w:rPr>
          <w:rFonts w:hint="eastAsia"/>
          <w:sz w:val="28"/>
        </w:rPr>
        <w:t>二、工业节水</w:t>
      </w:r>
      <w:bookmarkEnd w:id="341"/>
    </w:p>
    <w:p>
      <w:pPr>
        <w:spacing w:line="360" w:lineRule="auto"/>
        <w:ind w:firstLine="480" w:firstLineChars="200"/>
        <w:rPr>
          <w:sz w:val="24"/>
          <w:szCs w:val="24"/>
        </w:rPr>
      </w:pPr>
      <w:r>
        <w:rPr>
          <w:rFonts w:hint="eastAsia"/>
          <w:sz w:val="24"/>
          <w:szCs w:val="24"/>
        </w:rPr>
        <w:t>大力推进工业节水改造。落实《重点工业行业用水效率指南》，支持企业开展节水改造及再生水回用改造，推广高效冷却、洗涤、循环用水、废污水再生利用、高耗水生产工艺替代等节水工艺和技术。完善国家、省、市三级重点监控用水单位名录，完善供用水计量体系和在线监测系统，自备水源的工业取水户要有计划纳入国家、省、市在线监测系统。</w:t>
      </w:r>
    </w:p>
    <w:p>
      <w:pPr>
        <w:spacing w:line="360" w:lineRule="auto"/>
        <w:ind w:firstLine="480" w:firstLineChars="200"/>
        <w:rPr>
          <w:sz w:val="24"/>
          <w:szCs w:val="24"/>
        </w:rPr>
      </w:pPr>
      <w:r>
        <w:rPr>
          <w:rFonts w:hint="eastAsia"/>
          <w:sz w:val="24"/>
          <w:szCs w:val="24"/>
        </w:rPr>
        <w:t>强化生产用水管理。督促重点企业定期开展水平衡测试、用水审计及水效对标，对用水水平达不到国家定额标准或政策要求的企业要采取切实可行的整改措施，并认真组织实施，着力提高用水效率。把节水工作贯穿于企业管理、生产全过程，特别是高耗水企业，要根据国家和《安徽省行业用水定额》、《六安市行业用水定额》要求，制定企业节水目标、节水计划，强化节水管理和节水技术改造。</w:t>
      </w:r>
    </w:p>
    <w:p>
      <w:pPr>
        <w:spacing w:line="360" w:lineRule="auto"/>
        <w:ind w:firstLine="480" w:firstLineChars="200"/>
        <w:rPr>
          <w:sz w:val="24"/>
          <w:szCs w:val="24"/>
        </w:rPr>
      </w:pPr>
      <w:r>
        <w:rPr>
          <w:rFonts w:hint="eastAsia"/>
          <w:sz w:val="24"/>
          <w:szCs w:val="24"/>
        </w:rPr>
        <w:t>完善供用水计量体系，建立健全企业用水原始记录和统计台账，定期开展用水统计和用水合理性分析。实施企业取水口规范化管理，完善企业用水三级计量体系，一级表计量率要求100%，二级表计量率要求90%以上，三级表计量率要求30%以上。</w:t>
      </w:r>
    </w:p>
    <w:p>
      <w:pPr>
        <w:spacing w:line="360" w:lineRule="auto"/>
        <w:ind w:firstLine="480" w:firstLineChars="200"/>
        <w:rPr>
          <w:sz w:val="24"/>
          <w:szCs w:val="24"/>
        </w:rPr>
      </w:pPr>
      <w:r>
        <w:rPr>
          <w:rFonts w:hint="eastAsia"/>
          <w:sz w:val="24"/>
          <w:szCs w:val="24"/>
        </w:rPr>
        <w:t>推动企业节水增效。实施节水管理和改造升级，促进高耗水企业加强废污水深度处理和达标再利用，严控废污水排放。加快实施《国家鼓励的工业节水工艺、技术和装备目录（第一、二批）》，严格控制高耗水新建、改建、扩建项目，推进高耗水企业向水资源条件允许的工业园区集中。根据《高耗水工艺、技术和装备淘汰目录（第一批）》，对采用列入淘汰目录工艺、技术和装备的项目，不予批准取水许可；未按期淘汰的，有关部门和地方政府要依法严格查处。</w:t>
      </w:r>
    </w:p>
    <w:p>
      <w:pPr>
        <w:spacing w:line="360" w:lineRule="auto"/>
        <w:ind w:firstLine="480" w:firstLineChars="200"/>
        <w:rPr>
          <w:sz w:val="24"/>
          <w:szCs w:val="24"/>
        </w:rPr>
      </w:pPr>
      <w:r>
        <w:rPr>
          <w:rFonts w:hint="eastAsia"/>
          <w:sz w:val="24"/>
          <w:szCs w:val="24"/>
        </w:rPr>
        <w:t>构建有利于水循环的园区产业体系，将节水及水循环利用作为园区资源循环化改造的重要内容。鼓励入园企业开展企业间的串联用水，分质用水、一水多用和循环利用，建立园区企业间循环、节约用水产业体系。新建园区应当规划建立适当的供排水、水处理及梯级循环利用设施，工业废水必须经预处理达到集中处理要求方可进入污水处理设施。</w:t>
      </w:r>
    </w:p>
    <w:p>
      <w:pPr>
        <w:pStyle w:val="4"/>
        <w:spacing w:before="156" w:beforeLines="50" w:after="156" w:afterLines="50"/>
        <w:rPr>
          <w:sz w:val="28"/>
        </w:rPr>
      </w:pPr>
      <w:bookmarkStart w:id="342" w:name="_Toc95382503"/>
      <w:r>
        <w:rPr>
          <w:rFonts w:hint="eastAsia"/>
          <w:sz w:val="28"/>
        </w:rPr>
        <w:t>三、城镇节水</w:t>
      </w:r>
      <w:bookmarkEnd w:id="342"/>
    </w:p>
    <w:p>
      <w:pPr>
        <w:spacing w:line="360" w:lineRule="auto"/>
        <w:ind w:firstLine="480" w:firstLineChars="200"/>
        <w:rPr>
          <w:sz w:val="24"/>
          <w:szCs w:val="24"/>
        </w:rPr>
      </w:pPr>
      <w:r>
        <w:rPr>
          <w:rFonts w:hint="eastAsia"/>
          <w:sz w:val="24"/>
          <w:szCs w:val="24"/>
        </w:rPr>
        <w:t>强化节水型城市建设。继续开展节水型单位和社区建设，加强城镇建设项目的监督管理，落实节水“三同时”、“四到位”制度，即节水设施和主体工程同时设计、同时施工、同时投入使用，用水单位用水计划到位、节水目标到位、节水措施到位、管水制度到位。“十三五”期间六安市金安区、金寨县和霍山县完成节水型社会达标建设。“十四五”期间各县域仍将以提高水资源承载能力、实现水资源可持续利用为目标，以实行最严格水资源管理制度为主要抓手，进一步完善节水管理机制，严格管理监督考核制度，调整用水结构，促进经济发展方式转变，确保完成六安市全部县域节水型社会达标建设，保障县域各行业节水工作全面推进。</w:t>
      </w:r>
    </w:p>
    <w:p>
      <w:pPr>
        <w:spacing w:line="360" w:lineRule="auto"/>
        <w:ind w:firstLine="480" w:firstLineChars="200"/>
        <w:rPr>
          <w:sz w:val="24"/>
          <w:szCs w:val="24"/>
        </w:rPr>
      </w:pPr>
      <w:r>
        <w:rPr>
          <w:rFonts w:hint="eastAsia"/>
          <w:sz w:val="24"/>
          <w:szCs w:val="24"/>
        </w:rPr>
        <w:t>加快推进城镇供水管网改造，有效降低供水管网漏损率。加快制定和实施老旧供水管网改造规划和年度实施计划，重点推动老城区老旧漏损管网改造。加强公共供水系统运行的监督管理，推进城镇供水管网分区计量管理，协同推进二次供水设施改造和专业化管理。</w:t>
      </w:r>
    </w:p>
    <w:p>
      <w:pPr>
        <w:spacing w:line="360" w:lineRule="auto"/>
        <w:ind w:firstLine="480" w:firstLineChars="200"/>
        <w:rPr>
          <w:sz w:val="24"/>
          <w:szCs w:val="24"/>
        </w:rPr>
      </w:pPr>
      <w:r>
        <w:rPr>
          <w:rFonts w:hint="eastAsia"/>
          <w:sz w:val="24"/>
          <w:szCs w:val="24"/>
        </w:rPr>
        <w:t>深入开展公共领域节水。城市园林绿化宜选用适合本地区的节水耐旱型植被，采用喷灌、微观等节水灌溉方式。公共机构要建立用水监控平台，推广应用节水新技术、新工艺、新产品和雨水积蓄利用，新建公共建筑必须使用节水型器具。推动城镇居民家庭节水，普及推广节水型用水器具。</w:t>
      </w:r>
    </w:p>
    <w:p>
      <w:pPr>
        <w:spacing w:line="360" w:lineRule="auto"/>
        <w:ind w:firstLine="480" w:firstLineChars="200"/>
        <w:rPr>
          <w:sz w:val="24"/>
          <w:szCs w:val="24"/>
        </w:rPr>
      </w:pPr>
      <w:r>
        <w:rPr>
          <w:rFonts w:hint="eastAsia"/>
          <w:sz w:val="24"/>
          <w:szCs w:val="24"/>
        </w:rPr>
        <w:t>严控高耗水服务业用水。积极推进餐饮、宾馆、娱乐等行业实施节水技术改造，从严控制洗浴、洗车、宾馆等行业用水定额。在安全合理的前提下，洗车、娱乐等特种行业积极推广循环用水技术、设备与工艺，优先利用再生水、雨水、矿井水等非常规水源。各地应根据当地实际情况确定特种用水范围和执行特种用水价格。严禁盲目扩大用水景观、娱乐的水域面积。</w:t>
      </w:r>
    </w:p>
    <w:p>
      <w:pPr>
        <w:pStyle w:val="4"/>
        <w:spacing w:before="156" w:beforeLines="50" w:after="156" w:afterLines="50"/>
        <w:rPr>
          <w:sz w:val="28"/>
        </w:rPr>
      </w:pPr>
      <w:bookmarkStart w:id="343" w:name="_Toc95382504"/>
      <w:r>
        <w:rPr>
          <w:rFonts w:hint="eastAsia"/>
          <w:sz w:val="28"/>
        </w:rPr>
        <w:t>四、非常规水源利用</w:t>
      </w:r>
      <w:bookmarkEnd w:id="343"/>
    </w:p>
    <w:p>
      <w:pPr>
        <w:spacing w:line="360" w:lineRule="auto"/>
        <w:ind w:firstLine="480" w:firstLineChars="200"/>
        <w:rPr>
          <w:sz w:val="24"/>
          <w:szCs w:val="24"/>
        </w:rPr>
      </w:pPr>
      <w:r>
        <w:rPr>
          <w:rFonts w:hint="eastAsia"/>
          <w:sz w:val="24"/>
          <w:szCs w:val="24"/>
        </w:rPr>
        <w:t>将再生水利用的有关要求和配套设施建设列入相关规划。加快推进城镇污水处理设施及污水再生利用设施建设，建设城市污水处理设施时，应预留再生处理设施空间。优化城市供水系统与配水管网，推动具备条件的城市建立再生水利用管网系统，建立分质供水管网。</w:t>
      </w:r>
    </w:p>
    <w:p>
      <w:pPr>
        <w:pStyle w:val="4"/>
        <w:spacing w:before="156" w:beforeLines="50" w:after="156" w:afterLines="50"/>
        <w:rPr>
          <w:sz w:val="28"/>
        </w:rPr>
      </w:pPr>
      <w:bookmarkStart w:id="344" w:name="_Toc95382505"/>
      <w:r>
        <w:rPr>
          <w:rFonts w:hint="eastAsia"/>
          <w:sz w:val="28"/>
        </w:rPr>
        <w:t>五、节水能力建设</w:t>
      </w:r>
      <w:bookmarkEnd w:id="344"/>
    </w:p>
    <w:p>
      <w:pPr>
        <w:spacing w:line="360" w:lineRule="auto"/>
        <w:ind w:firstLine="480" w:firstLineChars="200"/>
        <w:rPr>
          <w:sz w:val="24"/>
          <w:szCs w:val="24"/>
        </w:rPr>
      </w:pPr>
      <w:r>
        <w:rPr>
          <w:rFonts w:hint="eastAsia"/>
          <w:sz w:val="24"/>
          <w:szCs w:val="24"/>
        </w:rPr>
        <w:t>完善市、县级重点监控用水单位名录，强化取用水计量监控、取用水统计和核查体系。对重点用水单位用水效率等进行监控管理，推进实施节水技术改造，健全节水管理制度，提高内部节水管理水平。积极开展水权制度探索。通过水权制度促进水资源的优化配置，促进区域节水；建立水价约束机制，通过市场价格调节的杠杆作用节水，成为“节水优先”的有力抓手。</w:t>
      </w:r>
    </w:p>
    <w:p>
      <w:pPr>
        <w:pStyle w:val="4"/>
        <w:spacing w:before="156" w:beforeLines="50" w:after="156" w:afterLines="50"/>
        <w:rPr>
          <w:sz w:val="28"/>
        </w:rPr>
      </w:pPr>
      <w:bookmarkStart w:id="345" w:name="_Toc95382506"/>
      <w:r>
        <w:rPr>
          <w:rFonts w:hint="eastAsia"/>
          <w:sz w:val="28"/>
        </w:rPr>
        <w:t>六、节水载体建设</w:t>
      </w:r>
      <w:bookmarkEnd w:id="345"/>
    </w:p>
    <w:p>
      <w:pPr>
        <w:spacing w:line="360" w:lineRule="auto"/>
        <w:ind w:firstLine="480" w:firstLineChars="200"/>
        <w:rPr>
          <w:sz w:val="24"/>
          <w:szCs w:val="24"/>
        </w:rPr>
      </w:pPr>
      <w:r>
        <w:rPr>
          <w:rFonts w:hint="eastAsia"/>
          <w:sz w:val="24"/>
          <w:szCs w:val="24"/>
        </w:rPr>
        <w:t>加快节水载体建设，至2025年，创建一批“节水灌区、节水园区、节水企业、节水学校”。市级节水型公共机构建成率进一步提高，所有县域完成节水型社会达标验收。</w:t>
      </w:r>
    </w:p>
    <w:p>
      <w:pPr>
        <w:pStyle w:val="4"/>
        <w:spacing w:before="156" w:beforeLines="50" w:after="156" w:afterLines="50"/>
        <w:rPr>
          <w:sz w:val="28"/>
        </w:rPr>
      </w:pPr>
      <w:bookmarkStart w:id="346" w:name="_Toc95382507"/>
      <w:r>
        <w:rPr>
          <w:rFonts w:hint="eastAsia"/>
          <w:sz w:val="28"/>
        </w:rPr>
        <w:t>七、节水宣传及教育</w:t>
      </w:r>
      <w:bookmarkEnd w:id="346"/>
    </w:p>
    <w:p>
      <w:pPr>
        <w:spacing w:line="360" w:lineRule="auto"/>
        <w:ind w:firstLine="480" w:firstLineChars="200"/>
        <w:rPr>
          <w:sz w:val="24"/>
          <w:szCs w:val="24"/>
        </w:rPr>
      </w:pPr>
      <w:r>
        <w:rPr>
          <w:rFonts w:hint="eastAsia"/>
          <w:sz w:val="24"/>
          <w:szCs w:val="24"/>
        </w:rPr>
        <w:t>建设节水型社会是全社会的共同责任，需要动员全社会的力量积极参与。加强宣传教育，营造氛围，充分利用电视、网络、手机、社区报栏等多种宣传方式，大力宣传当地的水资源和水环境形势以及建设节水型社会的重要性，宣传资源节约型、环境友好型社会建设的发展战略，节约用水的方针、政策、法规和科学知识等，使每一个公民逐步形成节约用水的意识，养成良好的用水习惯。建设与节水型社会相符合的节水文化，倡导文明的生产和消费方式，逐步形成“浪费水可耻、节约水光荣”的社会风尚，建立自觉节水的社会行为规范体系。</w:t>
      </w:r>
    </w:p>
    <w:p>
      <w:pPr>
        <w:keepNext/>
        <w:keepLines/>
        <w:adjustRightInd w:val="0"/>
        <w:snapToGrid w:val="0"/>
        <w:spacing w:before="312" w:beforeLines="100" w:after="312" w:afterLines="100" w:line="360" w:lineRule="auto"/>
        <w:jc w:val="center"/>
        <w:outlineLvl w:val="1"/>
        <w:rPr>
          <w:b/>
          <w:bCs/>
          <w:sz w:val="32"/>
          <w:szCs w:val="36"/>
        </w:rPr>
      </w:pPr>
      <w:bookmarkStart w:id="347" w:name="_Toc95382508"/>
      <w:r>
        <w:rPr>
          <w:rFonts w:hint="eastAsia"/>
          <w:b/>
          <w:bCs/>
          <w:sz w:val="32"/>
          <w:szCs w:val="36"/>
        </w:rPr>
        <w:t>第五节 节水制度建设</w:t>
      </w:r>
      <w:bookmarkEnd w:id="347"/>
    </w:p>
    <w:p>
      <w:pPr>
        <w:pStyle w:val="4"/>
        <w:spacing w:before="156" w:beforeLines="50" w:after="156" w:afterLines="50"/>
        <w:rPr>
          <w:sz w:val="28"/>
        </w:rPr>
      </w:pPr>
      <w:bookmarkStart w:id="348" w:name="_Toc95382509"/>
      <w:r>
        <w:rPr>
          <w:rFonts w:hint="eastAsia"/>
          <w:sz w:val="28"/>
        </w:rPr>
        <w:t>一、深入落实总量强度双控制度</w:t>
      </w:r>
      <w:bookmarkEnd w:id="348"/>
    </w:p>
    <w:p>
      <w:pPr>
        <w:spacing w:line="360" w:lineRule="auto"/>
        <w:ind w:firstLine="480" w:firstLineChars="200"/>
        <w:rPr>
          <w:sz w:val="24"/>
          <w:szCs w:val="24"/>
        </w:rPr>
      </w:pPr>
      <w:r>
        <w:rPr>
          <w:rFonts w:hint="eastAsia"/>
          <w:sz w:val="24"/>
          <w:szCs w:val="24"/>
        </w:rPr>
        <w:t>完善用水总量控制体系。制定并实施《六安市“十四五”水资源消耗总量和强度双控工作方案》，将用水总量控制指标分解到县（区）级行政区和主要用水行业，建立用水总量和用水强度控制目标责任制。根据六安市实际情况，农业用水占比较大，加强农业用水总量和用水强度控制至关重要，大中型灌区管理单位需制订用水分配方案和年度用水计划，加强灌溉用水管理、取水和输配水设施管理。</w:t>
      </w:r>
    </w:p>
    <w:p>
      <w:pPr>
        <w:spacing w:line="360" w:lineRule="auto"/>
        <w:ind w:firstLine="480" w:firstLineChars="200"/>
        <w:rPr>
          <w:sz w:val="24"/>
          <w:szCs w:val="24"/>
        </w:rPr>
      </w:pPr>
      <w:r>
        <w:rPr>
          <w:rFonts w:hint="eastAsia"/>
          <w:sz w:val="24"/>
          <w:szCs w:val="24"/>
        </w:rPr>
        <w:t>严格落实节水评价制度。全面开展规划和建设项目节水评价，推动提高用水效率，对标国际国内同类地区先进用水水平，促使规划和建设项目高效用水，从严审批新增取水许可申请，叫停节水不达标的项目，切实把好规划和建设项目的节水评价关，并夯实相关工作基础。</w:t>
      </w:r>
    </w:p>
    <w:p>
      <w:pPr>
        <w:pStyle w:val="4"/>
        <w:spacing w:before="156" w:beforeLines="50" w:after="156" w:afterLines="50"/>
        <w:rPr>
          <w:sz w:val="28"/>
        </w:rPr>
      </w:pPr>
      <w:bookmarkStart w:id="349" w:name="_Toc95382510"/>
      <w:r>
        <w:rPr>
          <w:rFonts w:hint="eastAsia"/>
          <w:sz w:val="28"/>
        </w:rPr>
        <w:t>二、完善相关政策制度</w:t>
      </w:r>
      <w:bookmarkEnd w:id="349"/>
    </w:p>
    <w:p>
      <w:pPr>
        <w:spacing w:line="360" w:lineRule="auto"/>
        <w:ind w:firstLine="480" w:firstLineChars="200"/>
        <w:rPr>
          <w:sz w:val="24"/>
          <w:szCs w:val="24"/>
        </w:rPr>
      </w:pPr>
      <w:r>
        <w:rPr>
          <w:rFonts w:hint="eastAsia"/>
          <w:sz w:val="24"/>
          <w:szCs w:val="24"/>
        </w:rPr>
        <w:t>全面深化水价改革。建全供水价格形成机制和动态调整机制，不断完善差别水价、阶梯水价等措施。全面推行城镇非居民用水超定额累进加价制度，进一步拉大特种用水与非居民用水的价差；适时完善居民阶梯水价制度。探索实施灌溉定额内用水享受优惠水价，推进农业用水精准补贴和节水奖励机制。</w:t>
      </w:r>
    </w:p>
    <w:p>
      <w:pPr>
        <w:spacing w:line="360" w:lineRule="auto"/>
        <w:ind w:firstLine="480" w:firstLineChars="200"/>
        <w:rPr>
          <w:sz w:val="24"/>
          <w:szCs w:val="24"/>
        </w:rPr>
      </w:pPr>
      <w:r>
        <w:rPr>
          <w:rFonts w:hint="eastAsia"/>
          <w:sz w:val="24"/>
          <w:szCs w:val="24"/>
        </w:rPr>
        <w:t>完善节水财税政策。各级财政积极发挥职能作用，统筹相关资金支持实施节水行动的重点任务和相关工作；落实节水税收优惠政策，重点鼓励用水行业实施节水改造或节水型载体创建。落实国家水资源税改工作部署，适时启动全市水资源费改税工作，发挥水资源税在水资源管理和节约保护中的调节作用。</w:t>
      </w:r>
    </w:p>
    <w:p>
      <w:pPr>
        <w:spacing w:line="360" w:lineRule="auto"/>
        <w:ind w:firstLine="480" w:firstLineChars="200"/>
        <w:rPr>
          <w:sz w:val="24"/>
          <w:szCs w:val="24"/>
        </w:rPr>
      </w:pPr>
      <w:r>
        <w:rPr>
          <w:rFonts w:hint="eastAsia"/>
          <w:sz w:val="24"/>
          <w:szCs w:val="24"/>
        </w:rPr>
        <w:t>全面落实节水标准。落实国家节水标准，逐步建立节水标准实时跟踪、评估和监督机制。</w:t>
      </w:r>
    </w:p>
    <w:p>
      <w:pPr>
        <w:pStyle w:val="4"/>
        <w:spacing w:before="156" w:beforeLines="50" w:after="156" w:afterLines="50"/>
        <w:rPr>
          <w:sz w:val="28"/>
        </w:rPr>
      </w:pPr>
      <w:bookmarkStart w:id="350" w:name="_Toc95382511"/>
      <w:r>
        <w:rPr>
          <w:rFonts w:hint="eastAsia"/>
          <w:sz w:val="28"/>
        </w:rPr>
        <w:t>三、建立节水市场调节与激励机制</w:t>
      </w:r>
      <w:bookmarkEnd w:id="350"/>
    </w:p>
    <w:p>
      <w:pPr>
        <w:spacing w:line="360" w:lineRule="auto"/>
        <w:ind w:firstLine="480" w:firstLineChars="200"/>
        <w:rPr>
          <w:sz w:val="24"/>
          <w:szCs w:val="24"/>
        </w:rPr>
      </w:pPr>
      <w:r>
        <w:rPr>
          <w:rFonts w:hint="eastAsia"/>
          <w:sz w:val="24"/>
          <w:szCs w:val="24"/>
        </w:rPr>
        <w:t>进一步推进水权水市场改革。根据金安区水权确权试点改革工作的经验，在全市范围内进一步推进水资源使用权确权，明确行政区域取用水权益，科学核定取用水户许可水量。探索地区间、行业间、用水户间等多种形式的水权交易。</w:t>
      </w:r>
    </w:p>
    <w:p>
      <w:pPr>
        <w:spacing w:line="360" w:lineRule="auto"/>
        <w:ind w:firstLine="480" w:firstLineChars="200"/>
        <w:rPr>
          <w:sz w:val="24"/>
          <w:szCs w:val="24"/>
        </w:rPr>
      </w:pPr>
      <w:r>
        <w:rPr>
          <w:rFonts w:hint="eastAsia"/>
          <w:sz w:val="24"/>
          <w:szCs w:val="24"/>
        </w:rPr>
        <w:t>推广水效标识产品。认真落实《水效标识管理办法》，指导消费者选择使用水效高的产品，支持生产者改善产品节水效能，鼓励销售者优先推销高效节水产品。强化市场监管对列入国家实施水效标识产品目录的用水产品，生产或销售环节应当标注而未标注水效标识的，依法严肃查处。</w:t>
      </w:r>
    </w:p>
    <w:p>
      <w:pPr>
        <w:spacing w:line="360" w:lineRule="auto"/>
        <w:ind w:firstLine="480" w:firstLineChars="200"/>
        <w:rPr>
          <w:sz w:val="24"/>
          <w:szCs w:val="24"/>
        </w:rPr>
      </w:pPr>
      <w:r>
        <w:rPr>
          <w:rFonts w:hint="eastAsia"/>
          <w:sz w:val="24"/>
          <w:szCs w:val="24"/>
        </w:rPr>
        <w:t>推动合同节水管理。严格落实节水装备及产品质量评级机制，建立节水服务市场准入制度，推动高耗水合同节水管理。通过市场机制与节水服务企业签订节水设计、改造、计量监控和咨询服务等合同，拓展投融资渠道、整合市场资源挖掘节水潜力。</w:t>
      </w:r>
    </w:p>
    <w:p>
      <w:pPr>
        <w:spacing w:line="360" w:lineRule="auto"/>
        <w:ind w:firstLine="480" w:firstLineChars="200"/>
        <w:rPr>
          <w:sz w:val="24"/>
          <w:szCs w:val="24"/>
        </w:rPr>
      </w:pPr>
      <w:r>
        <w:rPr>
          <w:rFonts w:hint="eastAsia"/>
          <w:sz w:val="24"/>
          <w:szCs w:val="24"/>
        </w:rPr>
        <w:t>实施水效领跑和节水认证。在工业、农业、服务业和公共机构等用水领域开展水效领跑者引领行动，推荐水效领跑者名单，树立节水先进标杆，鼓励开展水效对标达标活动。持续推动节水认证工作，促进节水产品认证逐步向绿色产品认证过渡，完善相关认证结果采信机制。</w:t>
      </w:r>
    </w:p>
    <w:p>
      <w:pPr>
        <w:keepNext/>
        <w:keepLines/>
        <w:adjustRightInd w:val="0"/>
        <w:snapToGrid w:val="0"/>
        <w:spacing w:before="312" w:beforeLines="100" w:after="312" w:afterLines="100" w:line="360" w:lineRule="auto"/>
        <w:jc w:val="center"/>
        <w:outlineLvl w:val="1"/>
        <w:rPr>
          <w:b/>
          <w:bCs/>
          <w:sz w:val="32"/>
          <w:szCs w:val="36"/>
        </w:rPr>
      </w:pPr>
      <w:bookmarkStart w:id="351" w:name="_Toc95382512"/>
      <w:r>
        <w:rPr>
          <w:rFonts w:hint="eastAsia"/>
          <w:b/>
          <w:bCs/>
          <w:sz w:val="32"/>
          <w:szCs w:val="36"/>
        </w:rPr>
        <w:t>第六节 节水建设重点工程</w:t>
      </w:r>
      <w:bookmarkEnd w:id="351"/>
    </w:p>
    <w:p>
      <w:pPr>
        <w:adjustRightInd w:val="0"/>
        <w:spacing w:line="360" w:lineRule="auto"/>
        <w:ind w:firstLine="482" w:firstLineChars="200"/>
        <w:jc w:val="left"/>
        <w:rPr>
          <w:b/>
          <w:sz w:val="24"/>
        </w:rPr>
      </w:pPr>
      <w:r>
        <w:rPr>
          <w:rFonts w:hint="eastAsia"/>
          <w:b/>
          <w:sz w:val="24"/>
        </w:rPr>
        <w:t>（一）金安区</w:t>
      </w:r>
    </w:p>
    <w:p>
      <w:pPr>
        <w:spacing w:line="360" w:lineRule="auto"/>
        <w:ind w:firstLine="480" w:firstLineChars="200"/>
        <w:rPr>
          <w:sz w:val="24"/>
          <w:szCs w:val="24"/>
        </w:rPr>
      </w:pPr>
      <w:r>
        <w:rPr>
          <w:rFonts w:hint="eastAsia"/>
          <w:sz w:val="24"/>
          <w:szCs w:val="24"/>
        </w:rPr>
        <w:t>农业方面节水重点工程包括：淠史杭灌区续建配套与现代化改造工程中金安区境内淠杭干渠、淠东干渠整治工程、金安区节水灌溉高标准农田建设工程等。</w:t>
      </w:r>
    </w:p>
    <w:p>
      <w:pPr>
        <w:spacing w:line="360" w:lineRule="auto"/>
        <w:ind w:firstLine="480" w:firstLineChars="200"/>
        <w:rPr>
          <w:sz w:val="24"/>
          <w:szCs w:val="24"/>
        </w:rPr>
      </w:pPr>
      <w:r>
        <w:rPr>
          <w:rFonts w:hint="eastAsia"/>
          <w:sz w:val="24"/>
          <w:szCs w:val="24"/>
        </w:rPr>
        <w:t>工业方面节水重点工程包括：金安区重点工业企业节水改造工程。</w:t>
      </w:r>
    </w:p>
    <w:p>
      <w:pPr>
        <w:spacing w:line="360" w:lineRule="auto"/>
        <w:ind w:firstLine="480" w:firstLineChars="200"/>
        <w:rPr>
          <w:sz w:val="24"/>
          <w:szCs w:val="24"/>
        </w:rPr>
      </w:pPr>
      <w:r>
        <w:rPr>
          <w:rFonts w:hint="eastAsia"/>
          <w:sz w:val="24"/>
          <w:szCs w:val="24"/>
        </w:rPr>
        <w:t>城镇生活节水重点工程包括：金安区老旧小区供水管网节水改造工程、节水器具推广、城市园林绿化节水改造工程、金安区县域节水型社会建设等。</w:t>
      </w:r>
    </w:p>
    <w:p>
      <w:pPr>
        <w:spacing w:line="360" w:lineRule="auto"/>
        <w:ind w:firstLine="480" w:firstLineChars="200"/>
        <w:rPr>
          <w:sz w:val="24"/>
          <w:szCs w:val="24"/>
        </w:rPr>
      </w:pPr>
      <w:r>
        <w:rPr>
          <w:rFonts w:hint="eastAsia"/>
          <w:sz w:val="24"/>
          <w:szCs w:val="24"/>
        </w:rPr>
        <w:t>非常规水源利用重点工程包括：六安市行政中心雨水利用工程、南屏公园雨水利用工程等。</w:t>
      </w:r>
    </w:p>
    <w:p>
      <w:pPr>
        <w:adjustRightInd w:val="0"/>
        <w:spacing w:line="360" w:lineRule="auto"/>
        <w:ind w:firstLine="482" w:firstLineChars="200"/>
        <w:jc w:val="left"/>
        <w:rPr>
          <w:b/>
          <w:sz w:val="24"/>
        </w:rPr>
      </w:pPr>
      <w:r>
        <w:rPr>
          <w:rFonts w:hint="eastAsia"/>
          <w:b/>
          <w:sz w:val="24"/>
        </w:rPr>
        <w:t>（二）裕安区</w:t>
      </w:r>
    </w:p>
    <w:p>
      <w:pPr>
        <w:spacing w:line="360" w:lineRule="auto"/>
        <w:ind w:firstLine="480" w:firstLineChars="200"/>
        <w:rPr>
          <w:sz w:val="24"/>
          <w:szCs w:val="24"/>
        </w:rPr>
      </w:pPr>
      <w:r>
        <w:rPr>
          <w:rFonts w:hint="eastAsia"/>
          <w:sz w:val="24"/>
          <w:szCs w:val="24"/>
        </w:rPr>
        <w:t>农业方面节水重点工程包括：淠史杭灌区续建配套与现代化改造工程中裕安区境内汲东干渠整治工程、狮子岗灌区节水改造工程、裕安区节水灌溉高标准农田建设工程等。</w:t>
      </w:r>
    </w:p>
    <w:p>
      <w:pPr>
        <w:spacing w:line="360" w:lineRule="auto"/>
        <w:ind w:firstLine="480" w:firstLineChars="200"/>
        <w:rPr>
          <w:sz w:val="24"/>
          <w:szCs w:val="24"/>
        </w:rPr>
      </w:pPr>
      <w:r>
        <w:rPr>
          <w:rFonts w:hint="eastAsia"/>
          <w:sz w:val="24"/>
          <w:szCs w:val="24"/>
        </w:rPr>
        <w:t>工业方面节水重点工程包括：裕安区重点工业企业节水改造工程。</w:t>
      </w:r>
    </w:p>
    <w:p>
      <w:pPr>
        <w:spacing w:line="360" w:lineRule="auto"/>
        <w:ind w:firstLine="480" w:firstLineChars="200"/>
        <w:rPr>
          <w:sz w:val="24"/>
          <w:szCs w:val="24"/>
        </w:rPr>
      </w:pPr>
      <w:r>
        <w:rPr>
          <w:rFonts w:hint="eastAsia"/>
          <w:sz w:val="24"/>
          <w:szCs w:val="24"/>
        </w:rPr>
        <w:t>城镇生活节水重点工程包括：裕安区老旧小区供水管网节水改造工程、节水器具推广、城市园林绿化节水改造工程、裕安区县域节水型社会建设等。</w:t>
      </w:r>
    </w:p>
    <w:p>
      <w:pPr>
        <w:spacing w:line="360" w:lineRule="auto"/>
        <w:ind w:firstLine="480" w:firstLineChars="200"/>
        <w:rPr>
          <w:sz w:val="24"/>
          <w:szCs w:val="24"/>
        </w:rPr>
      </w:pPr>
      <w:r>
        <w:rPr>
          <w:rFonts w:hint="eastAsia"/>
          <w:sz w:val="24"/>
          <w:szCs w:val="24"/>
        </w:rPr>
        <w:t>非常规水源利用重点工程包括：河西景观带雨水利用工程、裕安区苏埠镇再生水利用工程等。</w:t>
      </w:r>
    </w:p>
    <w:p>
      <w:pPr>
        <w:adjustRightInd w:val="0"/>
        <w:spacing w:line="360" w:lineRule="auto"/>
        <w:ind w:firstLine="482" w:firstLineChars="200"/>
        <w:jc w:val="left"/>
        <w:rPr>
          <w:b/>
          <w:sz w:val="24"/>
        </w:rPr>
      </w:pPr>
      <w:r>
        <w:rPr>
          <w:rFonts w:hint="eastAsia"/>
          <w:b/>
          <w:sz w:val="24"/>
        </w:rPr>
        <w:t>（三）叶集区</w:t>
      </w:r>
    </w:p>
    <w:p>
      <w:pPr>
        <w:spacing w:line="360" w:lineRule="auto"/>
        <w:ind w:firstLine="480" w:firstLineChars="200"/>
        <w:rPr>
          <w:sz w:val="24"/>
          <w:szCs w:val="24"/>
        </w:rPr>
      </w:pPr>
      <w:r>
        <w:rPr>
          <w:rFonts w:hint="eastAsia"/>
          <w:sz w:val="24"/>
          <w:szCs w:val="24"/>
        </w:rPr>
        <w:t>农业方面节水重点工程包括：淠史杭灌区续建配套与现代化改造工程中叶集区境内史河总干渠整治工程、叶集区二道河渠系改造工程等。</w:t>
      </w:r>
    </w:p>
    <w:p>
      <w:pPr>
        <w:spacing w:line="360" w:lineRule="auto"/>
        <w:ind w:firstLine="480" w:firstLineChars="200"/>
        <w:rPr>
          <w:sz w:val="24"/>
          <w:szCs w:val="24"/>
        </w:rPr>
      </w:pPr>
      <w:r>
        <w:rPr>
          <w:rFonts w:hint="eastAsia"/>
          <w:sz w:val="24"/>
          <w:szCs w:val="24"/>
        </w:rPr>
        <w:t>工业方面节水重点工程包括：叶集区重点工业企业节水改造工程。</w:t>
      </w:r>
    </w:p>
    <w:p>
      <w:pPr>
        <w:spacing w:line="360" w:lineRule="auto"/>
        <w:ind w:firstLine="480" w:firstLineChars="200"/>
        <w:rPr>
          <w:sz w:val="24"/>
          <w:szCs w:val="24"/>
        </w:rPr>
      </w:pPr>
      <w:r>
        <w:rPr>
          <w:rFonts w:hint="eastAsia"/>
          <w:sz w:val="24"/>
          <w:szCs w:val="24"/>
        </w:rPr>
        <w:t>城镇生活节水重点工程包括：叶集区县域节水型社会建设等。</w:t>
      </w:r>
    </w:p>
    <w:p>
      <w:pPr>
        <w:spacing w:line="360" w:lineRule="auto"/>
        <w:ind w:firstLine="480" w:firstLineChars="200"/>
        <w:rPr>
          <w:sz w:val="24"/>
          <w:szCs w:val="24"/>
        </w:rPr>
      </w:pPr>
      <w:r>
        <w:rPr>
          <w:rFonts w:hint="eastAsia"/>
          <w:sz w:val="24"/>
          <w:szCs w:val="24"/>
        </w:rPr>
        <w:t>非常规水源利用重点工程包括：叶集区污水处理厂废水再生利用工程等。</w:t>
      </w:r>
    </w:p>
    <w:p>
      <w:pPr>
        <w:adjustRightInd w:val="0"/>
        <w:spacing w:line="360" w:lineRule="auto"/>
        <w:ind w:firstLine="482" w:firstLineChars="200"/>
        <w:jc w:val="left"/>
        <w:rPr>
          <w:b/>
          <w:sz w:val="24"/>
        </w:rPr>
      </w:pPr>
      <w:r>
        <w:rPr>
          <w:rFonts w:hint="eastAsia"/>
          <w:b/>
          <w:sz w:val="24"/>
        </w:rPr>
        <w:t>（四）霍邱县</w:t>
      </w:r>
    </w:p>
    <w:p>
      <w:pPr>
        <w:spacing w:line="360" w:lineRule="auto"/>
        <w:ind w:firstLine="480" w:firstLineChars="200"/>
        <w:rPr>
          <w:sz w:val="24"/>
          <w:szCs w:val="24"/>
        </w:rPr>
      </w:pPr>
      <w:r>
        <w:rPr>
          <w:rFonts w:hint="eastAsia"/>
          <w:sz w:val="24"/>
          <w:szCs w:val="24"/>
        </w:rPr>
        <w:t>农业方面节水重点工程包括：淠史杭灌区续建配套与现代化改造工程中霍邱县境内汲东干渠、沣东干渠整治工程、霍邱县节水灌溉高标准农田建设工程等。</w:t>
      </w:r>
    </w:p>
    <w:p>
      <w:pPr>
        <w:spacing w:line="360" w:lineRule="auto"/>
        <w:ind w:firstLine="480" w:firstLineChars="200"/>
        <w:rPr>
          <w:sz w:val="24"/>
          <w:szCs w:val="24"/>
        </w:rPr>
      </w:pPr>
      <w:r>
        <w:rPr>
          <w:rFonts w:hint="eastAsia"/>
          <w:sz w:val="24"/>
          <w:szCs w:val="24"/>
        </w:rPr>
        <w:t>工业方面节水重点工程包括：霍邱县重点工业企业节水改造工程。</w:t>
      </w:r>
    </w:p>
    <w:p>
      <w:pPr>
        <w:spacing w:line="360" w:lineRule="auto"/>
        <w:ind w:firstLine="480" w:firstLineChars="200"/>
        <w:rPr>
          <w:sz w:val="24"/>
          <w:szCs w:val="24"/>
        </w:rPr>
      </w:pPr>
      <w:r>
        <w:rPr>
          <w:rFonts w:hint="eastAsia"/>
          <w:sz w:val="24"/>
          <w:szCs w:val="24"/>
        </w:rPr>
        <w:t>城镇生活节水重点工程包括：霍邱县县域节水型社会建设等。</w:t>
      </w:r>
    </w:p>
    <w:p>
      <w:pPr>
        <w:adjustRightInd w:val="0"/>
        <w:spacing w:line="360" w:lineRule="auto"/>
        <w:ind w:firstLine="482" w:firstLineChars="200"/>
        <w:jc w:val="left"/>
        <w:rPr>
          <w:b/>
          <w:sz w:val="24"/>
        </w:rPr>
      </w:pPr>
      <w:r>
        <w:rPr>
          <w:rFonts w:hint="eastAsia"/>
          <w:b/>
          <w:sz w:val="24"/>
        </w:rPr>
        <w:t>（五）舒城县</w:t>
      </w:r>
    </w:p>
    <w:p>
      <w:pPr>
        <w:spacing w:line="360" w:lineRule="auto"/>
        <w:ind w:firstLine="480" w:firstLineChars="200"/>
        <w:rPr>
          <w:sz w:val="24"/>
          <w:szCs w:val="24"/>
        </w:rPr>
      </w:pPr>
      <w:r>
        <w:rPr>
          <w:rFonts w:hint="eastAsia"/>
          <w:sz w:val="24"/>
          <w:szCs w:val="24"/>
        </w:rPr>
        <w:t>农业方面节水重点工程包括：淠史杭灌区续建配套与现代化改造工程中舒城县境内舒庐干渠整治工程、龙潭河灌区节水改造工程、舒城县节水灌溉高标准农田建设工程等。</w:t>
      </w:r>
    </w:p>
    <w:p>
      <w:pPr>
        <w:spacing w:line="360" w:lineRule="auto"/>
        <w:ind w:firstLine="480" w:firstLineChars="200"/>
        <w:rPr>
          <w:sz w:val="24"/>
          <w:szCs w:val="24"/>
        </w:rPr>
      </w:pPr>
      <w:r>
        <w:rPr>
          <w:rFonts w:hint="eastAsia"/>
          <w:sz w:val="24"/>
          <w:szCs w:val="24"/>
        </w:rPr>
        <w:t>工业方面节水重点工程包括：舒城县重点工业企业节水改造工程。</w:t>
      </w:r>
    </w:p>
    <w:p>
      <w:pPr>
        <w:spacing w:line="360" w:lineRule="auto"/>
        <w:ind w:firstLine="480" w:firstLineChars="200"/>
        <w:rPr>
          <w:sz w:val="24"/>
          <w:szCs w:val="24"/>
        </w:rPr>
      </w:pPr>
      <w:r>
        <w:rPr>
          <w:rFonts w:hint="eastAsia"/>
          <w:sz w:val="24"/>
          <w:szCs w:val="24"/>
        </w:rPr>
        <w:t>城镇生活节水重点工程包括：舒城县域节水型社会建设等。</w:t>
      </w:r>
    </w:p>
    <w:p>
      <w:pPr>
        <w:spacing w:line="360" w:lineRule="auto"/>
        <w:ind w:firstLine="480" w:firstLineChars="200"/>
        <w:rPr>
          <w:sz w:val="24"/>
          <w:szCs w:val="24"/>
        </w:rPr>
      </w:pPr>
      <w:r>
        <w:rPr>
          <w:rFonts w:hint="eastAsia"/>
          <w:sz w:val="24"/>
          <w:szCs w:val="24"/>
        </w:rPr>
        <w:t>非常规水源利用重点工程包括：舒城县一中雨水利用工程等。</w:t>
      </w:r>
    </w:p>
    <w:p>
      <w:pPr>
        <w:adjustRightInd w:val="0"/>
        <w:spacing w:line="360" w:lineRule="auto"/>
        <w:ind w:firstLine="482" w:firstLineChars="200"/>
        <w:jc w:val="left"/>
        <w:rPr>
          <w:b/>
          <w:sz w:val="24"/>
        </w:rPr>
      </w:pPr>
      <w:r>
        <w:rPr>
          <w:rFonts w:hint="eastAsia"/>
          <w:b/>
          <w:sz w:val="24"/>
        </w:rPr>
        <w:t>（六）金寨县</w:t>
      </w:r>
    </w:p>
    <w:p>
      <w:pPr>
        <w:spacing w:line="360" w:lineRule="auto"/>
        <w:ind w:firstLine="480" w:firstLineChars="200"/>
        <w:rPr>
          <w:sz w:val="24"/>
          <w:szCs w:val="24"/>
        </w:rPr>
      </w:pPr>
      <w:r>
        <w:rPr>
          <w:rFonts w:hint="eastAsia"/>
          <w:sz w:val="24"/>
          <w:szCs w:val="24"/>
        </w:rPr>
        <w:t>农业方面节水重点工程包括：淠史杭灌区续建配套与现代化改造工程中金寨县境内史河总干渠整治工程、灌口集灌区、天马灌区、泗河灌区节水改造工程、金寨县节水灌溉高标准农田建设工程等。</w:t>
      </w:r>
    </w:p>
    <w:p>
      <w:pPr>
        <w:spacing w:line="360" w:lineRule="auto"/>
        <w:ind w:firstLine="480" w:firstLineChars="200"/>
        <w:rPr>
          <w:sz w:val="24"/>
          <w:szCs w:val="24"/>
        </w:rPr>
      </w:pPr>
      <w:r>
        <w:rPr>
          <w:rFonts w:hint="eastAsia"/>
          <w:sz w:val="24"/>
          <w:szCs w:val="24"/>
        </w:rPr>
        <w:t>工业方面节水重点工程包括：金寨县重点工业企业节水改造工程。</w:t>
      </w:r>
    </w:p>
    <w:p>
      <w:pPr>
        <w:spacing w:line="360" w:lineRule="auto"/>
        <w:ind w:firstLine="480" w:firstLineChars="200"/>
        <w:rPr>
          <w:sz w:val="24"/>
          <w:szCs w:val="24"/>
        </w:rPr>
      </w:pPr>
      <w:r>
        <w:rPr>
          <w:rFonts w:hint="eastAsia"/>
          <w:sz w:val="24"/>
          <w:szCs w:val="24"/>
        </w:rPr>
        <w:t>城镇生活节水重点工程包括：金寨县域节水型社会建设等。</w:t>
      </w:r>
    </w:p>
    <w:p>
      <w:pPr>
        <w:spacing w:line="360" w:lineRule="auto"/>
        <w:ind w:firstLine="480" w:firstLineChars="200"/>
        <w:rPr>
          <w:sz w:val="24"/>
          <w:szCs w:val="24"/>
        </w:rPr>
      </w:pPr>
      <w:r>
        <w:rPr>
          <w:rFonts w:hint="eastAsia"/>
          <w:sz w:val="24"/>
          <w:szCs w:val="24"/>
        </w:rPr>
        <w:t>非常规水源利用重点工程包括：、金寨县一中雨水利用工程、金寨县开发区污水处理厂中水利用工程等。</w:t>
      </w:r>
    </w:p>
    <w:p>
      <w:pPr>
        <w:adjustRightInd w:val="0"/>
        <w:spacing w:line="360" w:lineRule="auto"/>
        <w:ind w:firstLine="482" w:firstLineChars="200"/>
        <w:jc w:val="left"/>
        <w:rPr>
          <w:b/>
          <w:sz w:val="24"/>
        </w:rPr>
      </w:pPr>
      <w:r>
        <w:rPr>
          <w:rFonts w:hint="eastAsia"/>
          <w:b/>
          <w:sz w:val="24"/>
        </w:rPr>
        <w:t>（七）霍山县</w:t>
      </w:r>
    </w:p>
    <w:p>
      <w:pPr>
        <w:spacing w:line="360" w:lineRule="auto"/>
        <w:ind w:firstLine="480" w:firstLineChars="200"/>
        <w:rPr>
          <w:sz w:val="24"/>
          <w:szCs w:val="24"/>
        </w:rPr>
      </w:pPr>
      <w:r>
        <w:rPr>
          <w:rFonts w:hint="eastAsia"/>
          <w:sz w:val="24"/>
          <w:szCs w:val="24"/>
        </w:rPr>
        <w:t>农业方面节水重点工程包括：淠史杭灌区续建配套与现代化改造工程中霍山县境内淠源分干渠整治工程、灌区（下符桥灌区、移洋湾灌区、黑石渡灌区之一）节水改造工程、霍山县节水灌溉高标准农田建设工程等。</w:t>
      </w:r>
    </w:p>
    <w:p>
      <w:pPr>
        <w:spacing w:line="360" w:lineRule="auto"/>
        <w:ind w:firstLine="480" w:firstLineChars="200"/>
        <w:rPr>
          <w:sz w:val="24"/>
          <w:szCs w:val="24"/>
        </w:rPr>
      </w:pPr>
      <w:r>
        <w:rPr>
          <w:rFonts w:hint="eastAsia"/>
          <w:sz w:val="24"/>
          <w:szCs w:val="24"/>
        </w:rPr>
        <w:t>工业方面节水重点工程包括：霍山县重点工业企业节水改造工程。</w:t>
      </w:r>
    </w:p>
    <w:p>
      <w:pPr>
        <w:spacing w:line="360" w:lineRule="auto"/>
        <w:ind w:firstLine="480" w:firstLineChars="200"/>
        <w:rPr>
          <w:sz w:val="24"/>
          <w:szCs w:val="24"/>
        </w:rPr>
      </w:pPr>
      <w:r>
        <w:rPr>
          <w:rFonts w:hint="eastAsia"/>
          <w:sz w:val="24"/>
          <w:szCs w:val="24"/>
        </w:rPr>
        <w:t>城镇生活节水重点工程包括：霍山县域节水型社会建设等。</w:t>
      </w:r>
    </w:p>
    <w:p>
      <w:pPr>
        <w:spacing w:line="360" w:lineRule="auto"/>
        <w:rPr>
          <w:sz w:val="24"/>
          <w:szCs w:val="24"/>
        </w:rPr>
      </w:pPr>
    </w:p>
    <w:p>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352" w:name="_Toc29590"/>
      <w:bookmarkStart w:id="353" w:name="_Toc21065"/>
      <w:bookmarkStart w:id="354" w:name="_Toc716"/>
      <w:bookmarkStart w:id="355" w:name="_Toc7088"/>
      <w:bookmarkStart w:id="356" w:name="_Toc2055"/>
      <w:bookmarkStart w:id="357" w:name="_Toc9023"/>
      <w:bookmarkStart w:id="358" w:name="_Toc17163"/>
    </w:p>
    <w:bookmarkEnd w:id="352"/>
    <w:bookmarkEnd w:id="353"/>
    <w:bookmarkEnd w:id="354"/>
    <w:bookmarkEnd w:id="355"/>
    <w:bookmarkEnd w:id="356"/>
    <w:bookmarkEnd w:id="357"/>
    <w:bookmarkEnd w:id="358"/>
    <w:p>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pPr>
      <w:bookmarkStart w:id="359" w:name="_Toc3470"/>
      <w:bookmarkStart w:id="360" w:name="_Toc30149"/>
      <w:bookmarkStart w:id="361" w:name="_Toc10429"/>
      <w:bookmarkStart w:id="362" w:name="_Toc95382513"/>
      <w:bookmarkStart w:id="363" w:name="_Toc8313"/>
      <w:bookmarkStart w:id="364" w:name="_Toc2956"/>
      <w:bookmarkStart w:id="365" w:name="_Toc2231"/>
      <w:bookmarkStart w:id="366" w:name="_Toc9016"/>
      <w:r>
        <w:rPr>
          <w:rFonts w:ascii="黑体" w:hAnsi="黑体" w:eastAsia="黑体" w:cs="黑体"/>
          <w:bCs/>
          <w:kern w:val="44"/>
          <w:sz w:val="36"/>
          <w:szCs w:val="36"/>
        </w:rPr>
        <w:t>第六章 水资源</w:t>
      </w:r>
      <w:r>
        <w:rPr>
          <w:rFonts w:hint="eastAsia" w:ascii="黑体" w:hAnsi="黑体" w:eastAsia="黑体" w:cs="黑体"/>
          <w:bCs/>
          <w:kern w:val="44"/>
          <w:sz w:val="36"/>
          <w:szCs w:val="36"/>
        </w:rPr>
        <w:t>配置</w:t>
      </w:r>
      <w:bookmarkEnd w:id="359"/>
      <w:bookmarkEnd w:id="360"/>
      <w:bookmarkEnd w:id="361"/>
      <w:bookmarkEnd w:id="362"/>
      <w:bookmarkEnd w:id="363"/>
      <w:bookmarkEnd w:id="364"/>
      <w:bookmarkEnd w:id="365"/>
      <w:bookmarkEnd w:id="366"/>
    </w:p>
    <w:p>
      <w:pPr>
        <w:keepNext/>
        <w:keepLines/>
        <w:adjustRightInd w:val="0"/>
        <w:snapToGrid w:val="0"/>
        <w:spacing w:before="312" w:beforeLines="100" w:after="312" w:afterLines="100" w:line="360" w:lineRule="auto"/>
        <w:jc w:val="center"/>
        <w:outlineLvl w:val="1"/>
        <w:rPr>
          <w:b/>
          <w:bCs/>
          <w:sz w:val="32"/>
          <w:szCs w:val="36"/>
        </w:rPr>
      </w:pPr>
      <w:bookmarkStart w:id="367" w:name="_Toc95382514"/>
      <w:bookmarkStart w:id="368" w:name="_Toc306734693"/>
      <w:bookmarkStart w:id="369" w:name="_Toc432782567"/>
      <w:bookmarkStart w:id="370" w:name="_Toc382472239"/>
      <w:r>
        <w:rPr>
          <w:b/>
          <w:bCs/>
          <w:sz w:val="32"/>
          <w:szCs w:val="36"/>
        </w:rPr>
        <w:t>第一节 水资源供需平衡分析</w:t>
      </w:r>
      <w:bookmarkEnd w:id="367"/>
      <w:bookmarkEnd w:id="368"/>
      <w:bookmarkEnd w:id="369"/>
      <w:bookmarkEnd w:id="370"/>
    </w:p>
    <w:p>
      <w:pPr>
        <w:pStyle w:val="4"/>
        <w:spacing w:before="156" w:beforeLines="50" w:after="156" w:afterLines="50"/>
        <w:rPr>
          <w:b w:val="0"/>
          <w:bCs w:val="0"/>
          <w:sz w:val="28"/>
        </w:rPr>
      </w:pPr>
      <w:bookmarkStart w:id="371" w:name="_Toc382472240"/>
      <w:bookmarkStart w:id="372" w:name="_Toc95382515"/>
      <w:bookmarkStart w:id="373" w:name="_Toc432782568"/>
      <w:bookmarkStart w:id="374" w:name="_Toc306734694"/>
      <w:r>
        <w:rPr>
          <w:sz w:val="28"/>
        </w:rPr>
        <w:t>一、供水预测</w:t>
      </w:r>
      <w:bookmarkEnd w:id="371"/>
      <w:bookmarkEnd w:id="372"/>
      <w:bookmarkEnd w:id="373"/>
      <w:bookmarkEnd w:id="374"/>
    </w:p>
    <w:p>
      <w:pPr>
        <w:adjustRightInd w:val="0"/>
        <w:snapToGrid w:val="0"/>
        <w:spacing w:line="360" w:lineRule="auto"/>
        <w:ind w:firstLine="480" w:firstLineChars="200"/>
        <w:rPr>
          <w:sz w:val="24"/>
        </w:rPr>
      </w:pPr>
      <w:r>
        <w:rPr>
          <w:sz w:val="24"/>
        </w:rPr>
        <w:t>可供水量是根据六安市水资源和来水条件、需水情况以及供水系统运行情况，在满足河道内生态环境用水要求的前提下，可供河道外使用的水量。可供水量主要包括地表水、地下水和其他水源的可供水量。本次规划根据采取强化节水措施条件下的需水预测和对现有供水设施的工程布局、供水能力、运行状况，以及水资源开发利用程度与存在问题等综合调查分析的基础上，经加固改造、配套更新现有工程，合理布局新建水源工程，配合实施非工程措施等手段后并考虑需水要求，对不同水平年、不同保证率下水资源利用工程所能提供的水量进行计算分析，也称为可供水量预测。</w:t>
      </w:r>
    </w:p>
    <w:p>
      <w:pPr>
        <w:adjustRightInd w:val="0"/>
        <w:snapToGrid w:val="0"/>
        <w:spacing w:line="360" w:lineRule="auto"/>
        <w:ind w:firstLine="482"/>
        <w:rPr>
          <w:sz w:val="24"/>
        </w:rPr>
      </w:pPr>
      <w:r>
        <w:rPr>
          <w:sz w:val="24"/>
        </w:rPr>
        <w:t>可供水量按供水水源性质分地表水可供水量、浅层地下水可供水量、其它水源可供水量，其中地表水可供水量包含蓄水、引水、提水及跨流域调水工程的可供水量；其它水源可供水量包括</w:t>
      </w:r>
      <w:r>
        <w:rPr>
          <w:rFonts w:hint="eastAsia"/>
          <w:sz w:val="24"/>
        </w:rPr>
        <w:t>中</w:t>
      </w:r>
      <w:r>
        <w:rPr>
          <w:sz w:val="24"/>
        </w:rPr>
        <w:t>污水处理再利用</w:t>
      </w:r>
      <w:r>
        <w:rPr>
          <w:rFonts w:hint="eastAsia"/>
          <w:sz w:val="24"/>
        </w:rPr>
        <w:t>、</w:t>
      </w:r>
      <w:r>
        <w:rPr>
          <w:sz w:val="24"/>
        </w:rPr>
        <w:t>雨水集蓄、</w:t>
      </w:r>
      <w:r>
        <w:rPr>
          <w:rFonts w:hint="eastAsia"/>
          <w:sz w:val="24"/>
        </w:rPr>
        <w:t>矿坑水等非常规水源</w:t>
      </w:r>
      <w:r>
        <w:rPr>
          <w:sz w:val="24"/>
        </w:rPr>
        <w:t>的可供水量。</w:t>
      </w:r>
    </w:p>
    <w:p>
      <w:pPr>
        <w:adjustRightInd w:val="0"/>
        <w:snapToGrid w:val="0"/>
        <w:spacing w:line="360" w:lineRule="auto"/>
        <w:ind w:firstLine="480" w:firstLineChars="200"/>
        <w:rPr>
          <w:sz w:val="24"/>
        </w:rPr>
      </w:pPr>
      <w:r>
        <w:rPr>
          <w:sz w:val="24"/>
        </w:rPr>
        <w:t>影响可供水量的因素有以下几个方面：</w:t>
      </w:r>
    </w:p>
    <w:p>
      <w:pPr>
        <w:adjustRightInd w:val="0"/>
        <w:snapToGrid w:val="0"/>
        <w:spacing w:line="360" w:lineRule="auto"/>
        <w:ind w:firstLine="480" w:firstLineChars="200"/>
        <w:rPr>
          <w:sz w:val="24"/>
        </w:rPr>
      </w:pPr>
      <w:r>
        <w:rPr>
          <w:sz w:val="24"/>
        </w:rPr>
        <w:t>（1）来水条件：不同年的来水变化，以及年内的时间和空间变化，所算出的可供水量不同。</w:t>
      </w:r>
    </w:p>
    <w:p>
      <w:pPr>
        <w:adjustRightInd w:val="0"/>
        <w:snapToGrid w:val="0"/>
        <w:spacing w:line="360" w:lineRule="auto"/>
        <w:ind w:firstLine="480" w:firstLineChars="200"/>
        <w:rPr>
          <w:sz w:val="24"/>
        </w:rPr>
      </w:pPr>
      <w:r>
        <w:rPr>
          <w:sz w:val="24"/>
        </w:rPr>
        <w:t>（2）用水条件：不同年的用水特性（用水结构、分布、性质、要求、规模等）、合理用水节约用水情况等，所算出的可供水量是不同的。另外用水条件往往也互相影响。</w:t>
      </w:r>
    </w:p>
    <w:p>
      <w:pPr>
        <w:adjustRightInd w:val="0"/>
        <w:snapToGrid w:val="0"/>
        <w:spacing w:line="360" w:lineRule="auto"/>
        <w:ind w:firstLine="480" w:firstLineChars="200"/>
        <w:rPr>
          <w:sz w:val="24"/>
        </w:rPr>
      </w:pPr>
      <w:r>
        <w:rPr>
          <w:sz w:val="24"/>
        </w:rPr>
        <w:t>（3）水质条件：不同年的水源污染程度情况，影响所提供可供水量的大小。</w:t>
      </w:r>
    </w:p>
    <w:p>
      <w:pPr>
        <w:adjustRightInd w:val="0"/>
        <w:snapToGrid w:val="0"/>
        <w:spacing w:line="360" w:lineRule="auto"/>
        <w:ind w:firstLine="480" w:firstLineChars="200"/>
        <w:rPr>
          <w:sz w:val="24"/>
        </w:rPr>
      </w:pPr>
      <w:r>
        <w:rPr>
          <w:sz w:val="24"/>
        </w:rPr>
        <w:t>（4）工程条件：现有工程参数的变化，不同的调节运用方式以及不同发展时期新增工程设施等情况，都会算出不同的可供水量。</w:t>
      </w:r>
    </w:p>
    <w:p>
      <w:pPr>
        <w:adjustRightInd w:val="0"/>
        <w:snapToGrid w:val="0"/>
        <w:spacing w:line="360" w:lineRule="auto"/>
        <w:rPr>
          <w:b/>
          <w:sz w:val="24"/>
        </w:rPr>
      </w:pPr>
      <w:r>
        <w:rPr>
          <w:b/>
          <w:sz w:val="24"/>
        </w:rPr>
        <w:t>（一）现状可供水量</w:t>
      </w:r>
    </w:p>
    <w:p>
      <w:pPr>
        <w:adjustRightInd w:val="0"/>
        <w:snapToGrid w:val="0"/>
        <w:spacing w:line="360" w:lineRule="auto"/>
        <w:ind w:firstLine="480" w:firstLineChars="200"/>
        <w:rPr>
          <w:sz w:val="24"/>
        </w:rPr>
      </w:pPr>
      <w:r>
        <w:rPr>
          <w:sz w:val="24"/>
        </w:rPr>
        <w:t>根据六安市现状工程设施的布局，供水能力、运行情况，以及水资源开发利用程度与存在问题等综合调查分析的基础上，分析计算现状可供水量。</w:t>
      </w:r>
    </w:p>
    <w:p>
      <w:pPr>
        <w:adjustRightInd w:val="0"/>
        <w:snapToGrid w:val="0"/>
        <w:spacing w:line="360" w:lineRule="auto"/>
        <w:ind w:firstLine="480" w:firstLineChars="200"/>
        <w:rPr>
          <w:sz w:val="24"/>
        </w:rPr>
      </w:pPr>
      <w:r>
        <w:rPr>
          <w:sz w:val="24"/>
        </w:rPr>
        <w:t>六安现状</w:t>
      </w:r>
      <w:r>
        <w:rPr>
          <w:rFonts w:hint="eastAsia"/>
          <w:sz w:val="24"/>
        </w:rPr>
        <w:t>2</w:t>
      </w:r>
      <w:r>
        <w:rPr>
          <w:sz w:val="24"/>
        </w:rPr>
        <w:t>020年多年平均可供水量为25.51亿m</w:t>
      </w:r>
      <w:r>
        <w:rPr>
          <w:sz w:val="24"/>
          <w:vertAlign w:val="superscript"/>
        </w:rPr>
        <w:t>3</w:t>
      </w:r>
      <w:r>
        <w:rPr>
          <w:sz w:val="24"/>
        </w:rPr>
        <w:t>，50%、</w:t>
      </w:r>
      <w:r>
        <w:rPr>
          <w:rFonts w:hint="eastAsia"/>
          <w:sz w:val="24"/>
        </w:rPr>
        <w:t>80</w:t>
      </w:r>
      <w:r>
        <w:rPr>
          <w:sz w:val="24"/>
        </w:rPr>
        <w:t>%、95%保证率的可供水量分别为24.58亿m</w:t>
      </w:r>
      <w:r>
        <w:rPr>
          <w:sz w:val="24"/>
          <w:vertAlign w:val="superscript"/>
        </w:rPr>
        <w:t>3</w:t>
      </w:r>
      <w:r>
        <w:rPr>
          <w:sz w:val="24"/>
        </w:rPr>
        <w:t>、30.97亿m</w:t>
      </w:r>
      <w:r>
        <w:rPr>
          <w:sz w:val="24"/>
          <w:vertAlign w:val="superscript"/>
        </w:rPr>
        <w:t>3</w:t>
      </w:r>
      <w:r>
        <w:rPr>
          <w:sz w:val="24"/>
        </w:rPr>
        <w:t>和28.85亿m</w:t>
      </w:r>
      <w:r>
        <w:rPr>
          <w:sz w:val="24"/>
          <w:vertAlign w:val="superscript"/>
        </w:rPr>
        <w:t>3</w:t>
      </w:r>
      <w:r>
        <w:rPr>
          <w:sz w:val="24"/>
        </w:rPr>
        <w:t>。现状年可供水量分析成果见表6.1</w:t>
      </w:r>
      <w:r>
        <w:rPr>
          <w:rFonts w:hint="eastAsia"/>
          <w:sz w:val="24"/>
        </w:rPr>
        <w:t>.</w:t>
      </w:r>
      <w:r>
        <w:rPr>
          <w:sz w:val="24"/>
        </w:rPr>
        <w:t>1。</w:t>
      </w:r>
    </w:p>
    <w:p>
      <w:pPr>
        <w:wordWrap w:val="0"/>
        <w:adjustRightInd w:val="0"/>
        <w:snapToGrid w:val="0"/>
        <w:spacing w:line="360" w:lineRule="auto"/>
        <w:ind w:firstLine="482"/>
        <w:jc w:val="right"/>
        <w:rPr>
          <w:bCs/>
          <w:sz w:val="18"/>
          <w:szCs w:val="18"/>
        </w:rPr>
      </w:pPr>
      <w:r>
        <w:rPr>
          <w:rFonts w:hAnsi="宋体"/>
          <w:b/>
          <w:kern w:val="0"/>
          <w:sz w:val="24"/>
        </w:rPr>
        <w:t>表</w:t>
      </w:r>
      <w:r>
        <w:rPr>
          <w:b/>
          <w:kern w:val="0"/>
          <w:sz w:val="24"/>
        </w:rPr>
        <w:t xml:space="preserve">6.1.1  </w:t>
      </w:r>
      <w:r>
        <w:rPr>
          <w:rFonts w:hAnsi="宋体"/>
          <w:b/>
          <w:kern w:val="0"/>
          <w:sz w:val="24"/>
        </w:rPr>
        <w:t>六安市现状</w:t>
      </w:r>
      <w:r>
        <w:rPr>
          <w:rFonts w:hint="eastAsia" w:hAnsi="宋体"/>
          <w:b/>
          <w:kern w:val="0"/>
          <w:sz w:val="24"/>
        </w:rPr>
        <w:t>2</w:t>
      </w:r>
      <w:r>
        <w:rPr>
          <w:rFonts w:hAnsi="宋体"/>
          <w:b/>
          <w:kern w:val="0"/>
          <w:sz w:val="24"/>
        </w:rPr>
        <w:t>020年不同保证率可供水量表</w:t>
      </w:r>
      <w:r>
        <w:rPr>
          <w:rFonts w:hint="eastAsia" w:hAnsi="宋体"/>
          <w:b/>
          <w:kern w:val="0"/>
          <w:sz w:val="24"/>
        </w:rPr>
        <w:t xml:space="preserve"> </w:t>
      </w:r>
      <w:r>
        <w:rPr>
          <w:kern w:val="0"/>
          <w:sz w:val="24"/>
        </w:rPr>
        <w:t xml:space="preserve"> </w:t>
      </w:r>
      <w:r>
        <w:rPr>
          <w:rFonts w:eastAsia="黑体"/>
          <w:kern w:val="0"/>
          <w:sz w:val="24"/>
        </w:rPr>
        <w:t xml:space="preserve"> </w:t>
      </w:r>
      <w:r>
        <w:rPr>
          <w:rFonts w:hint="eastAsia"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34618</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42791</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40871</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35703</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164548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206874</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192068</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168659</w:t>
            </w:r>
          </w:p>
        </w:tc>
      </w:tr>
      <w:tr>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46645</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60054</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55553</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50691</w:t>
            </w:r>
          </w:p>
        </w:tc>
      </w:tr>
      <w:tr>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245811</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309719</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288492</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255053</w:t>
            </w:r>
          </w:p>
        </w:tc>
      </w:tr>
      <w:tr>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45304</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55799</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49304</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46282</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35248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42743</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37030</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36055</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12400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16406</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15330</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12802</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87727</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113443</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110024</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90301</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31508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40503</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37785</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35061</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18084</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21920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21044</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18528</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15540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18905</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17975</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16024</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245811</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309719</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288492</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255053</w:t>
            </w:r>
          </w:p>
        </w:tc>
      </w:tr>
    </w:tbl>
    <w:p>
      <w:pPr>
        <w:adjustRightInd w:val="0"/>
        <w:snapToGrid w:val="0"/>
        <w:spacing w:line="360" w:lineRule="auto"/>
        <w:ind w:firstLine="480" w:firstLineChars="200"/>
        <w:rPr>
          <w:color w:val="FF0000"/>
          <w:sz w:val="24"/>
        </w:rPr>
      </w:pPr>
    </w:p>
    <w:p>
      <w:pPr>
        <w:adjustRightInd w:val="0"/>
        <w:snapToGrid w:val="0"/>
        <w:spacing w:line="360" w:lineRule="auto"/>
        <w:rPr>
          <w:b/>
          <w:sz w:val="24"/>
        </w:rPr>
      </w:pPr>
      <w:r>
        <w:rPr>
          <w:b/>
          <w:sz w:val="24"/>
        </w:rPr>
        <w:t>（二）水资源开发利用潜力</w:t>
      </w:r>
    </w:p>
    <w:p>
      <w:pPr>
        <w:adjustRightInd w:val="0"/>
        <w:snapToGrid w:val="0"/>
        <w:spacing w:line="360" w:lineRule="auto"/>
        <w:ind w:firstLine="480" w:firstLineChars="200"/>
        <w:rPr>
          <w:sz w:val="24"/>
        </w:rPr>
      </w:pPr>
      <w:r>
        <w:rPr>
          <w:sz w:val="24"/>
        </w:rPr>
        <w:t>水资源开发利用潜力是指通过对现有工程的加固配套和更新改造、新建工程的投入运行和非工程措施实施后，分别以地表和地下水可供水量以及其他水源可能的供水型式，与现状条件相比所能增加的供水能力。</w:t>
      </w:r>
    </w:p>
    <w:p>
      <w:pPr>
        <w:adjustRightInd w:val="0"/>
        <w:snapToGrid w:val="0"/>
        <w:spacing w:line="360" w:lineRule="auto"/>
        <w:ind w:firstLine="480" w:firstLineChars="200"/>
        <w:rPr>
          <w:rFonts w:eastAsia="楷体_GB2312"/>
          <w:b/>
          <w:sz w:val="24"/>
        </w:rPr>
      </w:pPr>
      <w:r>
        <w:rPr>
          <w:sz w:val="24"/>
        </w:rPr>
        <w:t>1、</w:t>
      </w:r>
      <w:r>
        <w:rPr>
          <w:rFonts w:eastAsia="楷体_GB2312"/>
          <w:b/>
          <w:sz w:val="24"/>
        </w:rPr>
        <w:t>加固及更新改造、续建配套工程</w:t>
      </w:r>
    </w:p>
    <w:p>
      <w:pPr>
        <w:adjustRightInd w:val="0"/>
        <w:snapToGrid w:val="0"/>
        <w:spacing w:line="360" w:lineRule="auto"/>
        <w:ind w:firstLine="480" w:firstLineChars="200"/>
        <w:rPr>
          <w:b/>
          <w:sz w:val="24"/>
        </w:rPr>
      </w:pPr>
      <w:r>
        <w:rPr>
          <w:b/>
          <w:sz w:val="24"/>
        </w:rPr>
        <w:t>（1）</w:t>
      </w:r>
      <w:r>
        <w:rPr>
          <w:rFonts w:hint="eastAsia"/>
          <w:b/>
          <w:sz w:val="24"/>
        </w:rPr>
        <w:t>水库（</w:t>
      </w:r>
      <w:r>
        <w:rPr>
          <w:b/>
          <w:sz w:val="24"/>
        </w:rPr>
        <w:t>水闸</w:t>
      </w:r>
      <w:r>
        <w:rPr>
          <w:rFonts w:hint="eastAsia"/>
          <w:b/>
          <w:sz w:val="24"/>
        </w:rPr>
        <w:t>）</w:t>
      </w:r>
      <w:r>
        <w:rPr>
          <w:b/>
          <w:sz w:val="24"/>
        </w:rPr>
        <w:t>除险加固工程</w:t>
      </w:r>
    </w:p>
    <w:p>
      <w:pPr>
        <w:adjustRightInd w:val="0"/>
        <w:snapToGrid w:val="0"/>
        <w:spacing w:line="360" w:lineRule="auto"/>
        <w:ind w:left="100" w:leftChars="50" w:right="100" w:rightChars="50" w:firstLine="480" w:firstLineChars="200"/>
        <w:rPr>
          <w:sz w:val="24"/>
        </w:rPr>
      </w:pPr>
      <w:r>
        <w:rPr>
          <w:rFonts w:hint="eastAsia"/>
          <w:sz w:val="24"/>
        </w:rPr>
        <w:t>至2</w:t>
      </w:r>
      <w:r>
        <w:rPr>
          <w:sz w:val="24"/>
        </w:rPr>
        <w:t>025</w:t>
      </w:r>
      <w:r>
        <w:rPr>
          <w:rFonts w:hint="eastAsia"/>
          <w:sz w:val="24"/>
        </w:rPr>
        <w:t>年，六安市继续实施水库（水闸）除险加固，完成列入全国大中型病险水闸加固规划内的除险加固任务；全面完成中小型病险水库、水闸除险加固。规划加固和重建水闸2</w:t>
      </w:r>
      <w:r>
        <w:rPr>
          <w:sz w:val="24"/>
        </w:rPr>
        <w:t>6</w:t>
      </w:r>
      <w:r>
        <w:rPr>
          <w:rFonts w:hint="eastAsia"/>
          <w:sz w:val="24"/>
        </w:rPr>
        <w:t>座，其中大中型水闸2</w:t>
      </w:r>
      <w:r>
        <w:rPr>
          <w:sz w:val="24"/>
        </w:rPr>
        <w:t>4</w:t>
      </w:r>
      <w:r>
        <w:rPr>
          <w:rFonts w:hint="eastAsia"/>
          <w:sz w:val="24"/>
        </w:rPr>
        <w:t>座、小型水闸2座；加固中型水库1座（霍邱县龙潭水库），小型水库146座。</w:t>
      </w:r>
    </w:p>
    <w:p>
      <w:pPr>
        <w:adjustRightInd w:val="0"/>
        <w:snapToGrid w:val="0"/>
        <w:spacing w:line="360" w:lineRule="auto"/>
        <w:ind w:left="100" w:leftChars="50" w:right="100" w:rightChars="50" w:firstLine="480" w:firstLineChars="200"/>
        <w:rPr>
          <w:sz w:val="24"/>
        </w:rPr>
      </w:pPr>
    </w:p>
    <w:p>
      <w:pPr>
        <w:adjustRightInd w:val="0"/>
        <w:snapToGrid w:val="0"/>
        <w:spacing w:line="360" w:lineRule="auto"/>
        <w:ind w:firstLine="480" w:firstLineChars="200"/>
        <w:rPr>
          <w:b/>
          <w:sz w:val="24"/>
        </w:rPr>
      </w:pPr>
      <w:r>
        <w:rPr>
          <w:b/>
          <w:sz w:val="24"/>
        </w:rPr>
        <w:t>（2）</w:t>
      </w:r>
      <w:r>
        <w:rPr>
          <w:rFonts w:hint="eastAsia"/>
          <w:b/>
          <w:sz w:val="24"/>
        </w:rPr>
        <w:t>大中型灌区续建配套工程</w:t>
      </w:r>
    </w:p>
    <w:p>
      <w:pPr>
        <w:adjustRightInd w:val="0"/>
        <w:snapToGrid w:val="0"/>
        <w:spacing w:line="360" w:lineRule="auto"/>
        <w:ind w:firstLine="588" w:firstLineChars="245"/>
        <w:rPr>
          <w:bCs/>
          <w:sz w:val="24"/>
        </w:rPr>
      </w:pPr>
      <w:r>
        <w:rPr>
          <w:rFonts w:hint="eastAsia"/>
          <w:bCs/>
          <w:sz w:val="24"/>
        </w:rPr>
        <w:t>按照现代农业建设要求，加快实施六安市淠史杭灌区现代化改造，开展新建中型灌区续建配套，启动江淮分水岭节水型智慧灌区建设，完善城乡一体化供水及水资源管理工程，提高农田灌溉水有效利用系数和农田灌溉水保证率。</w:t>
      </w:r>
    </w:p>
    <w:p>
      <w:pPr>
        <w:adjustRightInd w:val="0"/>
        <w:snapToGrid w:val="0"/>
        <w:spacing w:line="360" w:lineRule="auto"/>
        <w:ind w:firstLine="588" w:firstLineChars="245"/>
        <w:rPr>
          <w:b/>
          <w:sz w:val="24"/>
        </w:rPr>
      </w:pPr>
      <w:r>
        <w:rPr>
          <w:b/>
          <w:sz w:val="24"/>
        </w:rPr>
        <w:t>淠史杭灌区续建配套工程</w:t>
      </w:r>
      <w:r>
        <w:rPr>
          <w:rFonts w:hint="eastAsia"/>
          <w:b/>
          <w:sz w:val="24"/>
        </w:rPr>
        <w:t>：</w:t>
      </w:r>
      <w:r>
        <w:rPr>
          <w:rFonts w:hint="eastAsia"/>
          <w:sz w:val="24"/>
        </w:rPr>
        <w:t>开展灌排工程体系续建配套与现代化改造、水资源保护、水系连通及多水源联合调度、现代管理与优质服务、信息化、生态文明工程建设等，骨干灌排设施完好率达到90%以上、灌溉水利用系数达到0.55以上、灌区信息化覆盖率达到</w:t>
      </w:r>
      <w:r>
        <w:rPr>
          <w:sz w:val="24"/>
        </w:rPr>
        <w:t>31</w:t>
      </w:r>
      <w:r>
        <w:rPr>
          <w:rFonts w:hint="eastAsia"/>
          <w:sz w:val="24"/>
        </w:rPr>
        <w:t>%以上。改造支渠以上渠道，包括淠河总干渠、6条干渠、19条分干渠、300条支干渠，改造进水闸、渡槽、倒虹吸等渠系建筑物270座；田间工程，包括支渠以下渠道和田埂、灌水畦、灌水沟等田间改造；机耕道、生产路等基础设施提升；农业和生物技术节水措施推广等；排水除涝工程，包括泄水闸、排水泵站等建筑物混凝土碳化修复，机电设备、泵房更新改造；泄水渠清淤；部分渠道泄水闸及泄水通道建设等。</w:t>
      </w:r>
    </w:p>
    <w:p>
      <w:pPr>
        <w:adjustRightInd w:val="0"/>
        <w:snapToGrid w:val="0"/>
        <w:spacing w:line="360" w:lineRule="auto"/>
        <w:ind w:firstLine="480" w:firstLineChars="200"/>
        <w:rPr>
          <w:b/>
          <w:sz w:val="24"/>
        </w:rPr>
      </w:pPr>
      <w:r>
        <w:rPr>
          <w:rFonts w:hint="eastAsia"/>
          <w:b/>
          <w:sz w:val="24"/>
        </w:rPr>
        <w:t>中型</w:t>
      </w:r>
      <w:r>
        <w:rPr>
          <w:b/>
          <w:sz w:val="24"/>
        </w:rPr>
        <w:t>灌区续建配套工程</w:t>
      </w:r>
      <w:r>
        <w:rPr>
          <w:rFonts w:hint="eastAsia"/>
          <w:b/>
          <w:sz w:val="24"/>
        </w:rPr>
        <w:t>：</w:t>
      </w:r>
      <w:r>
        <w:rPr>
          <w:rFonts w:hint="eastAsia"/>
          <w:sz w:val="24"/>
        </w:rPr>
        <w:t>加快金寨县、霍山县、淠史杭灌区淠源分干渠、高河灌区等中型灌区的续建配套改造，开展灌排工程体系续建配套与节水改造、水系连通及多水源联合调度，以及信息化工程建设。</w:t>
      </w:r>
    </w:p>
    <w:p>
      <w:pPr>
        <w:adjustRightInd w:val="0"/>
        <w:snapToGrid w:val="0"/>
        <w:spacing w:line="360" w:lineRule="auto"/>
        <w:ind w:firstLine="480" w:firstLineChars="200"/>
        <w:rPr>
          <w:rFonts w:eastAsia="楷体_GB2312"/>
          <w:b/>
          <w:sz w:val="24"/>
        </w:rPr>
      </w:pPr>
      <w:r>
        <w:rPr>
          <w:sz w:val="24"/>
        </w:rPr>
        <w:t>2、</w:t>
      </w:r>
      <w:r>
        <w:rPr>
          <w:rFonts w:eastAsia="楷体_GB2312"/>
          <w:b/>
          <w:sz w:val="24"/>
        </w:rPr>
        <w:t>新建水源工程</w:t>
      </w:r>
    </w:p>
    <w:p>
      <w:pPr>
        <w:adjustRightInd w:val="0"/>
        <w:snapToGrid w:val="0"/>
        <w:spacing w:line="360" w:lineRule="auto"/>
        <w:ind w:firstLine="600" w:firstLineChars="250"/>
        <w:rPr>
          <w:sz w:val="24"/>
        </w:rPr>
      </w:pPr>
      <w:r>
        <w:rPr>
          <w:b/>
          <w:sz w:val="24"/>
        </w:rPr>
        <w:t>蓄水工程：</w:t>
      </w: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pPr>
        <w:adjustRightInd w:val="0"/>
        <w:snapToGrid w:val="0"/>
        <w:spacing w:line="360" w:lineRule="auto"/>
        <w:ind w:firstLine="600" w:firstLineChars="250"/>
        <w:rPr>
          <w:sz w:val="24"/>
        </w:rPr>
      </w:pPr>
      <w:r>
        <w:rPr>
          <w:b/>
          <w:sz w:val="24"/>
        </w:rPr>
        <w:t>引水工程：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w:t>
      </w:r>
    </w:p>
    <w:p>
      <w:pPr>
        <w:adjustRightInd w:val="0"/>
        <w:snapToGrid w:val="0"/>
        <w:spacing w:line="360" w:lineRule="auto"/>
        <w:ind w:firstLine="600" w:firstLineChars="250"/>
        <w:rPr>
          <w:sz w:val="24"/>
        </w:rPr>
      </w:pPr>
      <w:r>
        <w:rPr>
          <w:rFonts w:hint="eastAsia"/>
          <w:b/>
          <w:sz w:val="24"/>
        </w:rPr>
        <w:t>提</w:t>
      </w:r>
      <w:r>
        <w:rPr>
          <w:b/>
          <w:sz w:val="24"/>
        </w:rPr>
        <w:t>水工程：</w:t>
      </w:r>
      <w:r>
        <w:rPr>
          <w:rFonts w:hint="eastAsia"/>
          <w:sz w:val="24"/>
        </w:rPr>
        <w:t>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w:t>
      </w:r>
    </w:p>
    <w:p>
      <w:pPr>
        <w:adjustRightInd w:val="0"/>
        <w:snapToGrid w:val="0"/>
        <w:spacing w:line="360" w:lineRule="auto"/>
        <w:ind w:firstLine="480" w:firstLineChars="200"/>
        <w:rPr>
          <w:rFonts w:eastAsia="楷体_GB2312"/>
          <w:b/>
          <w:sz w:val="24"/>
        </w:rPr>
      </w:pPr>
      <w:r>
        <w:rPr>
          <w:sz w:val="24"/>
        </w:rPr>
        <w:t>3、</w:t>
      </w:r>
      <w:r>
        <w:rPr>
          <w:rFonts w:hint="eastAsia" w:eastAsia="楷体_GB2312"/>
          <w:b/>
          <w:sz w:val="24"/>
        </w:rPr>
        <w:t>水库清淤工程</w:t>
      </w:r>
    </w:p>
    <w:p>
      <w:pPr>
        <w:adjustRightInd w:val="0"/>
        <w:snapToGrid w:val="0"/>
        <w:spacing w:line="360" w:lineRule="auto"/>
        <w:ind w:firstLine="600" w:firstLineChars="250"/>
        <w:rPr>
          <w:sz w:val="24"/>
        </w:rPr>
      </w:pPr>
      <w:r>
        <w:rPr>
          <w:rFonts w:hint="eastAsia"/>
          <w:sz w:val="24"/>
        </w:rPr>
        <w:t>至2</w:t>
      </w:r>
      <w:r>
        <w:rPr>
          <w:sz w:val="24"/>
        </w:rPr>
        <w:t>025</w:t>
      </w:r>
      <w:r>
        <w:rPr>
          <w:rFonts w:hint="eastAsia"/>
          <w:sz w:val="24"/>
        </w:rPr>
        <w:t>年，六安市规划对年代久远、库容淤积严重的龙河口、梅山、响洪甸、佛子岭、磨子潭5座大型水库库尾进行清淤，有效增加水库蓄水量。</w:t>
      </w:r>
    </w:p>
    <w:p>
      <w:pPr>
        <w:adjustRightInd w:val="0"/>
        <w:snapToGrid w:val="0"/>
        <w:spacing w:line="360" w:lineRule="auto"/>
        <w:ind w:firstLine="480" w:firstLineChars="200"/>
        <w:rPr>
          <w:rFonts w:eastAsia="楷体_GB2312"/>
          <w:b/>
          <w:sz w:val="24"/>
        </w:rPr>
      </w:pPr>
      <w:r>
        <w:rPr>
          <w:rFonts w:hint="eastAsia"/>
          <w:sz w:val="24"/>
        </w:rPr>
        <w:t>4</w:t>
      </w:r>
      <w:r>
        <w:rPr>
          <w:sz w:val="24"/>
        </w:rPr>
        <w:t>、</w:t>
      </w:r>
      <w:r>
        <w:rPr>
          <w:rFonts w:hint="eastAsia" w:eastAsia="楷体_GB2312"/>
          <w:b/>
          <w:sz w:val="24"/>
        </w:rPr>
        <w:t>水资源优化配置</w:t>
      </w:r>
      <w:r>
        <w:rPr>
          <w:rFonts w:eastAsia="楷体_GB2312"/>
          <w:b/>
          <w:sz w:val="24"/>
        </w:rPr>
        <w:t>工程</w:t>
      </w:r>
    </w:p>
    <w:p>
      <w:pPr>
        <w:adjustRightInd w:val="0"/>
        <w:snapToGrid w:val="0"/>
        <w:spacing w:line="360" w:lineRule="auto"/>
        <w:ind w:firstLine="600" w:firstLineChars="250"/>
        <w:rPr>
          <w:sz w:val="24"/>
        </w:rPr>
      </w:pPr>
      <w:r>
        <w:rPr>
          <w:rFonts w:hint="eastAsia"/>
          <w:sz w:val="24"/>
        </w:rPr>
        <w:t>规划至2</w:t>
      </w:r>
      <w:r>
        <w:rPr>
          <w:sz w:val="24"/>
        </w:rPr>
        <w:t>025</w:t>
      </w:r>
      <w:r>
        <w:rPr>
          <w:rFonts w:hint="eastAsia"/>
          <w:sz w:val="24"/>
        </w:rPr>
        <w:t>年，六安市开展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等工作，提升区域水资源配置及保障能力。</w:t>
      </w:r>
    </w:p>
    <w:p>
      <w:pPr>
        <w:adjustRightInd w:val="0"/>
        <w:snapToGrid w:val="0"/>
        <w:spacing w:line="360" w:lineRule="auto"/>
        <w:rPr>
          <w:b/>
          <w:sz w:val="24"/>
        </w:rPr>
      </w:pPr>
      <w:r>
        <w:rPr>
          <w:b/>
          <w:sz w:val="24"/>
        </w:rPr>
        <w:t>（三）供水预测</w:t>
      </w:r>
    </w:p>
    <w:p>
      <w:pPr>
        <w:adjustRightInd w:val="0"/>
        <w:snapToGrid w:val="0"/>
        <w:spacing w:line="360" w:lineRule="auto"/>
        <w:ind w:firstLine="480" w:firstLineChars="200"/>
        <w:rPr>
          <w:sz w:val="24"/>
        </w:rPr>
      </w:pPr>
      <w:r>
        <w:rPr>
          <w:sz w:val="24"/>
        </w:rPr>
        <w:t>本次规划以水资源四级区套县级行政区为计算单元，采用现代水资源模拟技术各分区1956～2010系列进行长系列计算，提出各规划水平年可供水量预测成果。全市水资源可供水量预测成果见表6.1</w:t>
      </w:r>
      <w:r>
        <w:rPr>
          <w:rFonts w:hint="eastAsia"/>
          <w:sz w:val="24"/>
        </w:rPr>
        <w:t>.</w:t>
      </w:r>
      <w:r>
        <w:rPr>
          <w:sz w:val="24"/>
        </w:rPr>
        <w:t>2～6.1</w:t>
      </w:r>
      <w:r>
        <w:rPr>
          <w:rFonts w:hint="eastAsia"/>
          <w:sz w:val="24"/>
        </w:rPr>
        <w:t>.</w:t>
      </w:r>
      <w:r>
        <w:rPr>
          <w:sz w:val="24"/>
        </w:rPr>
        <w:t>3。</w:t>
      </w:r>
    </w:p>
    <w:p>
      <w:pPr>
        <w:adjustRightInd w:val="0"/>
        <w:snapToGrid w:val="0"/>
        <w:spacing w:line="360" w:lineRule="auto"/>
        <w:ind w:firstLine="480"/>
        <w:rPr>
          <w:sz w:val="24"/>
        </w:rPr>
      </w:pPr>
      <w:r>
        <w:rPr>
          <w:sz w:val="24"/>
        </w:rPr>
        <w:t>六安市</w:t>
      </w:r>
      <w:r>
        <w:rPr>
          <w:rFonts w:hint="eastAsia"/>
          <w:sz w:val="24"/>
        </w:rPr>
        <w:t>规划</w:t>
      </w:r>
      <w:r>
        <w:rPr>
          <w:sz w:val="24"/>
        </w:rPr>
        <w:t>2025年多年平均可供水量为25.62</w:t>
      </w:r>
      <w:r>
        <w:rPr>
          <w:rFonts w:hint="eastAsia"/>
          <w:sz w:val="24"/>
        </w:rPr>
        <w:t>亿</w:t>
      </w:r>
      <w:r>
        <w:rPr>
          <w:sz w:val="24"/>
        </w:rPr>
        <w:t>m</w:t>
      </w:r>
      <w:r>
        <w:rPr>
          <w:sz w:val="24"/>
          <w:vertAlign w:val="superscript"/>
        </w:rPr>
        <w:t>3</w:t>
      </w:r>
      <w:r>
        <w:rPr>
          <w:sz w:val="24"/>
        </w:rPr>
        <w:t>，50%、</w:t>
      </w:r>
      <w:r>
        <w:rPr>
          <w:rFonts w:hint="eastAsia"/>
          <w:sz w:val="24"/>
        </w:rPr>
        <w:t>80</w:t>
      </w:r>
      <w:r>
        <w:rPr>
          <w:sz w:val="24"/>
        </w:rPr>
        <w:t>%、95%保证率的可供水量分别为24.20亿m</w:t>
      </w:r>
      <w:r>
        <w:rPr>
          <w:sz w:val="24"/>
          <w:vertAlign w:val="superscript"/>
        </w:rPr>
        <w:t>3</w:t>
      </w:r>
      <w:r>
        <w:rPr>
          <w:sz w:val="24"/>
        </w:rPr>
        <w:t>、31.55</w:t>
      </w:r>
      <w:r>
        <w:rPr>
          <w:rFonts w:hint="eastAsia"/>
          <w:sz w:val="24"/>
        </w:rPr>
        <w:t>亿</w:t>
      </w:r>
      <w:r>
        <w:rPr>
          <w:sz w:val="24"/>
        </w:rPr>
        <w:t>m</w:t>
      </w:r>
      <w:r>
        <w:rPr>
          <w:sz w:val="24"/>
          <w:vertAlign w:val="superscript"/>
        </w:rPr>
        <w:t>3</w:t>
      </w:r>
      <w:r>
        <w:rPr>
          <w:sz w:val="24"/>
        </w:rPr>
        <w:t>和31.17亿m</w:t>
      </w:r>
      <w:r>
        <w:rPr>
          <w:sz w:val="24"/>
          <w:vertAlign w:val="superscript"/>
        </w:rPr>
        <w:t>3</w:t>
      </w:r>
      <w:r>
        <w:rPr>
          <w:rFonts w:hint="eastAsia"/>
          <w:sz w:val="24"/>
        </w:rPr>
        <w:t>。</w:t>
      </w:r>
    </w:p>
    <w:p>
      <w:pPr>
        <w:adjustRightInd w:val="0"/>
        <w:snapToGrid w:val="0"/>
        <w:spacing w:line="360" w:lineRule="auto"/>
        <w:ind w:firstLine="480"/>
        <w:rPr>
          <w:sz w:val="24"/>
        </w:rPr>
      </w:pPr>
      <w:r>
        <w:rPr>
          <w:rFonts w:hint="eastAsia"/>
          <w:sz w:val="24"/>
        </w:rPr>
        <w:t>六安市规划</w:t>
      </w:r>
      <w:r>
        <w:rPr>
          <w:sz w:val="24"/>
        </w:rPr>
        <w:t>2030年多年平均可供水量为25.70</w:t>
      </w:r>
      <w:r>
        <w:rPr>
          <w:rFonts w:hint="eastAsia"/>
          <w:sz w:val="24"/>
        </w:rPr>
        <w:t>亿</w:t>
      </w:r>
      <w:r>
        <w:rPr>
          <w:sz w:val="24"/>
        </w:rPr>
        <w:t>m</w:t>
      </w:r>
      <w:r>
        <w:rPr>
          <w:sz w:val="24"/>
          <w:vertAlign w:val="superscript"/>
        </w:rPr>
        <w:t>3</w:t>
      </w:r>
      <w:r>
        <w:rPr>
          <w:sz w:val="24"/>
        </w:rPr>
        <w:t>，50%、</w:t>
      </w:r>
      <w:r>
        <w:rPr>
          <w:rFonts w:hint="eastAsia"/>
          <w:sz w:val="24"/>
        </w:rPr>
        <w:t>80</w:t>
      </w:r>
      <w:r>
        <w:rPr>
          <w:sz w:val="24"/>
        </w:rPr>
        <w:t>%、95%保证率的可供水量分别为24.13亿m</w:t>
      </w:r>
      <w:r>
        <w:rPr>
          <w:sz w:val="24"/>
          <w:vertAlign w:val="superscript"/>
        </w:rPr>
        <w:t>3</w:t>
      </w:r>
      <w:r>
        <w:rPr>
          <w:sz w:val="24"/>
        </w:rPr>
        <w:t>、32.08亿m</w:t>
      </w:r>
      <w:r>
        <w:rPr>
          <w:sz w:val="24"/>
          <w:vertAlign w:val="superscript"/>
        </w:rPr>
        <w:t>3</w:t>
      </w:r>
      <w:r>
        <w:rPr>
          <w:sz w:val="24"/>
        </w:rPr>
        <w:t>和33.38亿m</w:t>
      </w:r>
      <w:r>
        <w:rPr>
          <w:sz w:val="24"/>
          <w:vertAlign w:val="superscript"/>
        </w:rPr>
        <w:t>3</w:t>
      </w:r>
      <w:r>
        <w:rPr>
          <w:sz w:val="24"/>
        </w:rPr>
        <w:t>。</w:t>
      </w:r>
    </w:p>
    <w:p>
      <w:pPr>
        <w:wordWrap w:val="0"/>
        <w:spacing w:line="360" w:lineRule="auto"/>
        <w:ind w:firstLine="482"/>
        <w:jc w:val="right"/>
        <w:rPr>
          <w:bCs/>
          <w:sz w:val="18"/>
          <w:szCs w:val="18"/>
        </w:rPr>
      </w:pPr>
      <w:r>
        <w:rPr>
          <w:rFonts w:hAnsi="宋体"/>
          <w:b/>
          <w:kern w:val="0"/>
          <w:sz w:val="24"/>
        </w:rPr>
        <w:t>表</w:t>
      </w:r>
      <w:r>
        <w:rPr>
          <w:b/>
          <w:kern w:val="0"/>
          <w:sz w:val="24"/>
        </w:rPr>
        <w:t xml:space="preserve">6.1.2  </w:t>
      </w:r>
      <w:r>
        <w:rPr>
          <w:rFonts w:hAnsi="宋体"/>
          <w:b/>
          <w:kern w:val="0"/>
          <w:sz w:val="24"/>
        </w:rPr>
        <w:t>六安市</w:t>
      </w:r>
      <w:r>
        <w:rPr>
          <w:b/>
          <w:kern w:val="0"/>
          <w:sz w:val="24"/>
        </w:rPr>
        <w:t>2025</w:t>
      </w:r>
      <w:r>
        <w:rPr>
          <w:rFonts w:hAnsi="宋体"/>
          <w:b/>
          <w:kern w:val="0"/>
          <w:sz w:val="24"/>
        </w:rPr>
        <w:t>水平年不同保证率可供水量表</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36190</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46170</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46232</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37963</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156621</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204766</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201330</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164243</w:t>
            </w:r>
          </w:p>
        </w:tc>
      </w:tr>
      <w:tr>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49149</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64552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64139</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53959</w:t>
            </w:r>
          </w:p>
        </w:tc>
      </w:tr>
      <w:tr>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241960</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315488</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311701</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256165</w:t>
            </w:r>
          </w:p>
        </w:tc>
      </w:tr>
      <w:tr>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43297</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56125</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53702</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45494</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35098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44508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41418</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36807</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13362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17782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17873</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14023</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80234</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108012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109739</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84403</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34209</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44357</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44362</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38106</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18957</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23922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24111</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19777</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16803</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20782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20496</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17555</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241960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315488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311701</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256165</w:t>
            </w:r>
          </w:p>
        </w:tc>
      </w:tr>
    </w:tbl>
    <w:p>
      <w:pPr>
        <w:spacing w:line="240" w:lineRule="exact"/>
        <w:ind w:firstLine="482"/>
        <w:jc w:val="center"/>
        <w:rPr>
          <w:rFonts w:hAnsi="宋体"/>
          <w:b/>
          <w:kern w:val="0"/>
          <w:sz w:val="16"/>
          <w:szCs w:val="16"/>
        </w:rPr>
      </w:pPr>
    </w:p>
    <w:p>
      <w:pPr>
        <w:spacing w:line="240" w:lineRule="exact"/>
        <w:ind w:firstLine="482"/>
        <w:jc w:val="center"/>
        <w:rPr>
          <w:rFonts w:hAnsi="宋体"/>
          <w:b/>
          <w:kern w:val="0"/>
          <w:sz w:val="16"/>
          <w:szCs w:val="16"/>
        </w:rPr>
      </w:pPr>
    </w:p>
    <w:p>
      <w:pPr>
        <w:spacing w:line="240" w:lineRule="exact"/>
        <w:ind w:firstLine="482"/>
        <w:jc w:val="center"/>
        <w:rPr>
          <w:rFonts w:hAnsi="宋体"/>
          <w:b/>
          <w:kern w:val="0"/>
          <w:sz w:val="16"/>
          <w:szCs w:val="16"/>
        </w:rPr>
      </w:pPr>
    </w:p>
    <w:p>
      <w:pPr>
        <w:spacing w:line="240" w:lineRule="exact"/>
        <w:ind w:firstLine="482"/>
        <w:jc w:val="center"/>
        <w:rPr>
          <w:rFonts w:hAnsi="宋体"/>
          <w:b/>
          <w:kern w:val="0"/>
          <w:sz w:val="16"/>
          <w:szCs w:val="16"/>
        </w:rPr>
      </w:pPr>
    </w:p>
    <w:p>
      <w:pPr>
        <w:spacing w:line="360" w:lineRule="auto"/>
        <w:ind w:firstLine="482"/>
        <w:jc w:val="right"/>
        <w:rPr>
          <w:bCs/>
          <w:sz w:val="18"/>
          <w:szCs w:val="18"/>
          <w:vertAlign w:val="superscript"/>
        </w:rPr>
      </w:pPr>
      <w:r>
        <w:rPr>
          <w:rFonts w:hAnsi="宋体"/>
          <w:b/>
          <w:kern w:val="0"/>
          <w:sz w:val="24"/>
        </w:rPr>
        <w:t>表</w:t>
      </w:r>
      <w:r>
        <w:rPr>
          <w:b/>
          <w:kern w:val="0"/>
          <w:sz w:val="24"/>
        </w:rPr>
        <w:t xml:space="preserve">6.1.3  </w:t>
      </w:r>
      <w:r>
        <w:rPr>
          <w:rFonts w:hAnsi="宋体"/>
          <w:b/>
          <w:kern w:val="0"/>
          <w:sz w:val="24"/>
        </w:rPr>
        <w:t>六安市</w:t>
      </w:r>
      <w:r>
        <w:rPr>
          <w:b/>
          <w:kern w:val="0"/>
          <w:sz w:val="24"/>
        </w:rPr>
        <w:t>2030</w:t>
      </w:r>
      <w:r>
        <w:rPr>
          <w:rFonts w:hAnsi="宋体"/>
          <w:b/>
          <w:kern w:val="0"/>
          <w:sz w:val="24"/>
        </w:rPr>
        <w:t>水平年不同保证率可供水量表</w:t>
      </w:r>
      <w:r>
        <w:rPr>
          <w:rFonts w:hint="eastAsia" w:hAnsi="宋体"/>
          <w:b/>
          <w:kern w:val="0"/>
          <w:sz w:val="24"/>
        </w:rPr>
        <w:t xml:space="preserve">  </w:t>
      </w:r>
      <w:r>
        <w:rPr>
          <w:rFonts w:eastAsia="黑体"/>
          <w:kern w:val="0"/>
          <w:sz w:val="24"/>
        </w:rPr>
        <w:t xml:space="preserve">  </w:t>
      </w:r>
      <w:r>
        <w:rPr>
          <w:bCs/>
          <w:sz w:val="18"/>
          <w:szCs w:val="18"/>
        </w:rPr>
        <w:t>单位：</w:t>
      </w:r>
      <w:r>
        <w:rPr>
          <w:rFonts w:hint="eastAsia"/>
          <w:bCs/>
          <w:sz w:val="18"/>
          <w:szCs w:val="18"/>
        </w:rPr>
        <w:t>万</w:t>
      </w:r>
      <w:r>
        <w:rPr>
          <w:bCs/>
          <w:sz w:val="18"/>
          <w:szCs w:val="18"/>
        </w:rPr>
        <w:t>m</w:t>
      </w:r>
      <w:r>
        <w:rPr>
          <w:bCs/>
          <w:sz w:val="18"/>
          <w:szCs w:val="18"/>
          <w:vertAlign w:val="superscript"/>
        </w:rPr>
        <w:t>3</w:t>
      </w:r>
      <w:r>
        <w:rPr>
          <w:rFonts w:hint="eastAsia"/>
          <w:bCs/>
          <w:sz w:val="18"/>
          <w:szCs w:val="18"/>
          <w:vertAlign w:val="superscript"/>
        </w:rPr>
        <w:t xml:space="preserve"> </w:t>
      </w:r>
    </w:p>
    <w:tbl>
      <w:tblPr>
        <w:tblStyle w:val="36"/>
        <w:tblW w:w="5000" w:type="pct"/>
        <w:jc w:val="center"/>
        <w:tblLayout w:type="autofit"/>
        <w:tblCellMar>
          <w:top w:w="0" w:type="dxa"/>
          <w:left w:w="108" w:type="dxa"/>
          <w:bottom w:w="0" w:type="dxa"/>
          <w:right w:w="108" w:type="dxa"/>
        </w:tblCellMar>
      </w:tblPr>
      <w:tblGrid>
        <w:gridCol w:w="1203"/>
        <w:gridCol w:w="1202"/>
        <w:gridCol w:w="1616"/>
        <w:gridCol w:w="1115"/>
        <w:gridCol w:w="1115"/>
        <w:gridCol w:w="1115"/>
        <w:gridCol w:w="1467"/>
      </w:tblGrid>
      <w:tr>
        <w:tblPrEx>
          <w:tblCellMar>
            <w:top w:w="0" w:type="dxa"/>
            <w:left w:w="108" w:type="dxa"/>
            <w:bottom w:w="0" w:type="dxa"/>
            <w:right w:w="108" w:type="dxa"/>
          </w:tblCellMar>
        </w:tblPrEx>
        <w:trPr>
          <w:trHeight w:val="397" w:hRule="atLeast"/>
          <w:jc w:val="center"/>
        </w:trPr>
        <w:tc>
          <w:tcPr>
            <w:tcW w:w="1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8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可供水量</w:t>
            </w:r>
          </w:p>
        </w:tc>
      </w:tr>
      <w:tr>
        <w:tblPrEx>
          <w:tblCellMar>
            <w:top w:w="0" w:type="dxa"/>
            <w:left w:w="108" w:type="dxa"/>
            <w:bottom w:w="0" w:type="dxa"/>
            <w:right w:w="108" w:type="dxa"/>
          </w:tblCellMar>
        </w:tblPrEx>
        <w:trPr>
          <w:trHeight w:val="397" w:hRule="atLeast"/>
          <w:jc w:val="center"/>
        </w:trPr>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50%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80%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kern w:val="0"/>
                <w:sz w:val="18"/>
                <w:szCs w:val="18"/>
              </w:rPr>
              <w:t>95%</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多年平均</w:t>
            </w:r>
          </w:p>
        </w:tc>
      </w:tr>
      <w:tr>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36873</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48065</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50212</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38969</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155503</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207896</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215565</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164658</w:t>
            </w:r>
          </w:p>
        </w:tc>
      </w:tr>
      <w:tr>
        <w:tblPrEx>
          <w:tblCellMar>
            <w:top w:w="0" w:type="dxa"/>
            <w:left w:w="108" w:type="dxa"/>
            <w:bottom w:w="0" w:type="dxa"/>
            <w:right w:w="108" w:type="dxa"/>
          </w:tblCellMar>
        </w:tblPrEx>
        <w:trPr>
          <w:trHeight w:val="397"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48902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64815</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67981</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53358</w:t>
            </w:r>
          </w:p>
        </w:tc>
      </w:tr>
      <w:tr>
        <w:tblPrEx>
          <w:tblCellMar>
            <w:top w:w="0" w:type="dxa"/>
            <w:left w:w="108" w:type="dxa"/>
            <w:bottom w:w="0" w:type="dxa"/>
            <w:right w:w="108" w:type="dxa"/>
          </w:tblCellMar>
        </w:tblPrEx>
        <w:trPr>
          <w:trHeight w:val="397" w:hRule="atLeast"/>
          <w:jc w:val="center"/>
        </w:trPr>
        <w:tc>
          <w:tcPr>
            <w:tcW w:w="3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241278</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320776</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333758</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256985</w:t>
            </w:r>
          </w:p>
        </w:tc>
      </w:tr>
      <w:tr>
        <w:tblPrEx>
          <w:tblCellMar>
            <w:top w:w="0" w:type="dxa"/>
            <w:left w:w="108" w:type="dxa"/>
            <w:bottom w:w="0" w:type="dxa"/>
            <w:right w:w="108" w:type="dxa"/>
          </w:tblCellMar>
        </w:tblPrEx>
        <w:trPr>
          <w:trHeight w:val="397"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43044</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57065</w:t>
            </w:r>
          </w:p>
        </w:tc>
        <w:tc>
          <w:tcPr>
            <w:tcW w:w="10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57881</w:t>
            </w:r>
          </w:p>
        </w:tc>
        <w:tc>
          <w:tcPr>
            <w:tcW w:w="14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45711</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35480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46235</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45717</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37591</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13262</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17728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18906</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14016</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78476</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108491</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115881</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83420</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34307</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44528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46885</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37680</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19459</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25024</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26223</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20423</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17250</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21705</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22265</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18144</w:t>
            </w:r>
          </w:p>
        </w:tc>
      </w:tr>
      <w:tr>
        <w:tblPrEx>
          <w:tblCellMar>
            <w:top w:w="0" w:type="dxa"/>
            <w:left w:w="108" w:type="dxa"/>
            <w:bottom w:w="0" w:type="dxa"/>
            <w:right w:w="108" w:type="dxa"/>
          </w:tblCellMar>
        </w:tblPrEx>
        <w:trPr>
          <w:trHeight w:val="397"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0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241278</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320776</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333758</w:t>
            </w:r>
          </w:p>
        </w:tc>
        <w:tc>
          <w:tcPr>
            <w:tcW w:w="142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256985</w:t>
            </w:r>
          </w:p>
        </w:tc>
      </w:tr>
    </w:tbl>
    <w:p>
      <w:pPr>
        <w:spacing w:line="240" w:lineRule="exact"/>
        <w:ind w:firstLine="482"/>
        <w:jc w:val="center"/>
        <w:rPr>
          <w:rFonts w:eastAsia="黑体"/>
          <w:color w:val="FF0000"/>
          <w:kern w:val="0"/>
          <w:sz w:val="22"/>
          <w:szCs w:val="22"/>
        </w:rPr>
      </w:pPr>
    </w:p>
    <w:p>
      <w:pPr>
        <w:pStyle w:val="4"/>
        <w:spacing w:before="156" w:beforeLines="50" w:after="156" w:afterLines="50"/>
        <w:rPr>
          <w:b w:val="0"/>
          <w:bCs w:val="0"/>
          <w:sz w:val="28"/>
        </w:rPr>
        <w:sectPr>
          <w:footerReference r:id="rId9" w:type="default"/>
          <w:pgSz w:w="11906" w:h="16838"/>
          <w:pgMar w:top="1588" w:right="1588" w:bottom="1474" w:left="1701" w:header="851" w:footer="992" w:gutter="0"/>
          <w:cols w:space="425" w:num="1"/>
          <w:docGrid w:type="linesAndChars" w:linePitch="312" w:charSpace="0"/>
        </w:sectPr>
      </w:pPr>
      <w:bookmarkStart w:id="375" w:name="_Toc432782569"/>
      <w:bookmarkStart w:id="376" w:name="_Toc306734695"/>
      <w:bookmarkStart w:id="377" w:name="_Toc382472241"/>
    </w:p>
    <w:p>
      <w:pPr>
        <w:pStyle w:val="4"/>
        <w:spacing w:before="156" w:beforeLines="50" w:after="156" w:afterLines="50"/>
        <w:rPr>
          <w:b w:val="0"/>
          <w:bCs w:val="0"/>
          <w:sz w:val="28"/>
        </w:rPr>
      </w:pPr>
      <w:bookmarkStart w:id="378" w:name="_Toc95382516"/>
      <w:r>
        <w:rPr>
          <w:sz w:val="28"/>
        </w:rPr>
        <w:t>二、供需平衡分析</w:t>
      </w:r>
      <w:bookmarkEnd w:id="375"/>
      <w:bookmarkEnd w:id="376"/>
      <w:bookmarkEnd w:id="377"/>
      <w:bookmarkEnd w:id="378"/>
    </w:p>
    <w:p>
      <w:pPr>
        <w:adjustRightInd w:val="0"/>
        <w:snapToGrid w:val="0"/>
        <w:spacing w:line="360" w:lineRule="auto"/>
        <w:ind w:firstLine="480" w:firstLineChars="200"/>
        <w:rPr>
          <w:sz w:val="24"/>
        </w:rPr>
      </w:pPr>
      <w:r>
        <w:rPr>
          <w:sz w:val="24"/>
        </w:rPr>
        <w:t>现状水平年六安市多年平均河道外需水总量为26.21</w:t>
      </w:r>
      <w:r>
        <w:rPr>
          <w:rFonts w:hint="eastAsia"/>
          <w:sz w:val="24"/>
        </w:rPr>
        <w:t>亿</w:t>
      </w:r>
      <w:r>
        <w:rPr>
          <w:sz w:val="24"/>
        </w:rPr>
        <w:t>m</w:t>
      </w:r>
      <w:r>
        <w:rPr>
          <w:sz w:val="24"/>
          <w:vertAlign w:val="superscript"/>
        </w:rPr>
        <w:t>3</w:t>
      </w:r>
      <w:r>
        <w:rPr>
          <w:sz w:val="24"/>
        </w:rPr>
        <w:t>，可供水量为25.51亿m</w:t>
      </w:r>
      <w:r>
        <w:rPr>
          <w:sz w:val="24"/>
          <w:vertAlign w:val="superscript"/>
        </w:rPr>
        <w:t>3</w:t>
      </w:r>
      <w:r>
        <w:rPr>
          <w:sz w:val="24"/>
        </w:rPr>
        <w:t>，河道外缺水为0.70亿m</w:t>
      </w:r>
      <w:r>
        <w:rPr>
          <w:sz w:val="24"/>
          <w:vertAlign w:val="superscript"/>
        </w:rPr>
        <w:t>3</w:t>
      </w:r>
      <w:r>
        <w:rPr>
          <w:sz w:val="24"/>
        </w:rPr>
        <w:t>。中等干旱年份（80%保证率）需水总量为32.41亿m</w:t>
      </w:r>
      <w:r>
        <w:rPr>
          <w:sz w:val="24"/>
          <w:vertAlign w:val="superscript"/>
        </w:rPr>
        <w:t>3</w:t>
      </w:r>
      <w:r>
        <w:rPr>
          <w:sz w:val="24"/>
        </w:rPr>
        <w:t>，可供水量为30.97亿m</w:t>
      </w:r>
      <w:r>
        <w:rPr>
          <w:sz w:val="24"/>
          <w:vertAlign w:val="superscript"/>
        </w:rPr>
        <w:t>3</w:t>
      </w:r>
      <w:r>
        <w:rPr>
          <w:sz w:val="24"/>
        </w:rPr>
        <w:t>，河道外缺水为1.43亿m</w:t>
      </w:r>
      <w:r>
        <w:rPr>
          <w:sz w:val="24"/>
          <w:vertAlign w:val="superscript"/>
        </w:rPr>
        <w:t>3</w:t>
      </w:r>
      <w:r>
        <w:rPr>
          <w:sz w:val="24"/>
        </w:rPr>
        <w:t>。特殊干旱年份（95%保证率）需水总量为40.29</w:t>
      </w:r>
      <w:r>
        <w:rPr>
          <w:rFonts w:hint="eastAsia"/>
          <w:sz w:val="24"/>
        </w:rPr>
        <w:t>亿</w:t>
      </w:r>
      <w:r>
        <w:rPr>
          <w:sz w:val="24"/>
        </w:rPr>
        <w:t>m</w:t>
      </w:r>
      <w:r>
        <w:rPr>
          <w:sz w:val="24"/>
          <w:vertAlign w:val="superscript"/>
        </w:rPr>
        <w:t>3</w:t>
      </w:r>
      <w:r>
        <w:rPr>
          <w:sz w:val="24"/>
        </w:rPr>
        <w:t>，可供水量为28.85亿m</w:t>
      </w:r>
      <w:r>
        <w:rPr>
          <w:sz w:val="24"/>
          <w:vertAlign w:val="superscript"/>
        </w:rPr>
        <w:t>3</w:t>
      </w:r>
      <w:r>
        <w:rPr>
          <w:sz w:val="24"/>
        </w:rPr>
        <w:t>，河道外缺水为11.44亿m</w:t>
      </w:r>
      <w:r>
        <w:rPr>
          <w:sz w:val="24"/>
          <w:vertAlign w:val="superscript"/>
        </w:rPr>
        <w:t>3</w:t>
      </w:r>
      <w:r>
        <w:rPr>
          <w:sz w:val="24"/>
        </w:rPr>
        <w:t>。</w:t>
      </w:r>
    </w:p>
    <w:p>
      <w:pPr>
        <w:adjustRightInd w:val="0"/>
        <w:snapToGrid w:val="0"/>
        <w:spacing w:line="360" w:lineRule="auto"/>
        <w:ind w:firstLine="480"/>
        <w:rPr>
          <w:sz w:val="24"/>
        </w:rPr>
      </w:pPr>
      <w:r>
        <w:rPr>
          <w:sz w:val="24"/>
        </w:rPr>
        <w:t>按照强化节水模式，进一步挖潜对现有设施挖潜配套和适度开发新水源、合理调配水资源、保障生态环境用水的基础上，未来缺水率将有所减少。</w:t>
      </w:r>
    </w:p>
    <w:p>
      <w:pPr>
        <w:adjustRightInd w:val="0"/>
        <w:snapToGrid w:val="0"/>
        <w:spacing w:line="360" w:lineRule="auto"/>
        <w:ind w:firstLine="480"/>
        <w:rPr>
          <w:sz w:val="24"/>
        </w:rPr>
      </w:pPr>
      <w:r>
        <w:rPr>
          <w:sz w:val="24"/>
        </w:rPr>
        <w:t>预测至2025年多年平均河道外需水总量为25.81</w:t>
      </w:r>
      <w:r>
        <w:rPr>
          <w:rFonts w:hint="eastAsia"/>
          <w:sz w:val="24"/>
        </w:rPr>
        <w:t>亿</w:t>
      </w:r>
      <w:r>
        <w:rPr>
          <w:sz w:val="24"/>
        </w:rPr>
        <w:t>m</w:t>
      </w:r>
      <w:r>
        <w:rPr>
          <w:sz w:val="24"/>
          <w:vertAlign w:val="superscript"/>
        </w:rPr>
        <w:t>3</w:t>
      </w:r>
      <w:r>
        <w:rPr>
          <w:sz w:val="24"/>
        </w:rPr>
        <w:t>，可供水量25.62</w:t>
      </w:r>
      <w:r>
        <w:rPr>
          <w:rFonts w:hint="eastAsia"/>
          <w:sz w:val="24"/>
        </w:rPr>
        <w:t>亿</w:t>
      </w:r>
      <w:r>
        <w:rPr>
          <w:sz w:val="24"/>
        </w:rPr>
        <w:t>m</w:t>
      </w:r>
      <w:r>
        <w:rPr>
          <w:sz w:val="24"/>
          <w:vertAlign w:val="superscript"/>
        </w:rPr>
        <w:t>3</w:t>
      </w:r>
      <w:r>
        <w:rPr>
          <w:sz w:val="24"/>
        </w:rPr>
        <w:t>，缺水</w:t>
      </w:r>
      <w:r>
        <w:rPr>
          <w:rFonts w:hint="eastAsia"/>
          <w:sz w:val="24"/>
        </w:rPr>
        <w:t>量</w:t>
      </w:r>
      <w:r>
        <w:rPr>
          <w:sz w:val="24"/>
        </w:rPr>
        <w:t>为</w:t>
      </w:r>
      <w:r>
        <w:rPr>
          <w:rFonts w:hint="eastAsia"/>
          <w:sz w:val="24"/>
        </w:rPr>
        <w:t>0.</w:t>
      </w:r>
      <w:r>
        <w:rPr>
          <w:sz w:val="24"/>
        </w:rPr>
        <w:t>19亿m</w:t>
      </w:r>
      <w:r>
        <w:rPr>
          <w:sz w:val="24"/>
          <w:vertAlign w:val="superscript"/>
        </w:rPr>
        <w:t>3</w:t>
      </w:r>
      <w:r>
        <w:rPr>
          <w:sz w:val="24"/>
        </w:rPr>
        <w:t>，中等干旱年份（80%保证率）缺水</w:t>
      </w:r>
      <w:r>
        <w:rPr>
          <w:rFonts w:hint="eastAsia"/>
          <w:sz w:val="24"/>
        </w:rPr>
        <w:t>量</w:t>
      </w:r>
      <w:r>
        <w:rPr>
          <w:sz w:val="24"/>
        </w:rPr>
        <w:t>为0.50亿m</w:t>
      </w:r>
      <w:r>
        <w:rPr>
          <w:sz w:val="24"/>
          <w:vertAlign w:val="superscript"/>
        </w:rPr>
        <w:t>3</w:t>
      </w:r>
      <w:r>
        <w:rPr>
          <w:rFonts w:hint="eastAsia"/>
          <w:sz w:val="24"/>
        </w:rPr>
        <w:t>，</w:t>
      </w:r>
      <w:r>
        <w:rPr>
          <w:sz w:val="24"/>
        </w:rPr>
        <w:t>特殊干旱年份（95%保证率）缺水量为8.40亿m</w:t>
      </w:r>
      <w:r>
        <w:rPr>
          <w:sz w:val="24"/>
          <w:vertAlign w:val="superscript"/>
        </w:rPr>
        <w:t>3</w:t>
      </w:r>
      <w:r>
        <w:rPr>
          <w:sz w:val="24"/>
        </w:rPr>
        <w:t>，缺水率为21.2%</w:t>
      </w:r>
      <w:r>
        <w:rPr>
          <w:rFonts w:hint="eastAsia"/>
          <w:sz w:val="24"/>
        </w:rPr>
        <w:t>。</w:t>
      </w:r>
    </w:p>
    <w:p>
      <w:pPr>
        <w:adjustRightInd w:val="0"/>
        <w:snapToGrid w:val="0"/>
        <w:spacing w:line="360" w:lineRule="auto"/>
        <w:ind w:firstLine="480"/>
        <w:rPr>
          <w:sz w:val="24"/>
        </w:rPr>
      </w:pPr>
      <w:r>
        <w:rPr>
          <w:sz w:val="24"/>
        </w:rPr>
        <w:t>预测至2030年多年平均河道外需水总量为25.70</w:t>
      </w:r>
      <w:r>
        <w:rPr>
          <w:rFonts w:hint="eastAsia"/>
          <w:sz w:val="24"/>
        </w:rPr>
        <w:t>亿</w:t>
      </w:r>
      <w:r>
        <w:rPr>
          <w:sz w:val="24"/>
        </w:rPr>
        <w:t>m</w:t>
      </w:r>
      <w:r>
        <w:rPr>
          <w:sz w:val="24"/>
          <w:vertAlign w:val="superscript"/>
        </w:rPr>
        <w:t>3</w:t>
      </w:r>
      <w:r>
        <w:rPr>
          <w:sz w:val="24"/>
        </w:rPr>
        <w:t>，可供水量25.70</w:t>
      </w:r>
      <w:r>
        <w:rPr>
          <w:rFonts w:hint="eastAsia"/>
          <w:sz w:val="24"/>
        </w:rPr>
        <w:t>亿</w:t>
      </w:r>
      <w:r>
        <w:rPr>
          <w:sz w:val="24"/>
        </w:rPr>
        <w:t>m</w:t>
      </w:r>
      <w:r>
        <w:rPr>
          <w:sz w:val="24"/>
          <w:vertAlign w:val="superscript"/>
        </w:rPr>
        <w:t>3</w:t>
      </w:r>
      <w:r>
        <w:rPr>
          <w:sz w:val="24"/>
        </w:rPr>
        <w:t>，</w:t>
      </w:r>
      <w:r>
        <w:rPr>
          <w:rFonts w:hint="eastAsia"/>
          <w:sz w:val="24"/>
        </w:rPr>
        <w:t>达到供需平衡</w:t>
      </w:r>
      <w:r>
        <w:rPr>
          <w:sz w:val="24"/>
        </w:rPr>
        <w:t>，中等干旱年份（80%保证率）</w:t>
      </w:r>
      <w:r>
        <w:rPr>
          <w:rFonts w:hint="eastAsia"/>
          <w:sz w:val="24"/>
        </w:rPr>
        <w:t>不缺水，</w:t>
      </w:r>
      <w:r>
        <w:rPr>
          <w:sz w:val="24"/>
        </w:rPr>
        <w:t>特殊干旱年份（95%保证率）缺水量为5.96亿m</w:t>
      </w:r>
      <w:r>
        <w:rPr>
          <w:sz w:val="24"/>
          <w:vertAlign w:val="superscript"/>
        </w:rPr>
        <w:t>3</w:t>
      </w:r>
      <w:r>
        <w:rPr>
          <w:sz w:val="24"/>
        </w:rPr>
        <w:t>，缺水率为15.2%</w:t>
      </w:r>
      <w:r>
        <w:rPr>
          <w:rFonts w:hint="eastAsia"/>
          <w:sz w:val="24"/>
        </w:rPr>
        <w:t>。</w:t>
      </w:r>
    </w:p>
    <w:p>
      <w:pPr>
        <w:adjustRightInd w:val="0"/>
        <w:snapToGrid w:val="0"/>
        <w:spacing w:line="360" w:lineRule="auto"/>
        <w:ind w:firstLine="480"/>
        <w:rPr>
          <w:sz w:val="24"/>
        </w:rPr>
      </w:pPr>
      <w:r>
        <w:rPr>
          <w:sz w:val="24"/>
        </w:rPr>
        <w:t>详见表6.1</w:t>
      </w:r>
      <w:r>
        <w:rPr>
          <w:rFonts w:hint="eastAsia"/>
          <w:sz w:val="24"/>
        </w:rPr>
        <w:t>.</w:t>
      </w:r>
      <w:r>
        <w:rPr>
          <w:sz w:val="24"/>
        </w:rPr>
        <w:t>4～6.1</w:t>
      </w:r>
      <w:r>
        <w:rPr>
          <w:rFonts w:hint="eastAsia"/>
          <w:sz w:val="24"/>
        </w:rPr>
        <w:t>.</w:t>
      </w:r>
      <w:r>
        <w:rPr>
          <w:sz w:val="24"/>
        </w:rPr>
        <w:t>6。</w:t>
      </w:r>
    </w:p>
    <w:p>
      <w:pPr>
        <w:adjustRightInd w:val="0"/>
        <w:snapToGrid w:val="0"/>
        <w:spacing w:line="360" w:lineRule="auto"/>
        <w:ind w:firstLine="480"/>
        <w:rPr>
          <w:sz w:val="24"/>
        </w:rPr>
      </w:pPr>
    </w:p>
    <w:p>
      <w:pPr>
        <w:adjustRightInd w:val="0"/>
        <w:snapToGrid w:val="0"/>
        <w:spacing w:line="360" w:lineRule="auto"/>
        <w:ind w:firstLine="480"/>
        <w:rPr>
          <w:sz w:val="24"/>
        </w:rPr>
      </w:pPr>
    </w:p>
    <w:p>
      <w:pPr>
        <w:adjustRightInd w:val="0"/>
        <w:snapToGrid w:val="0"/>
        <w:spacing w:line="360" w:lineRule="auto"/>
        <w:jc w:val="center"/>
        <w:rPr>
          <w:rFonts w:hAnsi="宋体"/>
          <w:b/>
          <w:kern w:val="0"/>
          <w:sz w:val="24"/>
        </w:rPr>
        <w:sectPr>
          <w:pgSz w:w="11906" w:h="16838"/>
          <w:pgMar w:top="1588" w:right="1588" w:bottom="1474" w:left="1701" w:header="851" w:footer="992" w:gutter="0"/>
          <w:cols w:space="425" w:num="1"/>
          <w:docGrid w:type="linesAndChars" w:linePitch="312" w:charSpace="0"/>
        </w:sectPr>
      </w:pPr>
    </w:p>
    <w:p>
      <w:pPr>
        <w:adjustRightInd w:val="0"/>
        <w:snapToGrid w:val="0"/>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4  六安市基准年多年平均供需分析表</w:t>
      </w:r>
      <w:r>
        <w:rPr>
          <w:rFonts w:eastAsia="黑体"/>
          <w:kern w:val="0"/>
          <w:sz w:val="24"/>
        </w:rPr>
        <w:t xml:space="preserve">  </w:t>
      </w:r>
    </w:p>
    <w:tbl>
      <w:tblPr>
        <w:tblStyle w:val="36"/>
        <w:tblW w:w="5015" w:type="pct"/>
        <w:tblInd w:w="0" w:type="dxa"/>
        <w:tblLayout w:type="autofit"/>
        <w:tblCellMar>
          <w:top w:w="0" w:type="dxa"/>
          <w:left w:w="108" w:type="dxa"/>
          <w:bottom w:w="0" w:type="dxa"/>
          <w:right w:w="108" w:type="dxa"/>
        </w:tblCellMar>
      </w:tblPr>
      <w:tblGrid>
        <w:gridCol w:w="1266"/>
        <w:gridCol w:w="1266"/>
        <w:gridCol w:w="1700"/>
        <w:gridCol w:w="1182"/>
        <w:gridCol w:w="1182"/>
        <w:gridCol w:w="1141"/>
        <w:gridCol w:w="1123"/>
      </w:tblGrid>
      <w:tr>
        <w:tblPrEx>
          <w:tblCellMar>
            <w:top w:w="0" w:type="dxa"/>
            <w:left w:w="108" w:type="dxa"/>
            <w:bottom w:w="0" w:type="dxa"/>
            <w:right w:w="108" w:type="dxa"/>
          </w:tblCellMar>
        </w:tblPrEx>
        <w:trPr>
          <w:trHeight w:val="387" w:hRule="atLeast"/>
        </w:trPr>
        <w:tc>
          <w:tcPr>
            <w:tcW w:w="12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基准年</w:t>
            </w:r>
          </w:p>
        </w:tc>
      </w:tr>
      <w:tr>
        <w:tblPrEx>
          <w:tblCellMar>
            <w:top w:w="0" w:type="dxa"/>
            <w:left w:w="108" w:type="dxa"/>
            <w:bottom w:w="0" w:type="dxa"/>
            <w:right w:w="108" w:type="dxa"/>
          </w:tblCellMar>
        </w:tblPrEx>
        <w:trPr>
          <w:trHeight w:val="387" w:hRule="atLeast"/>
        </w:trPr>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tblPrEx>
          <w:tblCellMar>
            <w:top w:w="0" w:type="dxa"/>
            <w:left w:w="108" w:type="dxa"/>
            <w:bottom w:w="0" w:type="dxa"/>
            <w:right w:w="108" w:type="dxa"/>
          </w:tblCellMar>
        </w:tblPrEx>
        <w:trPr>
          <w:trHeight w:val="387" w:hRule="atLeas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36494</w:t>
            </w:r>
          </w:p>
        </w:tc>
        <w:tc>
          <w:tcPr>
            <w:tcW w:w="11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35703</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791</w:t>
            </w:r>
          </w:p>
        </w:tc>
        <w:tc>
          <w:tcPr>
            <w:tcW w:w="11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w:t>
            </w:r>
          </w:p>
        </w:tc>
      </w:tr>
      <w:tr>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173570</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168659</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4911</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w:t>
            </w:r>
          </w:p>
        </w:tc>
      </w:tr>
      <w:tr>
        <w:tblPrEx>
          <w:tblCellMar>
            <w:top w:w="0" w:type="dxa"/>
            <w:left w:w="108" w:type="dxa"/>
            <w:bottom w:w="0" w:type="dxa"/>
            <w:right w:w="108" w:type="dxa"/>
          </w:tblCellMar>
        </w:tblPrEx>
        <w:trPr>
          <w:trHeight w:val="387" w:hRule="atLeast"/>
        </w:trPr>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52038</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50691</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1347</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w:t>
            </w:r>
          </w:p>
        </w:tc>
      </w:tr>
      <w:tr>
        <w:tblPrEx>
          <w:tblCellMar>
            <w:top w:w="0" w:type="dxa"/>
            <w:left w:w="108" w:type="dxa"/>
            <w:bottom w:w="0" w:type="dxa"/>
            <w:right w:w="108" w:type="dxa"/>
          </w:tblCellMar>
        </w:tblPrEx>
        <w:trPr>
          <w:trHeight w:val="387" w:hRule="atLeast"/>
        </w:trPr>
        <w:tc>
          <w:tcPr>
            <w:tcW w:w="42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262102</w:t>
            </w:r>
          </w:p>
        </w:tc>
        <w:tc>
          <w:tcPr>
            <w:tcW w:w="11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255053</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7049</w:t>
            </w:r>
          </w:p>
        </w:tc>
        <w:tc>
          <w:tcPr>
            <w:tcW w:w="11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2.7</w:t>
            </w:r>
          </w:p>
        </w:tc>
      </w:tr>
      <w:tr>
        <w:tblPrEx>
          <w:tblCellMar>
            <w:top w:w="0" w:type="dxa"/>
            <w:left w:w="108" w:type="dxa"/>
            <w:bottom w:w="0" w:type="dxa"/>
            <w:right w:w="108" w:type="dxa"/>
          </w:tblCellMar>
        </w:tblPrEx>
        <w:trPr>
          <w:trHeight w:val="387" w:hRule="atLeast"/>
        </w:trPr>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47694</w:t>
            </w:r>
          </w:p>
        </w:tc>
        <w:tc>
          <w:tcPr>
            <w:tcW w:w="11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46282</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1412</w:t>
            </w:r>
          </w:p>
        </w:tc>
        <w:tc>
          <w:tcPr>
            <w:tcW w:w="11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3.0</w:t>
            </w:r>
          </w:p>
        </w:tc>
      </w:tr>
      <w:tr>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37201</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36055</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1146</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3.1</w:t>
            </w:r>
          </w:p>
        </w:tc>
      </w:tr>
      <w:tr>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13059</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12802</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257</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w:t>
            </w:r>
          </w:p>
        </w:tc>
      </w:tr>
      <w:tr>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92940</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90301</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2639</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w:t>
            </w:r>
          </w:p>
        </w:tc>
      </w:tr>
      <w:tr>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35931</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35061</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870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2.4</w:t>
            </w:r>
          </w:p>
        </w:tc>
      </w:tr>
      <w:tr>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18938</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18528</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410</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w:t>
            </w:r>
          </w:p>
        </w:tc>
      </w:tr>
      <w:tr>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16339</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16024</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315</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w:t>
            </w:r>
          </w:p>
        </w:tc>
      </w:tr>
      <w:tr>
        <w:tblPrEx>
          <w:tblCellMar>
            <w:top w:w="0" w:type="dxa"/>
            <w:left w:w="108" w:type="dxa"/>
            <w:bottom w:w="0" w:type="dxa"/>
            <w:right w:w="108" w:type="dxa"/>
          </w:tblCellMar>
        </w:tblPrEx>
        <w:trPr>
          <w:trHeight w:val="387" w:hRule="atLeast"/>
        </w:trPr>
        <w:tc>
          <w:tcPr>
            <w:tcW w:w="12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262102</w:t>
            </w:r>
          </w:p>
        </w:tc>
        <w:tc>
          <w:tcPr>
            <w:tcW w:w="118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255053</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7049</w:t>
            </w:r>
          </w:p>
        </w:tc>
        <w:tc>
          <w:tcPr>
            <w:tcW w:w="112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2.7</w:t>
            </w:r>
          </w:p>
        </w:tc>
      </w:tr>
    </w:tbl>
    <w:p>
      <w:pPr>
        <w:rPr>
          <w:rFonts w:hAnsi="宋体"/>
          <w:b/>
          <w:kern w:val="0"/>
          <w:sz w:val="18"/>
          <w:szCs w:val="18"/>
        </w:rPr>
      </w:pPr>
      <w:r>
        <w:rPr>
          <w:sz w:val="18"/>
          <w:szCs w:val="18"/>
        </w:rPr>
        <w:t>注：上表中供需平衡为多年平均情况下供水平衡成果</w:t>
      </w:r>
      <w:r>
        <w:rPr>
          <w:rFonts w:hint="eastAsia"/>
          <w:sz w:val="18"/>
          <w:szCs w:val="18"/>
        </w:rPr>
        <w:t>。</w:t>
      </w:r>
    </w:p>
    <w:p>
      <w:pPr>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5  六市规划2025年供需分析表</w:t>
      </w:r>
      <w:r>
        <w:rPr>
          <w:rFonts w:eastAsia="黑体"/>
          <w:kern w:val="0"/>
          <w:sz w:val="24"/>
        </w:rPr>
        <w:t xml:space="preserve">  </w:t>
      </w:r>
    </w:p>
    <w:tbl>
      <w:tblPr>
        <w:tblStyle w:val="36"/>
        <w:tblW w:w="5063" w:type="pct"/>
        <w:tblInd w:w="0" w:type="dxa"/>
        <w:tblLayout w:type="autofit"/>
        <w:tblCellMar>
          <w:top w:w="0" w:type="dxa"/>
          <w:left w:w="108" w:type="dxa"/>
          <w:bottom w:w="0" w:type="dxa"/>
          <w:right w:w="108" w:type="dxa"/>
        </w:tblCellMar>
      </w:tblPr>
      <w:tblGrid>
        <w:gridCol w:w="1278"/>
        <w:gridCol w:w="1278"/>
        <w:gridCol w:w="1716"/>
        <w:gridCol w:w="1193"/>
        <w:gridCol w:w="1193"/>
        <w:gridCol w:w="1152"/>
        <w:gridCol w:w="1134"/>
      </w:tblGrid>
      <w:tr>
        <w:tblPrEx>
          <w:tblCellMar>
            <w:top w:w="0" w:type="dxa"/>
            <w:left w:w="108" w:type="dxa"/>
            <w:bottom w:w="0" w:type="dxa"/>
            <w:right w:w="108" w:type="dxa"/>
          </w:tblCellMar>
        </w:tblPrEx>
        <w:trPr>
          <w:trHeight w:val="381" w:hRule="atLeast"/>
        </w:trPr>
        <w:tc>
          <w:tcPr>
            <w:tcW w:w="12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67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2025年</w:t>
            </w:r>
          </w:p>
        </w:tc>
      </w:tr>
      <w:tr>
        <w:tblPrEx>
          <w:tblCellMar>
            <w:top w:w="0" w:type="dxa"/>
            <w:left w:w="108" w:type="dxa"/>
            <w:bottom w:w="0" w:type="dxa"/>
            <w:right w:w="108" w:type="dxa"/>
          </w:tblCellMar>
        </w:tblPrEx>
        <w:trPr>
          <w:trHeight w:val="381" w:hRule="atLeast"/>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tblPrEx>
          <w:tblCellMar>
            <w:top w:w="0" w:type="dxa"/>
            <w:left w:w="108" w:type="dxa"/>
            <w:bottom w:w="0" w:type="dxa"/>
            <w:right w:w="108" w:type="dxa"/>
          </w:tblCellMar>
        </w:tblPrEx>
        <w:trPr>
          <w:trHeight w:val="381" w:hRule="atLeast"/>
        </w:trPr>
        <w:tc>
          <w:tcPr>
            <w:tcW w:w="12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38190</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37963</w:t>
            </w:r>
          </w:p>
        </w:tc>
        <w:tc>
          <w:tcPr>
            <w:tcW w:w="11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0.6</w:t>
            </w:r>
          </w:p>
        </w:tc>
      </w:tr>
      <w:tr>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165539</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164243</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1296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0.8</w:t>
            </w:r>
          </w:p>
        </w:tc>
      </w:tr>
      <w:tr>
        <w:tblPrEx>
          <w:tblCellMar>
            <w:top w:w="0" w:type="dxa"/>
            <w:left w:w="108" w:type="dxa"/>
            <w:bottom w:w="0" w:type="dxa"/>
            <w:right w:w="108" w:type="dxa"/>
          </w:tblCellMar>
        </w:tblPrEx>
        <w:trPr>
          <w:trHeight w:val="381" w:hRule="atLeast"/>
        </w:trPr>
        <w:tc>
          <w:tcPr>
            <w:tcW w:w="1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54343</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53959</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0.7</w:t>
            </w:r>
          </w:p>
        </w:tc>
      </w:tr>
      <w:tr>
        <w:tblPrEx>
          <w:tblCellMar>
            <w:top w:w="0" w:type="dxa"/>
            <w:left w:w="108" w:type="dxa"/>
            <w:bottom w:w="0" w:type="dxa"/>
            <w:right w:w="108" w:type="dxa"/>
          </w:tblCellMar>
        </w:tblPrEx>
        <w:trPr>
          <w:trHeight w:val="381" w:hRule="atLeast"/>
        </w:trPr>
        <w:tc>
          <w:tcPr>
            <w:tcW w:w="4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258072</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256165</w:t>
            </w:r>
          </w:p>
        </w:tc>
        <w:tc>
          <w:tcPr>
            <w:tcW w:w="11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1907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0.7</w:t>
            </w:r>
          </w:p>
        </w:tc>
      </w:tr>
      <w:tr>
        <w:tblPrEx>
          <w:tblCellMar>
            <w:top w:w="0" w:type="dxa"/>
            <w:left w:w="108" w:type="dxa"/>
            <w:bottom w:w="0" w:type="dxa"/>
            <w:right w:w="108" w:type="dxa"/>
          </w:tblCellMar>
        </w:tblPrEx>
        <w:trPr>
          <w:trHeight w:val="381" w:hRule="atLeast"/>
        </w:trPr>
        <w:tc>
          <w:tcPr>
            <w:tcW w:w="12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45869</w:t>
            </w:r>
          </w:p>
        </w:tc>
        <w:tc>
          <w:tcPr>
            <w:tcW w:w="11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45494</w:t>
            </w:r>
          </w:p>
        </w:tc>
        <w:tc>
          <w:tcPr>
            <w:tcW w:w="11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0.8</w:t>
            </w:r>
          </w:p>
        </w:tc>
      </w:tr>
      <w:tr>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37119</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36807</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0.8</w:t>
            </w:r>
          </w:p>
        </w:tc>
      </w:tr>
      <w:tr>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14099</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14023</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0.5</w:t>
            </w:r>
          </w:p>
        </w:tc>
      </w:tr>
      <w:tr>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85081</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84403</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678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0.8</w:t>
            </w:r>
          </w:p>
        </w:tc>
      </w:tr>
      <w:tr>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38359</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38106</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253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0.7</w:t>
            </w:r>
          </w:p>
        </w:tc>
      </w:tr>
      <w:tr>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19896</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19777</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0.6</w:t>
            </w:r>
          </w:p>
        </w:tc>
      </w:tr>
      <w:tr>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17649</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17555</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0.5</w:t>
            </w:r>
          </w:p>
        </w:tc>
      </w:tr>
      <w:tr>
        <w:tblPrEx>
          <w:tblCellMar>
            <w:top w:w="0" w:type="dxa"/>
            <w:left w:w="108" w:type="dxa"/>
            <w:bottom w:w="0" w:type="dxa"/>
            <w:right w:w="108" w:type="dxa"/>
          </w:tblCellMar>
        </w:tblPrEx>
        <w:trPr>
          <w:trHeight w:val="381"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258072</w:t>
            </w:r>
          </w:p>
        </w:tc>
        <w:tc>
          <w:tcPr>
            <w:tcW w:w="119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256165</w:t>
            </w:r>
          </w:p>
        </w:tc>
        <w:tc>
          <w:tcPr>
            <w:tcW w:w="1152"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1907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0.7</w:t>
            </w:r>
          </w:p>
        </w:tc>
      </w:tr>
    </w:tbl>
    <w:p>
      <w:pPr>
        <w:adjustRightInd w:val="0"/>
        <w:snapToGrid w:val="0"/>
        <w:rPr>
          <w:sz w:val="18"/>
          <w:szCs w:val="18"/>
        </w:rPr>
      </w:pPr>
      <w:r>
        <w:rPr>
          <w:sz w:val="18"/>
          <w:szCs w:val="18"/>
        </w:rPr>
        <w:t>注：上表中供需平衡为多年平均情况下供水平衡成果</w:t>
      </w:r>
      <w:r>
        <w:rPr>
          <w:rFonts w:hint="eastAsia"/>
          <w:sz w:val="18"/>
          <w:szCs w:val="18"/>
        </w:rPr>
        <w:t>。</w:t>
      </w:r>
    </w:p>
    <w:p>
      <w:pPr>
        <w:spacing w:line="360" w:lineRule="auto"/>
        <w:jc w:val="center"/>
        <w:rPr>
          <w:bCs/>
          <w:sz w:val="18"/>
          <w:szCs w:val="18"/>
        </w:rPr>
      </w:pPr>
      <w:r>
        <w:rPr>
          <w:rFonts w:hAnsi="宋体"/>
          <w:b/>
          <w:kern w:val="0"/>
          <w:sz w:val="24"/>
        </w:rPr>
        <w:t>表6.1</w:t>
      </w:r>
      <w:r>
        <w:rPr>
          <w:rFonts w:hint="eastAsia" w:hAnsi="宋体"/>
          <w:b/>
          <w:kern w:val="0"/>
          <w:sz w:val="24"/>
        </w:rPr>
        <w:t>.</w:t>
      </w:r>
      <w:r>
        <w:rPr>
          <w:rFonts w:hAnsi="宋体"/>
          <w:b/>
          <w:kern w:val="0"/>
          <w:sz w:val="24"/>
        </w:rPr>
        <w:t>6  六安市规划2030年供需分析表</w:t>
      </w:r>
      <w:r>
        <w:rPr>
          <w:rFonts w:eastAsia="黑体"/>
          <w:kern w:val="0"/>
          <w:sz w:val="24"/>
        </w:rPr>
        <w:t xml:space="preserve">  </w:t>
      </w:r>
    </w:p>
    <w:tbl>
      <w:tblPr>
        <w:tblStyle w:val="36"/>
        <w:tblW w:w="5000" w:type="pct"/>
        <w:tblInd w:w="0" w:type="dxa"/>
        <w:tblLayout w:type="autofit"/>
        <w:tblCellMar>
          <w:top w:w="0" w:type="dxa"/>
          <w:left w:w="108" w:type="dxa"/>
          <w:bottom w:w="0" w:type="dxa"/>
          <w:right w:w="108" w:type="dxa"/>
        </w:tblCellMar>
      </w:tblPr>
      <w:tblGrid>
        <w:gridCol w:w="1261"/>
        <w:gridCol w:w="1262"/>
        <w:gridCol w:w="1695"/>
        <w:gridCol w:w="1178"/>
        <w:gridCol w:w="1178"/>
        <w:gridCol w:w="1138"/>
        <w:gridCol w:w="1121"/>
      </w:tblGrid>
      <w:tr>
        <w:tblPrEx>
          <w:tblCellMar>
            <w:top w:w="0" w:type="dxa"/>
            <w:left w:w="108" w:type="dxa"/>
            <w:bottom w:w="0" w:type="dxa"/>
            <w:right w:w="108" w:type="dxa"/>
          </w:tblCellMar>
        </w:tblPrEx>
        <w:trPr>
          <w:trHeight w:val="397" w:hRule="atLeast"/>
        </w:trPr>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6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44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2030年</w:t>
            </w:r>
          </w:p>
        </w:tc>
      </w:tr>
      <w:tr>
        <w:tblPrEx>
          <w:tblCellMar>
            <w:top w:w="0" w:type="dxa"/>
            <w:left w:w="108" w:type="dxa"/>
            <w:bottom w:w="0" w:type="dxa"/>
            <w:right w:w="108" w:type="dxa"/>
          </w:tblCellMar>
        </w:tblPrEx>
        <w:trPr>
          <w:trHeight w:val="397"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需水量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缺水量</w:t>
            </w:r>
            <w:r>
              <w:rPr>
                <w:color w:val="000000"/>
                <w:kern w:val="0"/>
                <w:sz w:val="18"/>
                <w:szCs w:val="18"/>
              </w:rPr>
              <w:t xml:space="preserve">  (</w:t>
            </w:r>
            <w:r>
              <w:rPr>
                <w:rFonts w:hint="eastAsia" w:ascii="宋体" w:hAnsi="宋体" w:cs="宋体"/>
                <w:color w:val="000000"/>
                <w:kern w:val="0"/>
                <w:sz w:val="18"/>
                <w:szCs w:val="18"/>
              </w:rPr>
              <w:t>万</w:t>
            </w:r>
            <w:r>
              <w:rPr>
                <w:color w:val="000000"/>
                <w:kern w:val="0"/>
                <w:sz w:val="18"/>
                <w:szCs w:val="18"/>
              </w:rPr>
              <w:t>m</w:t>
            </w:r>
            <w:r>
              <w:rPr>
                <w:color w:val="000000"/>
                <w:kern w:val="0"/>
                <w:sz w:val="18"/>
                <w:szCs w:val="18"/>
                <w:vertAlign w:val="superscript"/>
              </w:rPr>
              <w:t>3</w:t>
            </w:r>
            <w:r>
              <w:rPr>
                <w:color w:val="000000"/>
                <w:kern w:val="0"/>
                <w:sz w:val="18"/>
                <w:szCs w:val="18"/>
              </w:rPr>
              <w:t>)</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缺水率</w:t>
            </w:r>
            <w:r>
              <w:rPr>
                <w:color w:val="000000"/>
                <w:kern w:val="0"/>
                <w:sz w:val="18"/>
                <w:szCs w:val="18"/>
              </w:rPr>
              <w:t xml:space="preserve">  (%)</w:t>
            </w:r>
          </w:p>
        </w:tc>
      </w:tr>
      <w:tr>
        <w:tblPrEx>
          <w:tblCellMar>
            <w:top w:w="0" w:type="dxa"/>
            <w:left w:w="108" w:type="dxa"/>
            <w:bottom w:w="0" w:type="dxa"/>
            <w:right w:w="108" w:type="dxa"/>
          </w:tblCellMar>
        </w:tblPrEx>
        <w:trPr>
          <w:trHeight w:val="397" w:hRule="atLeast"/>
        </w:trPr>
        <w:tc>
          <w:tcPr>
            <w:tcW w:w="12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12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6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38969</w:t>
            </w:r>
          </w:p>
        </w:tc>
        <w:tc>
          <w:tcPr>
            <w:tcW w:w="11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38969</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164658</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164658</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53358</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53358</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256985</w:t>
            </w:r>
          </w:p>
        </w:tc>
        <w:tc>
          <w:tcPr>
            <w:tcW w:w="11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256985</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45711</w:t>
            </w:r>
          </w:p>
        </w:tc>
        <w:tc>
          <w:tcPr>
            <w:tcW w:w="11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45711</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37591</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37591</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14016</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14016</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83420</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83420</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37680</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37680</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20423</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20423</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18144</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18144</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0.0</w:t>
            </w:r>
          </w:p>
        </w:tc>
      </w:tr>
      <w:tr>
        <w:tblPrEx>
          <w:tblCellMar>
            <w:top w:w="0" w:type="dxa"/>
            <w:left w:w="108" w:type="dxa"/>
            <w:bottom w:w="0" w:type="dxa"/>
            <w:right w:w="108" w:type="dxa"/>
          </w:tblCellMar>
        </w:tblPrEx>
        <w:trPr>
          <w:trHeight w:val="397" w:hRule="atLeast"/>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全市</w:t>
            </w:r>
          </w:p>
        </w:tc>
        <w:tc>
          <w:tcPr>
            <w:tcW w:w="11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256985</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256985</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b/>
                <w:bCs/>
                <w:color w:val="000000"/>
                <w:kern w:val="0"/>
                <w:sz w:val="18"/>
                <w:szCs w:val="18"/>
              </w:rPr>
            </w:pPr>
            <w:r>
              <w:rPr>
                <w:rFonts w:eastAsia="等线"/>
                <w:b/>
                <w:bCs/>
                <w:color w:val="000000"/>
                <w:sz w:val="18"/>
                <w:szCs w:val="18"/>
              </w:rPr>
              <w:t>0.0</w:t>
            </w:r>
          </w:p>
        </w:tc>
      </w:tr>
    </w:tbl>
    <w:p>
      <w:pPr>
        <w:adjustRightInd w:val="0"/>
        <w:snapToGrid w:val="0"/>
        <w:rPr>
          <w:sz w:val="18"/>
          <w:szCs w:val="18"/>
        </w:rPr>
      </w:pPr>
      <w:r>
        <w:rPr>
          <w:sz w:val="18"/>
          <w:szCs w:val="18"/>
        </w:rPr>
        <w:t>注：上表中供需平衡为多年平均情况下供水平衡成果</w:t>
      </w:r>
      <w:r>
        <w:rPr>
          <w:rFonts w:hint="eastAsia"/>
          <w:sz w:val="18"/>
          <w:szCs w:val="18"/>
        </w:rPr>
        <w:t>。</w:t>
      </w:r>
    </w:p>
    <w:p>
      <w:pPr>
        <w:pStyle w:val="3"/>
        <w:adjustRightInd w:val="0"/>
        <w:snapToGrid w:val="0"/>
        <w:spacing w:before="312" w:beforeLines="100" w:after="312" w:afterLines="100" w:line="360" w:lineRule="auto"/>
        <w:jc w:val="center"/>
        <w:rPr>
          <w:rFonts w:ascii="Times New Roman" w:hAnsi="Times New Roman"/>
          <w:b w:val="0"/>
          <w:bCs w:val="0"/>
          <w:sz w:val="30"/>
        </w:rPr>
        <w:sectPr>
          <w:pgSz w:w="11906" w:h="16838"/>
          <w:pgMar w:top="1588" w:right="1588" w:bottom="1474" w:left="1701" w:header="851" w:footer="992" w:gutter="0"/>
          <w:cols w:space="425" w:num="1"/>
          <w:docGrid w:type="linesAndChars" w:linePitch="312" w:charSpace="0"/>
        </w:sectPr>
      </w:pPr>
      <w:bookmarkStart w:id="379" w:name="_Toc306734696"/>
      <w:bookmarkStart w:id="380" w:name="_Toc382472242"/>
      <w:bookmarkStart w:id="381" w:name="_Toc432782570"/>
    </w:p>
    <w:p>
      <w:pPr>
        <w:keepNext/>
        <w:keepLines/>
        <w:adjustRightInd w:val="0"/>
        <w:snapToGrid w:val="0"/>
        <w:spacing w:before="312" w:beforeLines="100" w:after="312" w:afterLines="100" w:line="360" w:lineRule="auto"/>
        <w:jc w:val="center"/>
        <w:outlineLvl w:val="1"/>
        <w:rPr>
          <w:b/>
          <w:bCs/>
          <w:sz w:val="32"/>
          <w:szCs w:val="36"/>
        </w:rPr>
      </w:pPr>
      <w:bookmarkStart w:id="382" w:name="_Toc95382517"/>
      <w:r>
        <w:rPr>
          <w:b/>
          <w:bCs/>
          <w:sz w:val="32"/>
          <w:szCs w:val="36"/>
        </w:rPr>
        <w:t>第二节 水资源总体配置</w:t>
      </w:r>
      <w:bookmarkEnd w:id="379"/>
      <w:bookmarkEnd w:id="380"/>
      <w:bookmarkEnd w:id="381"/>
      <w:bookmarkEnd w:id="382"/>
    </w:p>
    <w:p>
      <w:pPr>
        <w:adjustRightInd w:val="0"/>
        <w:snapToGrid w:val="0"/>
        <w:spacing w:line="360" w:lineRule="auto"/>
        <w:ind w:firstLine="482"/>
        <w:rPr>
          <w:sz w:val="24"/>
        </w:rPr>
      </w:pPr>
      <w:r>
        <w:rPr>
          <w:sz w:val="24"/>
        </w:rPr>
        <w:t>水资源配置是指在流域或特定的区域范围内，遵循公平、高效和可持续的原则，在综合采用合理抑制需求、有效增加供水、积极保护水资源策略的基础上，通过工程和非工程手段和措施，对区内水资源进行的统筹调配。</w:t>
      </w:r>
    </w:p>
    <w:p>
      <w:pPr>
        <w:pStyle w:val="4"/>
        <w:spacing w:before="156" w:beforeLines="50" w:after="156" w:afterLines="50"/>
        <w:rPr>
          <w:b w:val="0"/>
          <w:bCs w:val="0"/>
          <w:sz w:val="28"/>
        </w:rPr>
      </w:pPr>
      <w:bookmarkStart w:id="383" w:name="_Toc95382518"/>
      <w:bookmarkStart w:id="384" w:name="_Toc432782571"/>
      <w:bookmarkStart w:id="385" w:name="_Toc306734697"/>
      <w:bookmarkStart w:id="386" w:name="_Toc382472243"/>
      <w:r>
        <w:rPr>
          <w:sz w:val="28"/>
        </w:rPr>
        <w:t>一、水资源配置原则和目标</w:t>
      </w:r>
      <w:bookmarkEnd w:id="383"/>
      <w:bookmarkEnd w:id="384"/>
      <w:bookmarkEnd w:id="385"/>
      <w:bookmarkEnd w:id="386"/>
    </w:p>
    <w:p>
      <w:pPr>
        <w:adjustRightInd w:val="0"/>
        <w:snapToGrid w:val="0"/>
        <w:spacing w:line="360" w:lineRule="auto"/>
        <w:ind w:firstLine="482"/>
        <w:rPr>
          <w:sz w:val="24"/>
        </w:rPr>
      </w:pPr>
      <w:r>
        <w:rPr>
          <w:sz w:val="24"/>
        </w:rPr>
        <w:t>本次规划水资源配置方案的确定分别水资源分区和行政分区为单元，以采取强化节水措施的水资源供需平衡为基础，按照节水型社会建设进行用水定额控制，严格按照取水总量控制，抑制水资源需求过快增长，对全市水资源在经济社会系统和生态环境系统之间、不同水资源分区和行政分区之间以及不同行业之间进行合理调配，使得水资源配置格局与经济社会发展及生态环境保护的要求相协调。在保障经济社会又好又快发展同时，有效保护水资源，维护生态平衡、改善环境质量。</w:t>
      </w:r>
    </w:p>
    <w:p>
      <w:pPr>
        <w:adjustRightInd w:val="0"/>
        <w:snapToGrid w:val="0"/>
        <w:spacing w:line="360" w:lineRule="auto"/>
        <w:ind w:firstLine="482"/>
        <w:rPr>
          <w:sz w:val="24"/>
        </w:rPr>
      </w:pPr>
      <w:r>
        <w:rPr>
          <w:sz w:val="24"/>
        </w:rPr>
        <w:t>基于宏观视角，水资源合理配置应遵循以下原则。</w:t>
      </w:r>
    </w:p>
    <w:p>
      <w:pPr>
        <w:adjustRightInd w:val="0"/>
        <w:snapToGrid w:val="0"/>
        <w:spacing w:line="360" w:lineRule="auto"/>
        <w:ind w:firstLine="482"/>
        <w:rPr>
          <w:sz w:val="24"/>
        </w:rPr>
      </w:pPr>
      <w:r>
        <w:rPr>
          <w:sz w:val="24"/>
        </w:rPr>
        <w:t>1）公平公正原则：保障城乡居民都享有饮水安全，生产用水以及良好人居环境的基本权利；考虑区域水资源状况和经济社会及生态环境特点，公平合理处理区域之间水资源权益关系，承担水资源保护的义务。</w:t>
      </w:r>
    </w:p>
    <w:p>
      <w:pPr>
        <w:adjustRightInd w:val="0"/>
        <w:snapToGrid w:val="0"/>
        <w:spacing w:line="360" w:lineRule="auto"/>
        <w:ind w:firstLine="482"/>
        <w:rPr>
          <w:sz w:val="24"/>
        </w:rPr>
      </w:pPr>
      <w:r>
        <w:rPr>
          <w:sz w:val="24"/>
        </w:rPr>
        <w:t>2）统筹协调的原则：统筹协调经济社会发展与生态环境保护对水资源的要求，合理调配生活、生产和生态用水；统筹兼顾现状用水情况和未来用水要求，并适度留有余地，保障水资源可持续利用。</w:t>
      </w:r>
    </w:p>
    <w:p>
      <w:pPr>
        <w:adjustRightInd w:val="0"/>
        <w:snapToGrid w:val="0"/>
        <w:spacing w:line="360" w:lineRule="auto"/>
        <w:ind w:firstLine="482"/>
        <w:rPr>
          <w:sz w:val="24"/>
        </w:rPr>
      </w:pPr>
      <w:r>
        <w:rPr>
          <w:sz w:val="24"/>
        </w:rPr>
        <w:t>3）高效持续可利用原则：</w:t>
      </w:r>
      <w:r>
        <w:rPr>
          <w:rFonts w:hint="eastAsia"/>
          <w:sz w:val="24"/>
        </w:rPr>
        <w:t>坚持以水定城、以水定地、以水定人、以水定产，严格落实水资源最大刚性约束</w:t>
      </w:r>
      <w:r>
        <w:rPr>
          <w:sz w:val="24"/>
        </w:rPr>
        <w:t>合理调配水资源，提高水资源利用水平和利用效率，统筹水资源利用的经济效益、社会效益和生态效益的关系，发挥水资源的多种功能。</w:t>
      </w:r>
    </w:p>
    <w:p>
      <w:pPr>
        <w:adjustRightInd w:val="0"/>
        <w:snapToGrid w:val="0"/>
        <w:spacing w:line="360" w:lineRule="auto"/>
        <w:ind w:firstLine="482"/>
        <w:rPr>
          <w:sz w:val="24"/>
        </w:rPr>
      </w:pPr>
      <w:r>
        <w:rPr>
          <w:sz w:val="24"/>
        </w:rPr>
        <w:t>4）综合平衡原则：协调和平衡各地区对水资源的需求量不超过流域水资源可利用量，控制污染物入河总量不超过其纳污能力，生态环境用水量不低于生态环境需水量。</w:t>
      </w:r>
    </w:p>
    <w:p>
      <w:pPr>
        <w:adjustRightInd w:val="0"/>
        <w:snapToGrid w:val="0"/>
        <w:spacing w:line="360" w:lineRule="auto"/>
        <w:ind w:firstLine="482"/>
        <w:rPr>
          <w:sz w:val="24"/>
        </w:rPr>
      </w:pPr>
      <w:r>
        <w:rPr>
          <w:sz w:val="24"/>
        </w:rPr>
        <w:t>六安市水资源合理配置的目的是在查清六安市水资源数量、质量及其分布规律、水资源开发利用现状和存在问题以及社会经济发展历程的基础上，依据可持续发展的观点，按照高效、公平和多目标统筹兼顾协调的原则，通过工程与非工程措施，对各种可利用水源在不同区域、不同用水部门间进行各水平年和不同来水保证率条件下的需求控制与调剂供给、合理配置，实现动态平衡，保障用水安全，支撑经济、社会的持续协调发展。</w:t>
      </w:r>
      <w:r>
        <w:rPr>
          <w:rFonts w:hint="eastAsia"/>
          <w:sz w:val="24"/>
        </w:rPr>
        <w:t>配置目标是</w:t>
      </w:r>
      <w:r>
        <w:rPr>
          <w:sz w:val="24"/>
        </w:rPr>
        <w:t>在确保城乡居民生活用水和工业用水的需求的前提</w:t>
      </w:r>
      <w:r>
        <w:rPr>
          <w:rFonts w:hint="eastAsia"/>
          <w:sz w:val="24"/>
        </w:rPr>
        <w:t>下</w:t>
      </w:r>
      <w:r>
        <w:rPr>
          <w:sz w:val="24"/>
        </w:rPr>
        <w:t>，</w:t>
      </w:r>
      <w:r>
        <w:rPr>
          <w:rFonts w:hint="eastAsia"/>
          <w:sz w:val="24"/>
        </w:rPr>
        <w:t>通过合理调配水资源，</w:t>
      </w:r>
      <w:r>
        <w:rPr>
          <w:sz w:val="24"/>
        </w:rPr>
        <w:t>提高水资源利用水平和利用效率</w:t>
      </w:r>
      <w:r>
        <w:rPr>
          <w:rFonts w:hint="eastAsia"/>
          <w:sz w:val="24"/>
        </w:rPr>
        <w:t>，逐步降低干旱年份的缺水率，同时</w:t>
      </w:r>
      <w:r>
        <w:rPr>
          <w:sz w:val="24"/>
        </w:rPr>
        <w:t>增加自然生态系统留用水量，改善河道外城镇生态环境。维持河湖一定的生态水位或流量。</w:t>
      </w:r>
    </w:p>
    <w:p>
      <w:pPr>
        <w:pStyle w:val="4"/>
        <w:adjustRightInd w:val="0"/>
        <w:snapToGrid w:val="0"/>
        <w:spacing w:before="156" w:beforeLines="50" w:after="156" w:afterLines="50"/>
        <w:rPr>
          <w:sz w:val="28"/>
        </w:rPr>
      </w:pPr>
      <w:bookmarkStart w:id="387" w:name="_Toc382472244"/>
      <w:bookmarkStart w:id="388" w:name="_Toc95382519"/>
      <w:bookmarkStart w:id="389" w:name="_Toc306734698"/>
      <w:bookmarkStart w:id="390" w:name="_Toc432782572"/>
      <w:r>
        <w:rPr>
          <w:sz w:val="28"/>
        </w:rPr>
        <w:t>二、总体水量配置</w:t>
      </w:r>
      <w:bookmarkEnd w:id="387"/>
      <w:bookmarkEnd w:id="388"/>
      <w:bookmarkEnd w:id="389"/>
      <w:bookmarkEnd w:id="390"/>
    </w:p>
    <w:p>
      <w:pPr>
        <w:adjustRightInd w:val="0"/>
        <w:snapToGrid w:val="0"/>
        <w:spacing w:line="360" w:lineRule="auto"/>
        <w:rPr>
          <w:b/>
          <w:sz w:val="24"/>
        </w:rPr>
      </w:pPr>
      <w:r>
        <w:rPr>
          <w:b/>
          <w:sz w:val="24"/>
        </w:rPr>
        <w:t>（</w:t>
      </w:r>
      <w:r>
        <w:rPr>
          <w:rFonts w:hint="eastAsia"/>
          <w:b/>
          <w:sz w:val="24"/>
        </w:rPr>
        <w:t>一</w:t>
      </w:r>
      <w:r>
        <w:rPr>
          <w:b/>
          <w:sz w:val="24"/>
        </w:rPr>
        <w:t>）行业水量配置</w:t>
      </w:r>
    </w:p>
    <w:p>
      <w:pPr>
        <w:adjustRightInd w:val="0"/>
        <w:snapToGrid w:val="0"/>
        <w:spacing w:line="360" w:lineRule="auto"/>
        <w:ind w:firstLine="480" w:firstLineChars="200"/>
        <w:rPr>
          <w:b/>
          <w:sz w:val="24"/>
        </w:rPr>
      </w:pPr>
      <w:r>
        <w:rPr>
          <w:rFonts w:hint="eastAsia"/>
          <w:b/>
          <w:sz w:val="24"/>
        </w:rPr>
        <w:t>1、规划水平年行业水量配置</w:t>
      </w:r>
    </w:p>
    <w:p>
      <w:pPr>
        <w:adjustRightInd w:val="0"/>
        <w:snapToGrid w:val="0"/>
        <w:spacing w:line="360" w:lineRule="auto"/>
        <w:ind w:firstLine="480" w:firstLineChars="200"/>
        <w:rPr>
          <w:sz w:val="24"/>
        </w:rPr>
      </w:pPr>
      <w:r>
        <w:rPr>
          <w:sz w:val="24"/>
        </w:rPr>
        <w:t>在水资源配置中，既要考虑水资源的有效供给保障经济社会的发展，同时经济社会发展也要适应水资源条件，根据水资源的承载能力安排产业结构与经济布局，通过水资源的高效利用促进经济增长方式的转变统筹生活、生态、生产三者用水，优先保障城乡居民生活用水，有序安排生产用水，保证基本生态用水，满足居民生活水平提高、经济发展和环境改善的用水要求，实现水资源的高效持续利用。</w:t>
      </w:r>
    </w:p>
    <w:p>
      <w:pPr>
        <w:adjustRightInd w:val="0"/>
        <w:snapToGrid w:val="0"/>
        <w:spacing w:line="360" w:lineRule="auto"/>
        <w:ind w:firstLine="480" w:firstLineChars="200"/>
        <w:rPr>
          <w:sz w:val="24"/>
        </w:rPr>
      </w:pPr>
      <w:r>
        <w:rPr>
          <w:sz w:val="24"/>
        </w:rPr>
        <w:t>按可供水量计，2025六安市农业、工业、生活和河道外生态</w:t>
      </w:r>
      <w:r>
        <w:rPr>
          <w:rFonts w:hint="eastAsia"/>
          <w:sz w:val="24"/>
        </w:rPr>
        <w:t>环境</w:t>
      </w:r>
      <w:r>
        <w:rPr>
          <w:sz w:val="24"/>
        </w:rPr>
        <w:t>用水配置量分别为20.13</w:t>
      </w:r>
      <w:r>
        <w:rPr>
          <w:rFonts w:hint="eastAsia"/>
          <w:sz w:val="24"/>
        </w:rPr>
        <w:t>亿</w:t>
      </w:r>
      <w:r>
        <w:rPr>
          <w:sz w:val="24"/>
        </w:rPr>
        <w:t>m</w:t>
      </w:r>
      <w:r>
        <w:rPr>
          <w:sz w:val="24"/>
          <w:vertAlign w:val="superscript"/>
        </w:rPr>
        <w:t>3</w:t>
      </w:r>
      <w:r>
        <w:rPr>
          <w:sz w:val="24"/>
        </w:rPr>
        <w:t>、2.08亿m</w:t>
      </w:r>
      <w:r>
        <w:rPr>
          <w:sz w:val="24"/>
          <w:vertAlign w:val="superscript"/>
        </w:rPr>
        <w:t>3</w:t>
      </w:r>
      <w:r>
        <w:rPr>
          <w:sz w:val="24"/>
        </w:rPr>
        <w:t>、2.64</w:t>
      </w:r>
      <w:r>
        <w:rPr>
          <w:rFonts w:hint="eastAsia"/>
          <w:sz w:val="24"/>
        </w:rPr>
        <w:t>亿</w:t>
      </w:r>
      <w:r>
        <w:rPr>
          <w:sz w:val="24"/>
        </w:rPr>
        <w:t>m</w:t>
      </w:r>
      <w:r>
        <w:rPr>
          <w:sz w:val="24"/>
          <w:vertAlign w:val="superscript"/>
        </w:rPr>
        <w:t>3</w:t>
      </w:r>
      <w:r>
        <w:rPr>
          <w:sz w:val="24"/>
        </w:rPr>
        <w:t>、0.77亿m</w:t>
      </w:r>
      <w:r>
        <w:rPr>
          <w:sz w:val="24"/>
          <w:vertAlign w:val="superscript"/>
        </w:rPr>
        <w:t>3</w:t>
      </w:r>
      <w:r>
        <w:rPr>
          <w:rFonts w:hint="eastAsia"/>
          <w:sz w:val="24"/>
        </w:rPr>
        <w:t>。</w:t>
      </w:r>
      <w:r>
        <w:rPr>
          <w:sz w:val="24"/>
        </w:rPr>
        <w:t>配置比例将由现状水平年80.3</w:t>
      </w:r>
      <w:r>
        <w:rPr>
          <w:rFonts w:hint="eastAsia"/>
          <w:sz w:val="24"/>
        </w:rPr>
        <w:t>%、</w:t>
      </w:r>
      <w:r>
        <w:rPr>
          <w:sz w:val="24"/>
        </w:rPr>
        <w:t>7.6</w:t>
      </w:r>
      <w:r>
        <w:rPr>
          <w:rFonts w:hint="eastAsia"/>
          <w:sz w:val="24"/>
        </w:rPr>
        <w:t>%、</w:t>
      </w:r>
      <w:r>
        <w:rPr>
          <w:sz w:val="24"/>
        </w:rPr>
        <w:t>9.4</w:t>
      </w:r>
      <w:r>
        <w:rPr>
          <w:rFonts w:hint="eastAsia"/>
          <w:sz w:val="24"/>
        </w:rPr>
        <w:t>%、</w:t>
      </w:r>
      <w:r>
        <w:rPr>
          <w:sz w:val="24"/>
        </w:rPr>
        <w:t>2.7</w:t>
      </w:r>
      <w:r>
        <w:rPr>
          <w:rFonts w:hint="eastAsia"/>
          <w:sz w:val="24"/>
        </w:rPr>
        <w:t>%调整为</w:t>
      </w:r>
      <w:r>
        <w:rPr>
          <w:sz w:val="24"/>
        </w:rPr>
        <w:t>78.6</w:t>
      </w:r>
      <w:r>
        <w:rPr>
          <w:rFonts w:hint="eastAsia"/>
          <w:sz w:val="24"/>
        </w:rPr>
        <w:t>%、</w:t>
      </w:r>
      <w:r>
        <w:rPr>
          <w:sz w:val="24"/>
        </w:rPr>
        <w:t>8.1</w:t>
      </w:r>
      <w:r>
        <w:rPr>
          <w:rFonts w:hint="eastAsia"/>
          <w:sz w:val="24"/>
        </w:rPr>
        <w:t>%、</w:t>
      </w:r>
      <w:r>
        <w:rPr>
          <w:sz w:val="24"/>
        </w:rPr>
        <w:t>10.3</w:t>
      </w:r>
      <w:r>
        <w:rPr>
          <w:rFonts w:hint="eastAsia"/>
          <w:sz w:val="24"/>
        </w:rPr>
        <w:t>%、</w:t>
      </w:r>
      <w:r>
        <w:rPr>
          <w:sz w:val="24"/>
        </w:rPr>
        <w:t>3.0</w:t>
      </w:r>
      <w:r>
        <w:rPr>
          <w:rFonts w:hint="eastAsia"/>
          <w:sz w:val="24"/>
        </w:rPr>
        <w:t>%</w:t>
      </w:r>
      <w:r>
        <w:rPr>
          <w:sz w:val="24"/>
        </w:rPr>
        <w:t>。</w:t>
      </w:r>
    </w:p>
    <w:p>
      <w:pPr>
        <w:adjustRightInd w:val="0"/>
        <w:snapToGrid w:val="0"/>
        <w:spacing w:line="360" w:lineRule="auto"/>
        <w:ind w:firstLine="480" w:firstLineChars="200"/>
        <w:rPr>
          <w:sz w:val="24"/>
        </w:rPr>
      </w:pPr>
      <w:r>
        <w:rPr>
          <w:sz w:val="24"/>
        </w:rPr>
        <w:t>2030年</w:t>
      </w:r>
      <w:r>
        <w:rPr>
          <w:rFonts w:hint="eastAsia"/>
          <w:sz w:val="24"/>
        </w:rPr>
        <w:t>六安市</w:t>
      </w:r>
      <w:r>
        <w:rPr>
          <w:sz w:val="24"/>
        </w:rPr>
        <w:t>农业、工业、生活和河道外生态</w:t>
      </w:r>
      <w:r>
        <w:rPr>
          <w:rFonts w:hint="eastAsia"/>
          <w:sz w:val="24"/>
        </w:rPr>
        <w:t>环境</w:t>
      </w:r>
      <w:r>
        <w:rPr>
          <w:sz w:val="24"/>
        </w:rPr>
        <w:t>用水配置量分别为19.53</w:t>
      </w:r>
      <w:r>
        <w:rPr>
          <w:rFonts w:hint="eastAsia"/>
          <w:sz w:val="24"/>
        </w:rPr>
        <w:t>亿</w:t>
      </w:r>
      <w:r>
        <w:rPr>
          <w:sz w:val="24"/>
        </w:rPr>
        <w:t>m</w:t>
      </w:r>
      <w:r>
        <w:rPr>
          <w:sz w:val="24"/>
          <w:vertAlign w:val="superscript"/>
        </w:rPr>
        <w:t>3</w:t>
      </w:r>
      <w:r>
        <w:rPr>
          <w:sz w:val="24"/>
        </w:rPr>
        <w:t>、2.28亿m</w:t>
      </w:r>
      <w:r>
        <w:rPr>
          <w:sz w:val="24"/>
          <w:vertAlign w:val="superscript"/>
        </w:rPr>
        <w:t>3</w:t>
      </w:r>
      <w:r>
        <w:rPr>
          <w:sz w:val="24"/>
        </w:rPr>
        <w:t>、3.05</w:t>
      </w:r>
      <w:r>
        <w:rPr>
          <w:rFonts w:hint="eastAsia"/>
          <w:sz w:val="24"/>
        </w:rPr>
        <w:t>亿</w:t>
      </w:r>
      <w:r>
        <w:rPr>
          <w:sz w:val="24"/>
        </w:rPr>
        <w:t>m</w:t>
      </w:r>
      <w:r>
        <w:rPr>
          <w:sz w:val="24"/>
          <w:vertAlign w:val="superscript"/>
        </w:rPr>
        <w:t>3</w:t>
      </w:r>
      <w:r>
        <w:rPr>
          <w:sz w:val="24"/>
        </w:rPr>
        <w:t>和0.84亿m</w:t>
      </w:r>
      <w:r>
        <w:rPr>
          <w:sz w:val="24"/>
          <w:vertAlign w:val="superscript"/>
        </w:rPr>
        <w:t>3</w:t>
      </w:r>
      <w:r>
        <w:rPr>
          <w:sz w:val="24"/>
        </w:rPr>
        <w:t>，配置比例进一步调整为76.0</w:t>
      </w:r>
      <w:r>
        <w:rPr>
          <w:rFonts w:hint="eastAsia"/>
          <w:sz w:val="24"/>
        </w:rPr>
        <w:t>%、</w:t>
      </w:r>
      <w:r>
        <w:rPr>
          <w:sz w:val="24"/>
        </w:rPr>
        <w:t>8.9</w:t>
      </w:r>
      <w:r>
        <w:rPr>
          <w:rFonts w:hint="eastAsia"/>
          <w:sz w:val="24"/>
        </w:rPr>
        <w:t>%、</w:t>
      </w:r>
      <w:r>
        <w:rPr>
          <w:sz w:val="24"/>
        </w:rPr>
        <w:t>11.9</w:t>
      </w:r>
      <w:r>
        <w:rPr>
          <w:rFonts w:hint="eastAsia"/>
          <w:sz w:val="24"/>
        </w:rPr>
        <w:t>%、</w:t>
      </w:r>
      <w:r>
        <w:rPr>
          <w:sz w:val="24"/>
        </w:rPr>
        <w:t>3.3</w:t>
      </w:r>
      <w:r>
        <w:rPr>
          <w:rFonts w:hint="eastAsia"/>
          <w:sz w:val="24"/>
        </w:rPr>
        <w:t>%</w:t>
      </w:r>
      <w:r>
        <w:rPr>
          <w:sz w:val="24"/>
        </w:rPr>
        <w:t>。</w:t>
      </w:r>
    </w:p>
    <w:p>
      <w:pPr>
        <w:adjustRightInd w:val="0"/>
        <w:snapToGrid w:val="0"/>
        <w:spacing w:line="360" w:lineRule="auto"/>
        <w:ind w:firstLine="480" w:firstLineChars="200"/>
        <w:rPr>
          <w:sz w:val="24"/>
        </w:rPr>
      </w:pPr>
      <w:r>
        <w:rPr>
          <w:sz w:val="24"/>
        </w:rPr>
        <w:t>根据上述水资源分行业配置结果看出，规划水平年随着全市城市化和工业化进程的加快生活用水、工业用水和生态环境用水占总配置水量不断增加，农业用水随着农业节水技术的不断进步所占比例在不断减少。六安市不同水平年分行业水量配置见表6.</w:t>
      </w:r>
      <w:r>
        <w:rPr>
          <w:rFonts w:hint="eastAsia"/>
          <w:sz w:val="24"/>
        </w:rPr>
        <w:t>2.2-1</w:t>
      </w:r>
      <w:r>
        <w:rPr>
          <w:rFonts w:hint="eastAsia" w:ascii="宋体" w:hAnsi="宋体"/>
          <w:sz w:val="24"/>
        </w:rPr>
        <w:t>～</w:t>
      </w:r>
      <w:r>
        <w:rPr>
          <w:sz w:val="24"/>
        </w:rPr>
        <w:t>6.</w:t>
      </w:r>
      <w:r>
        <w:rPr>
          <w:rFonts w:hint="eastAsia"/>
          <w:sz w:val="24"/>
        </w:rPr>
        <w:t>2.2-</w:t>
      </w:r>
      <w:r>
        <w:rPr>
          <w:sz w:val="24"/>
        </w:rPr>
        <w:t>3。</w:t>
      </w:r>
    </w:p>
    <w:p>
      <w:pPr>
        <w:adjustRightInd w:val="0"/>
        <w:snapToGrid w:val="0"/>
        <w:spacing w:line="360" w:lineRule="auto"/>
        <w:ind w:firstLine="480" w:firstLineChars="200"/>
        <w:rPr>
          <w:color w:val="FF0000"/>
          <w:sz w:val="24"/>
        </w:rPr>
      </w:pPr>
    </w:p>
    <w:p>
      <w:pPr>
        <w:adjustRightInd w:val="0"/>
        <w:snapToGrid w:val="0"/>
        <w:spacing w:line="360" w:lineRule="auto"/>
        <w:ind w:firstLine="480" w:firstLineChars="200"/>
        <w:rPr>
          <w:color w:val="FF0000"/>
          <w:sz w:val="24"/>
        </w:rPr>
        <w:sectPr>
          <w:pgSz w:w="11906" w:h="16838"/>
          <w:pgMar w:top="1588" w:right="1588" w:bottom="1474" w:left="1701" w:header="851" w:footer="992" w:gutter="0"/>
          <w:cols w:space="425" w:num="1"/>
          <w:docGrid w:type="linesAndChars" w:linePitch="312" w:charSpace="0"/>
        </w:sectPr>
      </w:pPr>
    </w:p>
    <w:p>
      <w:pPr>
        <w:spacing w:line="360" w:lineRule="auto"/>
        <w:jc w:val="right"/>
        <w:rPr>
          <w:bCs/>
          <w:sz w:val="18"/>
          <w:szCs w:val="18"/>
        </w:rPr>
      </w:pPr>
      <w:r>
        <w:rPr>
          <w:rFonts w:hAnsi="宋体"/>
          <w:b/>
          <w:kern w:val="0"/>
          <w:sz w:val="24"/>
        </w:rPr>
        <w:t>表6.2.2</w:t>
      </w:r>
      <w:r>
        <w:rPr>
          <w:rFonts w:hint="eastAsia" w:hAnsi="宋体"/>
          <w:b/>
          <w:kern w:val="0"/>
          <w:sz w:val="24"/>
        </w:rPr>
        <w:t>-1</w:t>
      </w:r>
      <w:r>
        <w:rPr>
          <w:rFonts w:hAnsi="宋体"/>
          <w:b/>
          <w:kern w:val="0"/>
          <w:sz w:val="24"/>
        </w:rPr>
        <w:t xml:space="preserve">  六安市</w:t>
      </w:r>
      <w:r>
        <w:rPr>
          <w:rFonts w:hint="eastAsia" w:hAnsi="宋体"/>
          <w:b/>
          <w:kern w:val="0"/>
          <w:sz w:val="24"/>
        </w:rPr>
        <w:t>现状基准</w:t>
      </w:r>
      <w:r>
        <w:rPr>
          <w:rFonts w:hAnsi="宋体"/>
          <w:b/>
          <w:kern w:val="0"/>
          <w:sz w:val="24"/>
        </w:rPr>
        <w:t>年分行业水量配置</w:t>
      </w:r>
      <w:r>
        <w:rPr>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ascii="宋体" w:hAnsi="宋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76"/>
        <w:gridCol w:w="728"/>
        <w:gridCol w:w="1049"/>
        <w:gridCol w:w="816"/>
        <w:gridCol w:w="610"/>
        <w:gridCol w:w="727"/>
        <w:gridCol w:w="700"/>
        <w:gridCol w:w="710"/>
        <w:gridCol w:w="715"/>
        <w:gridCol w:w="633"/>
        <w:gridCol w:w="587"/>
        <w:gridCol w:w="982"/>
      </w:tblGrid>
      <w:tr>
        <w:tblPrEx>
          <w:tblCellMar>
            <w:top w:w="0" w:type="dxa"/>
            <w:left w:w="108" w:type="dxa"/>
            <w:bottom w:w="0" w:type="dxa"/>
            <w:right w:w="108" w:type="dxa"/>
          </w:tblCellMar>
        </w:tblPrEx>
        <w:trPr>
          <w:trHeight w:val="340" w:hRule="atLeast"/>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8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38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18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9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340"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02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27327</w:t>
            </w:r>
          </w:p>
        </w:tc>
        <w:tc>
          <w:tcPr>
            <w:tcW w:w="5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76.5</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3679</w:t>
            </w:r>
          </w:p>
        </w:tc>
        <w:tc>
          <w:tcPr>
            <w:tcW w:w="68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10.3</w:t>
            </w:r>
          </w:p>
        </w:tc>
        <w:tc>
          <w:tcPr>
            <w:tcW w:w="6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4252</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11.9</w:t>
            </w:r>
          </w:p>
        </w:tc>
        <w:tc>
          <w:tcPr>
            <w:tcW w:w="61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445</w:t>
            </w: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35703</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02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137258</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81.4</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11131</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6.6</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14785</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8.8</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5485</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168659</w:t>
            </w:r>
          </w:p>
        </w:tc>
      </w:tr>
      <w:tr>
        <w:tblPrEx>
          <w:tblCellMar>
            <w:top w:w="0" w:type="dxa"/>
            <w:left w:w="108" w:type="dxa"/>
            <w:bottom w:w="0" w:type="dxa"/>
            <w:right w:w="108" w:type="dxa"/>
          </w:tblCellMar>
        </w:tblPrEx>
        <w:trPr>
          <w:trHeight w:val="34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0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40178</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79.3</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4584</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9.0</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4964</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9.8</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965</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1.9</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50691</w:t>
            </w:r>
          </w:p>
        </w:tc>
      </w:tr>
      <w:tr>
        <w:tblPrEx>
          <w:tblCellMar>
            <w:top w:w="0" w:type="dxa"/>
            <w:left w:w="108" w:type="dxa"/>
            <w:bottom w:w="0" w:type="dxa"/>
            <w:right w:w="108" w:type="dxa"/>
          </w:tblCellMar>
        </w:tblPrEx>
        <w:trPr>
          <w:trHeight w:val="340" w:hRule="atLeast"/>
          <w:jc w:val="center"/>
        </w:trPr>
        <w:tc>
          <w:tcPr>
            <w:tcW w:w="22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204763</w:t>
            </w:r>
          </w:p>
        </w:tc>
        <w:tc>
          <w:tcPr>
            <w:tcW w:w="5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80.3</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19394</w:t>
            </w:r>
          </w:p>
        </w:tc>
        <w:tc>
          <w:tcPr>
            <w:tcW w:w="68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7.6</w:t>
            </w:r>
          </w:p>
        </w:tc>
        <w:tc>
          <w:tcPr>
            <w:tcW w:w="6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24001</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9.4</w:t>
            </w:r>
          </w:p>
        </w:tc>
        <w:tc>
          <w:tcPr>
            <w:tcW w:w="61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6895</w:t>
            </w: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2.7</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r>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33117</w:t>
            </w:r>
          </w:p>
        </w:tc>
        <w:tc>
          <w:tcPr>
            <w:tcW w:w="59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71.6</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5934</w:t>
            </w:r>
          </w:p>
        </w:tc>
        <w:tc>
          <w:tcPr>
            <w:tcW w:w="68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12.8</w:t>
            </w:r>
          </w:p>
        </w:tc>
        <w:tc>
          <w:tcPr>
            <w:tcW w:w="6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4906</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10.6</w:t>
            </w:r>
          </w:p>
        </w:tc>
        <w:tc>
          <w:tcPr>
            <w:tcW w:w="61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2325</w:t>
            </w:r>
          </w:p>
        </w:tc>
        <w:tc>
          <w:tcPr>
            <w:tcW w:w="57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5.0</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46282</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26101</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72.4</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2179</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6.0</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5662</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15.7</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2113</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5.9</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36055</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10444</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81.6</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1005</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7.9</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1193</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9.3</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160</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12802</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83924</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92.9</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1963</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4186</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228</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0.3</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90301</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26775</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76.4</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3735</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10.7</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3586</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10.2</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965</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35061</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13352</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72.1</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1673</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9.0</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2844</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15.3</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659</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18528</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11050</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69.0</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2905</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18.1</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1624</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10.1</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445</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16024</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204763</w:t>
            </w:r>
          </w:p>
        </w:tc>
        <w:tc>
          <w:tcPr>
            <w:tcW w:w="59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80.3</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19394</w:t>
            </w:r>
          </w:p>
        </w:tc>
        <w:tc>
          <w:tcPr>
            <w:tcW w:w="6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7.6</w:t>
            </w:r>
          </w:p>
        </w:tc>
        <w:tc>
          <w:tcPr>
            <w:tcW w:w="69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24001</w:t>
            </w:r>
          </w:p>
        </w:tc>
        <w:tc>
          <w:tcPr>
            <w:tcW w:w="69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9.4</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6895</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2.7</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bl>
    <w:p>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pPr>
        <w:spacing w:line="360" w:lineRule="auto"/>
        <w:jc w:val="right"/>
        <w:rPr>
          <w:bCs/>
          <w:sz w:val="18"/>
          <w:szCs w:val="18"/>
        </w:rPr>
      </w:pPr>
      <w:r>
        <w:rPr>
          <w:rFonts w:hAnsi="宋体"/>
          <w:b/>
          <w:kern w:val="0"/>
          <w:sz w:val="24"/>
        </w:rPr>
        <w:t>表6.</w:t>
      </w:r>
      <w:r>
        <w:rPr>
          <w:rFonts w:hint="eastAsia" w:hAnsi="宋体"/>
          <w:b/>
          <w:kern w:val="0"/>
          <w:sz w:val="24"/>
        </w:rPr>
        <w:t>2.2-</w:t>
      </w:r>
      <w:r>
        <w:rPr>
          <w:rFonts w:hAnsi="宋体"/>
          <w:b/>
          <w:kern w:val="0"/>
          <w:sz w:val="24"/>
        </w:rPr>
        <w:t>2  六安市</w:t>
      </w:r>
      <w:r>
        <w:rPr>
          <w:rFonts w:hint="eastAsia" w:hAnsi="宋体"/>
          <w:b/>
          <w:kern w:val="0"/>
          <w:sz w:val="24"/>
        </w:rPr>
        <w:t>规划2</w:t>
      </w:r>
      <w:r>
        <w:rPr>
          <w:rFonts w:hAnsi="宋体"/>
          <w:b/>
          <w:kern w:val="0"/>
          <w:sz w:val="24"/>
        </w:rPr>
        <w:t>025年分行业水量配置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76"/>
        <w:gridCol w:w="728"/>
        <w:gridCol w:w="1007"/>
        <w:gridCol w:w="802"/>
        <w:gridCol w:w="599"/>
        <w:gridCol w:w="683"/>
        <w:gridCol w:w="695"/>
        <w:gridCol w:w="778"/>
        <w:gridCol w:w="807"/>
        <w:gridCol w:w="717"/>
        <w:gridCol w:w="621"/>
        <w:gridCol w:w="820"/>
      </w:tblGrid>
      <w:tr>
        <w:tblPrEx>
          <w:tblCellMar>
            <w:top w:w="0" w:type="dxa"/>
            <w:left w:w="108" w:type="dxa"/>
            <w:bottom w:w="0" w:type="dxa"/>
            <w:right w:w="108" w:type="dxa"/>
          </w:tblCellMar>
        </w:tblPrEx>
        <w:trPr>
          <w:trHeight w:val="340" w:hRule="atLeast"/>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5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3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7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340"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27959</w:t>
            </w:r>
          </w:p>
        </w:tc>
        <w:tc>
          <w:tcPr>
            <w:tcW w:w="5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73.6</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5212</w:t>
            </w:r>
          </w:p>
        </w:tc>
        <w:tc>
          <w:tcPr>
            <w:tcW w:w="67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13.7</w:t>
            </w:r>
          </w:p>
        </w:tc>
        <w:tc>
          <w:tcPr>
            <w:tcW w:w="75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4297</w:t>
            </w:r>
          </w:p>
        </w:tc>
        <w:tc>
          <w:tcPr>
            <w:tcW w:w="78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11.3</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495</w:t>
            </w:r>
          </w:p>
        </w:tc>
        <w:tc>
          <w:tcPr>
            <w:tcW w:w="60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37963</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9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130739</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79.6</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11100</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6.8</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16332</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9.9</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6072</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164243</w:t>
            </w:r>
          </w:p>
        </w:tc>
      </w:tr>
      <w:tr>
        <w:tblPrEx>
          <w:tblCellMar>
            <w:top w:w="0" w:type="dxa"/>
            <w:left w:w="108" w:type="dxa"/>
            <w:bottom w:w="0" w:type="dxa"/>
            <w:right w:w="108" w:type="dxa"/>
          </w:tblCellMar>
        </w:tblPrEx>
        <w:trPr>
          <w:trHeight w:val="34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98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42580</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78.9</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4477</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8.3</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5819</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10.8</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1083</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53959</w:t>
            </w:r>
          </w:p>
        </w:tc>
      </w:tr>
      <w:tr>
        <w:tblPrEx>
          <w:tblCellMar>
            <w:top w:w="0" w:type="dxa"/>
            <w:left w:w="108" w:type="dxa"/>
            <w:bottom w:w="0" w:type="dxa"/>
            <w:right w:w="108" w:type="dxa"/>
          </w:tblCellMar>
        </w:tblPrEx>
        <w:trPr>
          <w:trHeight w:val="340" w:hRule="atLeast"/>
          <w:jc w:val="center"/>
        </w:trPr>
        <w:tc>
          <w:tcPr>
            <w:tcW w:w="2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201278</w:t>
            </w:r>
          </w:p>
        </w:tc>
        <w:tc>
          <w:tcPr>
            <w:tcW w:w="5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78.6</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20789</w:t>
            </w:r>
          </w:p>
        </w:tc>
        <w:tc>
          <w:tcPr>
            <w:tcW w:w="67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8.1</w:t>
            </w:r>
          </w:p>
        </w:tc>
        <w:tc>
          <w:tcPr>
            <w:tcW w:w="75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26448</w:t>
            </w:r>
          </w:p>
        </w:tc>
        <w:tc>
          <w:tcPr>
            <w:tcW w:w="78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10.3</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7650</w:t>
            </w:r>
          </w:p>
        </w:tc>
        <w:tc>
          <w:tcPr>
            <w:tcW w:w="60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3.0</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r>
        <w:tblPrEx>
          <w:tblCellMar>
            <w:top w:w="0" w:type="dxa"/>
            <w:left w:w="108" w:type="dxa"/>
            <w:bottom w:w="0" w:type="dxa"/>
            <w:right w:w="108" w:type="dxa"/>
          </w:tblCellMar>
        </w:tblPrEx>
        <w:trPr>
          <w:trHeight w:val="340" w:hRule="atLeast"/>
          <w:jc w:val="center"/>
        </w:trPr>
        <w:tc>
          <w:tcPr>
            <w:tcW w:w="56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34143</w:t>
            </w:r>
          </w:p>
        </w:tc>
        <w:tc>
          <w:tcPr>
            <w:tcW w:w="5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75.0</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3091</w:t>
            </w:r>
          </w:p>
        </w:tc>
        <w:tc>
          <w:tcPr>
            <w:tcW w:w="67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6.8</w:t>
            </w:r>
          </w:p>
        </w:tc>
        <w:tc>
          <w:tcPr>
            <w:tcW w:w="75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5612</w:t>
            </w:r>
          </w:p>
        </w:tc>
        <w:tc>
          <w:tcPr>
            <w:tcW w:w="78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12.3</w:t>
            </w:r>
          </w:p>
        </w:tc>
        <w:tc>
          <w:tcPr>
            <w:tcW w:w="69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2648</w:t>
            </w:r>
          </w:p>
        </w:tc>
        <w:tc>
          <w:tcPr>
            <w:tcW w:w="60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5.8</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45494</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25880</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70.3</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2624</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7.1</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6068</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16.5</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2235</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6.1</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36807</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11245</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80.2</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1212</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8.6</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1374</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9.8</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192</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14023</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75782</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89.8</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3346</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4.0</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5001</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5.9</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274</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0.3</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84403</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28923</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75.9</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4201</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11.0</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3899</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10.2</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1083</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38106</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14291</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72.3</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2015</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10.2</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2748</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13.9</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723</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19777</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11014</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62.7</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4300</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24.5</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1746</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9.9</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495</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17555</w:t>
            </w:r>
          </w:p>
        </w:tc>
      </w:tr>
      <w:tr>
        <w:tblPrEx>
          <w:tblCellMar>
            <w:top w:w="0" w:type="dxa"/>
            <w:left w:w="108" w:type="dxa"/>
            <w:bottom w:w="0" w:type="dxa"/>
            <w:right w:w="108" w:type="dxa"/>
          </w:tblCellMar>
        </w:tblPrEx>
        <w:trPr>
          <w:trHeight w:val="340"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6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201278</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78.6</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20789</w:t>
            </w:r>
          </w:p>
        </w:tc>
        <w:tc>
          <w:tcPr>
            <w:tcW w:w="67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8.1</w:t>
            </w:r>
          </w:p>
        </w:tc>
        <w:tc>
          <w:tcPr>
            <w:tcW w:w="75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26448</w:t>
            </w:r>
          </w:p>
        </w:tc>
        <w:tc>
          <w:tcPr>
            <w:tcW w:w="78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10.3</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7650</w:t>
            </w:r>
          </w:p>
        </w:tc>
        <w:tc>
          <w:tcPr>
            <w:tcW w:w="60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3.0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bl>
    <w:p>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pPr>
        <w:spacing w:line="360" w:lineRule="auto"/>
        <w:jc w:val="right"/>
        <w:rPr>
          <w:bCs/>
          <w:sz w:val="18"/>
          <w:szCs w:val="18"/>
        </w:rPr>
      </w:pPr>
      <w:r>
        <w:rPr>
          <w:rFonts w:hAnsi="宋体"/>
          <w:b/>
          <w:kern w:val="0"/>
          <w:sz w:val="24"/>
        </w:rPr>
        <w:t>表6.</w:t>
      </w:r>
      <w:r>
        <w:rPr>
          <w:rFonts w:hint="eastAsia" w:hAnsi="宋体"/>
          <w:b/>
          <w:kern w:val="0"/>
          <w:sz w:val="24"/>
        </w:rPr>
        <w:t>2.2-</w:t>
      </w:r>
      <w:r>
        <w:rPr>
          <w:rFonts w:hAnsi="宋体"/>
          <w:b/>
          <w:kern w:val="0"/>
          <w:sz w:val="24"/>
        </w:rPr>
        <w:t>3  六安市</w:t>
      </w:r>
      <w:r>
        <w:rPr>
          <w:rFonts w:hint="eastAsia" w:hAnsi="宋体"/>
          <w:b/>
          <w:kern w:val="0"/>
          <w:sz w:val="24"/>
        </w:rPr>
        <w:t>规划2</w:t>
      </w:r>
      <w:r>
        <w:rPr>
          <w:rFonts w:hAnsi="宋体"/>
          <w:b/>
          <w:kern w:val="0"/>
          <w:sz w:val="24"/>
        </w:rPr>
        <w:t>030年分行业水量配置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rFonts w:ascii="宋体" w:hAnsi="宋体"/>
          <w:kern w:val="0"/>
          <w:sz w:val="18"/>
        </w:rPr>
        <w:t>水量单位：</w:t>
      </w:r>
      <w:r>
        <w:rPr>
          <w:rFonts w:hint="eastAsia" w:ascii="宋体" w:hAnsi="宋体"/>
          <w:kern w:val="0"/>
          <w:sz w:val="18"/>
        </w:rPr>
        <w:t>万</w:t>
      </w:r>
      <w:r>
        <w:rPr>
          <w:rFonts w:ascii="宋体" w:hAnsi="宋体"/>
          <w:kern w:val="0"/>
          <w:sz w:val="18"/>
        </w:rPr>
        <w:t>m</w:t>
      </w:r>
      <w:r>
        <w:rPr>
          <w:rFonts w:ascii="宋体" w:hAnsi="宋体"/>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565"/>
        <w:gridCol w:w="721"/>
        <w:gridCol w:w="1032"/>
        <w:gridCol w:w="805"/>
        <w:gridCol w:w="603"/>
        <w:gridCol w:w="719"/>
        <w:gridCol w:w="691"/>
        <w:gridCol w:w="683"/>
        <w:gridCol w:w="720"/>
        <w:gridCol w:w="726"/>
        <w:gridCol w:w="585"/>
        <w:gridCol w:w="983"/>
      </w:tblGrid>
      <w:tr>
        <w:tblPrEx>
          <w:tblCellMar>
            <w:top w:w="0" w:type="dxa"/>
            <w:left w:w="108" w:type="dxa"/>
            <w:bottom w:w="0" w:type="dxa"/>
            <w:right w:w="108" w:type="dxa"/>
          </w:tblCellMar>
        </w:tblPrEx>
        <w:trPr>
          <w:trHeight w:val="340" w:hRule="atLeast"/>
          <w:jc w:val="center"/>
        </w:trPr>
        <w:tc>
          <w:tcPr>
            <w:tcW w:w="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7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0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3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3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生活</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生态</w:t>
            </w:r>
          </w:p>
        </w:tc>
        <w:tc>
          <w:tcPr>
            <w:tcW w:w="9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340" w:hRule="atLeast"/>
          <w:jc w:val="center"/>
        </w:trPr>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配置水量</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atLeast"/>
          <w:jc w:val="center"/>
        </w:trPr>
        <w:tc>
          <w:tcPr>
            <w:tcW w:w="5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0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27774</w:t>
            </w: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71.3</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5716</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14.7</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4924</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12.6</w:t>
            </w:r>
          </w:p>
        </w:tc>
        <w:tc>
          <w:tcPr>
            <w:tcW w:w="7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555</w:t>
            </w:r>
          </w:p>
        </w:tc>
        <w:tc>
          <w:tcPr>
            <w:tcW w:w="56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38969</w:t>
            </w:r>
          </w:p>
        </w:tc>
      </w:tr>
      <w:tr>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70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00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127029</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77.1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12157</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7.4</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18875</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11.5</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6597</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4.0</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164658</w:t>
            </w:r>
          </w:p>
        </w:tc>
      </w:tr>
      <w:tr>
        <w:tblPrEx>
          <w:tblCellMar>
            <w:top w:w="0" w:type="dxa"/>
            <w:left w:w="108" w:type="dxa"/>
            <w:bottom w:w="0" w:type="dxa"/>
            <w:right w:w="108" w:type="dxa"/>
          </w:tblCellMar>
        </w:tblPrEx>
        <w:trPr>
          <w:trHeight w:val="340" w:hRule="atLeast"/>
          <w:jc w:val="center"/>
        </w:trPr>
        <w:tc>
          <w:tcPr>
            <w:tcW w:w="55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70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00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40542</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76.0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4904</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9.2</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6687</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12.5</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1225</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2.3</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53358</w:t>
            </w:r>
          </w:p>
        </w:tc>
      </w:tr>
      <w:tr>
        <w:tblPrEx>
          <w:tblCellMar>
            <w:top w:w="0" w:type="dxa"/>
            <w:left w:w="108" w:type="dxa"/>
            <w:bottom w:w="0" w:type="dxa"/>
            <w:right w:w="108" w:type="dxa"/>
          </w:tblCellMar>
        </w:tblPrEx>
        <w:trPr>
          <w:trHeight w:val="340" w:hRule="atLeast"/>
          <w:jc w:val="center"/>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195345</w:t>
            </w: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76.0</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22777</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8.9</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30486</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11.9</w:t>
            </w:r>
          </w:p>
        </w:tc>
        <w:tc>
          <w:tcPr>
            <w:tcW w:w="7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8377</w:t>
            </w:r>
          </w:p>
        </w:tc>
        <w:tc>
          <w:tcPr>
            <w:tcW w:w="56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3.3</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r>
        <w:tblPrEx>
          <w:tblCellMar>
            <w:top w:w="0" w:type="dxa"/>
            <w:left w:w="108" w:type="dxa"/>
            <w:bottom w:w="0" w:type="dxa"/>
            <w:right w:w="108" w:type="dxa"/>
          </w:tblCellMar>
        </w:tblPrEx>
        <w:trPr>
          <w:trHeight w:val="340" w:hRule="atLeast"/>
          <w:jc w:val="center"/>
        </w:trPr>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33143</w:t>
            </w:r>
          </w:p>
        </w:tc>
        <w:tc>
          <w:tcPr>
            <w:tcW w:w="58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72.5</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3387</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7.4</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6325</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13.8</w:t>
            </w:r>
          </w:p>
        </w:tc>
        <w:tc>
          <w:tcPr>
            <w:tcW w:w="7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2856</w:t>
            </w:r>
          </w:p>
        </w:tc>
        <w:tc>
          <w:tcPr>
            <w:tcW w:w="56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6.2</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45711</w:t>
            </w:r>
          </w:p>
        </w:tc>
      </w:tr>
      <w:tr>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25241</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67.1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2876</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7.7</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7092</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18.9</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2382</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6.3</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37591</w:t>
            </w:r>
          </w:p>
        </w:tc>
      </w:tr>
      <w:tr>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10900</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77.8</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1327</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9.5</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1559</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11.1</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230</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14016</w:t>
            </w:r>
          </w:p>
        </w:tc>
      </w:tr>
      <w:tr>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73653</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88.3</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3667</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4.4</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5771</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6.9</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329</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0.4</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83420</w:t>
            </w:r>
          </w:p>
        </w:tc>
      </w:tr>
      <w:tr>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27318</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72.5</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4603</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12.2</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4534</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12.0</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1225</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37680</w:t>
            </w:r>
          </w:p>
        </w:tc>
      </w:tr>
      <w:tr>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14208</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69.6</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2207</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10.8</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3208</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15.7</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800</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3.9</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20423</w:t>
            </w:r>
          </w:p>
        </w:tc>
      </w:tr>
      <w:tr>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10882</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60.0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4710</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26.0</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1997</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11.0</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555</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3.1</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18144</w:t>
            </w:r>
          </w:p>
        </w:tc>
      </w:tr>
      <w:tr>
        <w:tblPrEx>
          <w:tblCellMar>
            <w:top w:w="0" w:type="dxa"/>
            <w:left w:w="108" w:type="dxa"/>
            <w:bottom w:w="0" w:type="dxa"/>
            <w:right w:w="108" w:type="dxa"/>
          </w:tblCellMar>
        </w:tblPrEx>
        <w:trPr>
          <w:trHeight w:val="340" w:hRule="atLeast"/>
          <w:jc w:val="center"/>
        </w:trPr>
        <w:tc>
          <w:tcPr>
            <w:tcW w:w="55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78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195345</w:t>
            </w:r>
          </w:p>
        </w:tc>
        <w:tc>
          <w:tcPr>
            <w:tcW w:w="5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76.0</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22777</w:t>
            </w:r>
          </w:p>
        </w:tc>
        <w:tc>
          <w:tcPr>
            <w:tcW w:w="67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8.9</w:t>
            </w:r>
          </w:p>
        </w:tc>
        <w:tc>
          <w:tcPr>
            <w:tcW w:w="6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30486</w:t>
            </w:r>
          </w:p>
        </w:tc>
        <w:tc>
          <w:tcPr>
            <w:tcW w:w="7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11.9</w:t>
            </w:r>
          </w:p>
        </w:tc>
        <w:tc>
          <w:tcPr>
            <w:tcW w:w="7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8377</w:t>
            </w:r>
          </w:p>
        </w:tc>
        <w:tc>
          <w:tcPr>
            <w:tcW w:w="56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3.3</w:t>
            </w:r>
          </w:p>
        </w:tc>
        <w:tc>
          <w:tcPr>
            <w:tcW w:w="95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bl>
    <w:p>
      <w:pPr>
        <w:adjustRightInd w:val="0"/>
        <w:snapToGrid w:val="0"/>
        <w:spacing w:line="360" w:lineRule="auto"/>
        <w:ind w:firstLine="360" w:firstLineChars="200"/>
        <w:rPr>
          <w:sz w:val="18"/>
          <w:szCs w:val="18"/>
        </w:rPr>
      </w:pPr>
      <w:r>
        <w:rPr>
          <w:sz w:val="18"/>
          <w:szCs w:val="18"/>
        </w:rPr>
        <w:t>注：配置水量为多年平均成果</w:t>
      </w:r>
      <w:r>
        <w:rPr>
          <w:rFonts w:hint="eastAsia"/>
          <w:sz w:val="18"/>
          <w:szCs w:val="18"/>
        </w:rPr>
        <w:t>。</w:t>
      </w:r>
    </w:p>
    <w:p>
      <w:pPr>
        <w:adjustRightInd w:val="0"/>
        <w:snapToGrid w:val="0"/>
        <w:spacing w:line="360" w:lineRule="auto"/>
        <w:rPr>
          <w:b/>
          <w:sz w:val="24"/>
        </w:rPr>
      </w:pPr>
      <w:r>
        <w:rPr>
          <w:rFonts w:hint="eastAsia"/>
          <w:b/>
          <w:sz w:val="24"/>
        </w:rPr>
        <w:t>2、规划水平年六安市及各县区行业水量配置</w:t>
      </w:r>
    </w:p>
    <w:p>
      <w:pPr>
        <w:spacing w:line="360" w:lineRule="auto"/>
        <w:ind w:firstLine="480" w:firstLineChars="200"/>
        <w:rPr>
          <w:sz w:val="24"/>
        </w:rPr>
      </w:pPr>
      <w:r>
        <w:rPr>
          <w:rFonts w:hint="eastAsia"/>
          <w:sz w:val="24"/>
        </w:rPr>
        <w:t>（1）水量分配说明</w:t>
      </w:r>
    </w:p>
    <w:p>
      <w:pPr>
        <w:spacing w:line="360" w:lineRule="auto"/>
        <w:ind w:firstLine="480" w:firstLineChars="200"/>
        <w:rPr>
          <w:sz w:val="24"/>
        </w:rPr>
      </w:pPr>
      <w:r>
        <w:rPr>
          <w:rFonts w:hint="eastAsia"/>
          <w:sz w:val="24"/>
        </w:rPr>
        <w:t>根据2</w:t>
      </w:r>
      <w:r>
        <w:rPr>
          <w:sz w:val="24"/>
        </w:rPr>
        <w:t>011</w:t>
      </w:r>
      <w:r>
        <w:rPr>
          <w:rFonts w:hint="eastAsia"/>
          <w:sz w:val="24"/>
        </w:rPr>
        <w:t>版规划中的六安市的水量分配成果，结合六安市“十四五”用水总量控制指标，对各县区规划水平年20</w:t>
      </w:r>
      <w:r>
        <w:rPr>
          <w:sz w:val="24"/>
        </w:rPr>
        <w:t>2</w:t>
      </w:r>
      <w:r>
        <w:rPr>
          <w:rFonts w:hint="eastAsia"/>
          <w:sz w:val="24"/>
        </w:rPr>
        <w:t>5年和2030年的水量进行配置，结果见表6.2.2-</w:t>
      </w:r>
      <w:r>
        <w:rPr>
          <w:sz w:val="24"/>
        </w:rPr>
        <w:t>4～</w:t>
      </w:r>
      <w:r>
        <w:rPr>
          <w:rFonts w:hint="eastAsia"/>
          <w:sz w:val="24"/>
        </w:rPr>
        <w:t>6.2.2-</w:t>
      </w:r>
      <w:r>
        <w:rPr>
          <w:sz w:val="24"/>
        </w:rPr>
        <w:t>5</w:t>
      </w:r>
      <w:r>
        <w:rPr>
          <w:rFonts w:hint="eastAsia"/>
          <w:sz w:val="24"/>
        </w:rPr>
        <w:t>。</w:t>
      </w:r>
    </w:p>
    <w:p>
      <w:pPr>
        <w:spacing w:line="360" w:lineRule="auto"/>
        <w:ind w:firstLine="480" w:firstLineChars="200"/>
        <w:rPr>
          <w:sz w:val="24"/>
        </w:rPr>
      </w:pPr>
      <w:r>
        <w:rPr>
          <w:rFonts w:hint="eastAsia"/>
          <w:sz w:val="24"/>
        </w:rPr>
        <w:t>安徽省对六安市下达的20</w:t>
      </w:r>
      <w:r>
        <w:rPr>
          <w:sz w:val="24"/>
        </w:rPr>
        <w:t>2</w:t>
      </w:r>
      <w:r>
        <w:rPr>
          <w:rFonts w:hint="eastAsia"/>
          <w:sz w:val="24"/>
        </w:rPr>
        <w:t>5年用水总量控制指标为</w:t>
      </w:r>
      <w:r>
        <w:rPr>
          <w:sz w:val="24"/>
        </w:rPr>
        <w:t>25.23</w:t>
      </w:r>
      <w:r>
        <w:rPr>
          <w:rFonts w:hint="eastAsia"/>
          <w:sz w:val="24"/>
        </w:rPr>
        <w:t>亿m</w:t>
      </w:r>
      <w:r>
        <w:rPr>
          <w:rFonts w:hint="eastAsia"/>
          <w:sz w:val="24"/>
          <w:vertAlign w:val="superscript"/>
        </w:rPr>
        <w:t>3</w:t>
      </w:r>
      <w:r>
        <w:rPr>
          <w:rFonts w:hint="eastAsia"/>
          <w:sz w:val="24"/>
        </w:rPr>
        <w:t>。经上述需水和可供水量计算，六安市2</w:t>
      </w:r>
      <w:r>
        <w:rPr>
          <w:sz w:val="24"/>
        </w:rPr>
        <w:t>025</w:t>
      </w:r>
      <w:r>
        <w:rPr>
          <w:rFonts w:hint="eastAsia"/>
          <w:sz w:val="24"/>
        </w:rPr>
        <w:t>年需水总量为</w:t>
      </w:r>
      <w:r>
        <w:rPr>
          <w:sz w:val="24"/>
        </w:rPr>
        <w:t>25.81</w:t>
      </w:r>
      <w:r>
        <w:rPr>
          <w:rFonts w:hint="eastAsia"/>
          <w:sz w:val="24"/>
        </w:rPr>
        <w:t>亿m</w:t>
      </w:r>
      <w:r>
        <w:rPr>
          <w:rFonts w:hint="eastAsia"/>
          <w:sz w:val="24"/>
          <w:vertAlign w:val="superscript"/>
        </w:rPr>
        <w:t>3</w:t>
      </w:r>
      <w:r>
        <w:rPr>
          <w:rFonts w:hint="eastAsia"/>
          <w:sz w:val="24"/>
        </w:rPr>
        <w:t>，可供水量为</w:t>
      </w:r>
      <w:r>
        <w:rPr>
          <w:sz w:val="24"/>
        </w:rPr>
        <w:t>25.62</w:t>
      </w:r>
      <w:r>
        <w:rPr>
          <w:rFonts w:hint="eastAsia"/>
          <w:sz w:val="24"/>
        </w:rPr>
        <w:t>亿m</w:t>
      </w:r>
      <w:r>
        <w:rPr>
          <w:rFonts w:hint="eastAsia"/>
          <w:sz w:val="24"/>
          <w:vertAlign w:val="superscript"/>
        </w:rPr>
        <w:t>3</w:t>
      </w:r>
      <w:r>
        <w:rPr>
          <w:rFonts w:hint="eastAsia"/>
          <w:sz w:val="24"/>
        </w:rPr>
        <w:t>，缺水率为</w:t>
      </w:r>
      <w:r>
        <w:rPr>
          <w:sz w:val="24"/>
        </w:rPr>
        <w:t>0.7</w:t>
      </w:r>
      <w:r>
        <w:rPr>
          <w:rFonts w:hint="eastAsia"/>
          <w:sz w:val="24"/>
        </w:rPr>
        <w:t>%。本次水量分配中实际分配水量为</w:t>
      </w:r>
      <w:r>
        <w:rPr>
          <w:sz w:val="24"/>
        </w:rPr>
        <w:t>25.62</w:t>
      </w:r>
      <w:r>
        <w:rPr>
          <w:rFonts w:hint="eastAsia"/>
          <w:sz w:val="24"/>
        </w:rPr>
        <w:t>亿m</w:t>
      </w:r>
      <w:r>
        <w:rPr>
          <w:rFonts w:hint="eastAsia"/>
          <w:sz w:val="24"/>
          <w:vertAlign w:val="superscript"/>
        </w:rPr>
        <w:t>3</w:t>
      </w:r>
      <w:r>
        <w:rPr>
          <w:rFonts w:hint="eastAsia"/>
          <w:sz w:val="24"/>
        </w:rPr>
        <w:t>（含非常规水源配置水量，与考核水量不同）。为保证规划水平年的生活和工业用水，在本次水量分配中优先满足生活和工业用水的需求，故缺水量主要体现在农业用水量上。</w:t>
      </w:r>
    </w:p>
    <w:p>
      <w:pPr>
        <w:adjustRightInd w:val="0"/>
        <w:snapToGrid w:val="0"/>
        <w:spacing w:line="360" w:lineRule="auto"/>
        <w:ind w:firstLine="480" w:firstLineChars="200"/>
        <w:rPr>
          <w:sz w:val="24"/>
        </w:rPr>
      </w:pPr>
      <w:r>
        <w:rPr>
          <w:rFonts w:hint="eastAsia"/>
          <w:sz w:val="24"/>
        </w:rPr>
        <w:t>（2）生活和工业用水量配置</w:t>
      </w:r>
    </w:p>
    <w:p>
      <w:pPr>
        <w:adjustRightInd w:val="0"/>
        <w:snapToGrid w:val="0"/>
        <w:spacing w:line="360" w:lineRule="auto"/>
        <w:ind w:firstLine="480" w:firstLineChars="200"/>
        <w:rPr>
          <w:sz w:val="24"/>
        </w:rPr>
      </w:pPr>
      <w:r>
        <w:rPr>
          <w:rFonts w:hint="eastAsia"/>
          <w:sz w:val="24"/>
        </w:rPr>
        <w:t>因在水量分配中优先满足生活用水和工业用水的需求，故规划水平年生活和工业配置水量与其需水量一致，不考虑缺水率。六安市及各县区规划水平年202</w:t>
      </w:r>
      <w:r>
        <w:rPr>
          <w:sz w:val="24"/>
        </w:rPr>
        <w:t>5</w:t>
      </w:r>
      <w:r>
        <w:rPr>
          <w:rFonts w:hint="eastAsia"/>
          <w:sz w:val="24"/>
        </w:rPr>
        <w:t>年和2030年生活和工业用水量配置见表6.2.2-</w:t>
      </w:r>
      <w:r>
        <w:rPr>
          <w:sz w:val="24"/>
        </w:rPr>
        <w:t>6</w:t>
      </w:r>
      <w:r>
        <w:rPr>
          <w:rFonts w:hint="eastAsia"/>
          <w:sz w:val="24"/>
        </w:rPr>
        <w:t>和6.2.2-</w:t>
      </w:r>
      <w:r>
        <w:rPr>
          <w:sz w:val="24"/>
        </w:rPr>
        <w:t>7</w:t>
      </w:r>
      <w:r>
        <w:rPr>
          <w:rFonts w:hint="eastAsia"/>
          <w:sz w:val="24"/>
        </w:rPr>
        <w:t>。</w:t>
      </w:r>
    </w:p>
    <w:p>
      <w:pPr>
        <w:adjustRightInd w:val="0"/>
        <w:snapToGrid w:val="0"/>
        <w:spacing w:line="360" w:lineRule="auto"/>
        <w:ind w:firstLine="480" w:firstLineChars="200"/>
        <w:rPr>
          <w:sz w:val="24"/>
        </w:rPr>
      </w:pPr>
    </w:p>
    <w:p>
      <w:pPr>
        <w:spacing w:line="360" w:lineRule="auto"/>
        <w:jc w:val="right"/>
        <w:rPr>
          <w:b/>
          <w:sz w:val="24"/>
        </w:rPr>
      </w:pPr>
      <w:r>
        <w:rPr>
          <w:rFonts w:hint="eastAsia"/>
          <w:b/>
          <w:sz w:val="24"/>
        </w:rPr>
        <w:t>表6.2.2-</w:t>
      </w:r>
      <w:r>
        <w:rPr>
          <w:b/>
          <w:sz w:val="24"/>
        </w:rPr>
        <w:t>4</w:t>
      </w:r>
      <w:r>
        <w:rPr>
          <w:rFonts w:hint="eastAsia"/>
          <w:b/>
          <w:sz w:val="24"/>
        </w:rPr>
        <w:t xml:space="preserve">  六安市各县区规划水平年202</w:t>
      </w:r>
      <w:r>
        <w:rPr>
          <w:b/>
          <w:sz w:val="24"/>
        </w:rPr>
        <w:t>5</w:t>
      </w:r>
      <w:r>
        <w:rPr>
          <w:rFonts w:hint="eastAsia"/>
          <w:b/>
          <w:sz w:val="24"/>
        </w:rPr>
        <w:t xml:space="preserve">年用水总量配置    </w:t>
      </w:r>
      <w:r>
        <w:rPr>
          <w:rFonts w:hint="eastAsia"/>
          <w:b/>
          <w:sz w:val="18"/>
          <w:szCs w:val="18"/>
        </w:rPr>
        <w:t>单位：万m</w:t>
      </w:r>
      <w:r>
        <w:rPr>
          <w:rFonts w:hint="eastAsia"/>
          <w:b/>
          <w:sz w:val="18"/>
          <w:szCs w:val="18"/>
          <w:vertAlign w:val="superscript"/>
        </w:rPr>
        <w:t>3</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45"/>
        <w:gridCol w:w="1446"/>
        <w:gridCol w:w="144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县区</w:t>
            </w:r>
          </w:p>
        </w:tc>
        <w:tc>
          <w:tcPr>
            <w:tcW w:w="1408"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int="eastAsia" w:hAnsi="宋体"/>
                <w:sz w:val="18"/>
                <w:szCs w:val="18"/>
              </w:rPr>
              <w:t>农业</w:t>
            </w:r>
            <w:r>
              <w:rPr>
                <w:rFonts w:hAnsi="宋体"/>
                <w:sz w:val="18"/>
                <w:szCs w:val="18"/>
              </w:rPr>
              <w:t>用水量</w:t>
            </w:r>
          </w:p>
        </w:tc>
        <w:tc>
          <w:tcPr>
            <w:tcW w:w="1409"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工业用水量</w:t>
            </w:r>
          </w:p>
        </w:tc>
        <w:tc>
          <w:tcPr>
            <w:tcW w:w="1409"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int="eastAsia" w:hAnsi="宋体"/>
                <w:sz w:val="18"/>
                <w:szCs w:val="18"/>
              </w:rPr>
              <w:t>生活</w:t>
            </w:r>
            <w:r>
              <w:rPr>
                <w:rFonts w:hAnsi="宋体"/>
                <w:sz w:val="18"/>
                <w:szCs w:val="18"/>
              </w:rPr>
              <w:t>用水量</w:t>
            </w:r>
          </w:p>
        </w:tc>
        <w:tc>
          <w:tcPr>
            <w:tcW w:w="1409"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生态用水量</w:t>
            </w:r>
          </w:p>
        </w:tc>
        <w:tc>
          <w:tcPr>
            <w:tcW w:w="1409"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用水总量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金安区</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34143</w:t>
            </w:r>
          </w:p>
        </w:tc>
        <w:tc>
          <w:tcPr>
            <w:tcW w:w="140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3091</w:t>
            </w:r>
          </w:p>
        </w:tc>
        <w:tc>
          <w:tcPr>
            <w:tcW w:w="140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5612</w:t>
            </w:r>
          </w:p>
        </w:tc>
        <w:tc>
          <w:tcPr>
            <w:tcW w:w="140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2648</w:t>
            </w:r>
          </w:p>
        </w:tc>
        <w:tc>
          <w:tcPr>
            <w:tcW w:w="140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裕安区</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25880</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2624</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6068</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2235</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36807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int="eastAsia" w:hAnsi="宋体"/>
                <w:sz w:val="18"/>
                <w:szCs w:val="18"/>
              </w:rPr>
              <w:t>叶集区</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11245</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1212</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1374</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192</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霍邱县</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75782</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3346</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5001</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274</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84403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舒城县</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28923</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4201</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3899</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1083</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38106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金寨县</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14291</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2015</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2748</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723</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sz w:val="18"/>
                <w:szCs w:val="18"/>
              </w:rPr>
            </w:pPr>
            <w:r>
              <w:rPr>
                <w:rFonts w:hAnsi="宋体"/>
                <w:sz w:val="18"/>
                <w:szCs w:val="18"/>
              </w:rPr>
              <w:t>霍山县</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11014</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4300</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1746</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495</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exact"/>
              <w:jc w:val="center"/>
              <w:rPr>
                <w:b/>
                <w:sz w:val="18"/>
                <w:szCs w:val="18"/>
              </w:rPr>
            </w:pPr>
            <w:r>
              <w:rPr>
                <w:rFonts w:hAnsi="宋体"/>
                <w:b/>
                <w:sz w:val="18"/>
                <w:szCs w:val="18"/>
              </w:rPr>
              <w:t>全市合计</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201278</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20789</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26448</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7650</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256165</w:t>
            </w:r>
          </w:p>
        </w:tc>
      </w:tr>
    </w:tbl>
    <w:p>
      <w:pPr>
        <w:jc w:val="right"/>
        <w:rPr>
          <w:b/>
          <w:sz w:val="24"/>
        </w:rPr>
      </w:pPr>
    </w:p>
    <w:p>
      <w:pPr>
        <w:spacing w:line="360" w:lineRule="auto"/>
        <w:jc w:val="right"/>
        <w:rPr>
          <w:b/>
          <w:sz w:val="24"/>
        </w:rPr>
      </w:pPr>
      <w:r>
        <w:rPr>
          <w:rFonts w:hint="eastAsia"/>
          <w:b/>
          <w:sz w:val="24"/>
        </w:rPr>
        <w:t>表6.2.2-</w:t>
      </w:r>
      <w:r>
        <w:rPr>
          <w:b/>
          <w:sz w:val="24"/>
        </w:rPr>
        <w:t>5</w:t>
      </w:r>
      <w:r>
        <w:rPr>
          <w:rFonts w:hint="eastAsia"/>
          <w:b/>
          <w:sz w:val="24"/>
        </w:rPr>
        <w:t xml:space="preserve">  六安市各县区规划水平年2030年用水总量配置    </w:t>
      </w:r>
      <w:r>
        <w:rPr>
          <w:rFonts w:hint="eastAsia"/>
          <w:b/>
          <w:sz w:val="18"/>
          <w:szCs w:val="18"/>
        </w:rPr>
        <w:t>单位：万m</w:t>
      </w:r>
      <w:r>
        <w:rPr>
          <w:rFonts w:hint="eastAsia"/>
          <w:b/>
          <w:sz w:val="18"/>
          <w:szCs w:val="18"/>
          <w:vertAlign w:val="superscript"/>
        </w:rPr>
        <w:t>3</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45"/>
        <w:gridCol w:w="1446"/>
        <w:gridCol w:w="144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140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hAnsi="宋体"/>
                <w:sz w:val="18"/>
                <w:szCs w:val="18"/>
              </w:rPr>
              <w:t>农业</w:t>
            </w:r>
            <w:r>
              <w:rPr>
                <w:rFonts w:hAnsi="宋体"/>
                <w:sz w:val="18"/>
                <w:szCs w:val="18"/>
              </w:rPr>
              <w:t>用水量</w:t>
            </w:r>
          </w:p>
        </w:tc>
        <w:tc>
          <w:tcPr>
            <w:tcW w:w="1409"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工业用水量</w:t>
            </w:r>
          </w:p>
        </w:tc>
        <w:tc>
          <w:tcPr>
            <w:tcW w:w="1409"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hAnsi="宋体"/>
                <w:sz w:val="18"/>
                <w:szCs w:val="18"/>
              </w:rPr>
              <w:t>生活</w:t>
            </w:r>
            <w:r>
              <w:rPr>
                <w:rFonts w:hAnsi="宋体"/>
                <w:sz w:val="18"/>
                <w:szCs w:val="18"/>
              </w:rPr>
              <w:t>用水量</w:t>
            </w:r>
          </w:p>
        </w:tc>
        <w:tc>
          <w:tcPr>
            <w:tcW w:w="1409"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生态用水量</w:t>
            </w:r>
          </w:p>
        </w:tc>
        <w:tc>
          <w:tcPr>
            <w:tcW w:w="1409"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用水总量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33143</w:t>
            </w:r>
          </w:p>
        </w:tc>
        <w:tc>
          <w:tcPr>
            <w:tcW w:w="140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3387</w:t>
            </w:r>
          </w:p>
        </w:tc>
        <w:tc>
          <w:tcPr>
            <w:tcW w:w="140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6325</w:t>
            </w:r>
          </w:p>
        </w:tc>
        <w:tc>
          <w:tcPr>
            <w:tcW w:w="140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2856</w:t>
            </w:r>
          </w:p>
        </w:tc>
        <w:tc>
          <w:tcPr>
            <w:tcW w:w="140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25241</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2876</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7092</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2382</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10900</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1327</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1559</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230</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73653</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3667</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5771</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329</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83420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27318</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4603</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4534</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1225</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14208</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2207</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3208</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800</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10882</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4710</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1997</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555</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3" w:type="dxa"/>
            <w:shd w:val="clear" w:color="auto" w:fill="auto"/>
            <w:vAlign w:val="center"/>
          </w:tcPr>
          <w:p>
            <w:pPr>
              <w:tabs>
                <w:tab w:val="left" w:pos="600"/>
                <w:tab w:val="left" w:pos="4680"/>
              </w:tabs>
              <w:adjustRightInd w:val="0"/>
              <w:snapToGrid w:val="0"/>
              <w:spacing w:line="240" w:lineRule="atLeast"/>
              <w:jc w:val="center"/>
              <w:rPr>
                <w:b/>
                <w:sz w:val="18"/>
                <w:szCs w:val="18"/>
              </w:rPr>
            </w:pPr>
            <w:r>
              <w:rPr>
                <w:rFonts w:hAnsi="宋体"/>
                <w:b/>
                <w:sz w:val="18"/>
                <w:szCs w:val="18"/>
              </w:rPr>
              <w:t>全市合计</w:t>
            </w:r>
          </w:p>
        </w:tc>
        <w:tc>
          <w:tcPr>
            <w:tcW w:w="140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22777</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30486</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8377</w:t>
            </w:r>
          </w:p>
        </w:tc>
        <w:tc>
          <w:tcPr>
            <w:tcW w:w="140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256985</w:t>
            </w:r>
          </w:p>
        </w:tc>
      </w:tr>
    </w:tbl>
    <w:p>
      <w:pPr>
        <w:adjustRightInd w:val="0"/>
        <w:snapToGrid w:val="0"/>
        <w:rPr>
          <w:color w:val="FF0000"/>
          <w:sz w:val="24"/>
        </w:rPr>
      </w:pPr>
    </w:p>
    <w:p>
      <w:pPr>
        <w:spacing w:line="360" w:lineRule="auto"/>
        <w:jc w:val="center"/>
        <w:rPr>
          <w:b/>
          <w:sz w:val="24"/>
        </w:rPr>
      </w:pPr>
      <w:r>
        <w:rPr>
          <w:rFonts w:hint="eastAsia"/>
          <w:b/>
          <w:sz w:val="24"/>
        </w:rPr>
        <w:t>表6.2.2-</w:t>
      </w:r>
      <w:r>
        <w:rPr>
          <w:b/>
          <w:sz w:val="24"/>
        </w:rPr>
        <w:t>6</w:t>
      </w:r>
      <w:r>
        <w:rPr>
          <w:rFonts w:hint="eastAsia"/>
          <w:b/>
          <w:sz w:val="24"/>
        </w:rPr>
        <w:t xml:space="preserve">  六安市各县区规划水平年生活用水量配置</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301"/>
        <w:gridCol w:w="1300"/>
        <w:gridCol w:w="1301"/>
        <w:gridCol w:w="1301"/>
        <w:gridCol w:w="130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Merge w:val="restart"/>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3803" w:type="dxa"/>
            <w:gridSpan w:val="3"/>
            <w:vAlign w:val="center"/>
          </w:tcPr>
          <w:p>
            <w:pPr>
              <w:tabs>
                <w:tab w:val="left" w:pos="600"/>
                <w:tab w:val="left" w:pos="4680"/>
              </w:tabs>
              <w:adjustRightInd w:val="0"/>
              <w:snapToGrid w:val="0"/>
              <w:spacing w:line="240" w:lineRule="atLeast"/>
              <w:jc w:val="center"/>
              <w:rPr>
                <w:sz w:val="18"/>
                <w:szCs w:val="18"/>
              </w:rPr>
            </w:pPr>
            <w:r>
              <w:rPr>
                <w:sz w:val="18"/>
                <w:szCs w:val="18"/>
              </w:rPr>
              <w:t>2025</w:t>
            </w:r>
            <w:r>
              <w:rPr>
                <w:rFonts w:hAnsi="宋体"/>
                <w:sz w:val="18"/>
                <w:szCs w:val="18"/>
              </w:rPr>
              <w:t>年</w:t>
            </w:r>
          </w:p>
        </w:tc>
        <w:tc>
          <w:tcPr>
            <w:tcW w:w="3804" w:type="dxa"/>
            <w:gridSpan w:val="3"/>
            <w:vAlign w:val="center"/>
          </w:tcPr>
          <w:p>
            <w:pPr>
              <w:tabs>
                <w:tab w:val="left" w:pos="600"/>
                <w:tab w:val="left" w:pos="4680"/>
              </w:tabs>
              <w:adjustRightInd w:val="0"/>
              <w:snapToGrid w:val="0"/>
              <w:spacing w:line="240" w:lineRule="atLeast"/>
              <w:jc w:val="center"/>
              <w:rPr>
                <w:sz w:val="18"/>
                <w:szCs w:val="18"/>
              </w:rPr>
            </w:pPr>
            <w:r>
              <w:rPr>
                <w:sz w:val="18"/>
                <w:szCs w:val="18"/>
              </w:rPr>
              <w:t>2030</w:t>
            </w:r>
            <w:r>
              <w:rPr>
                <w:rFonts w:hAnsi="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vMerge w:val="continue"/>
            <w:shd w:val="clear" w:color="auto" w:fill="auto"/>
            <w:vAlign w:val="center"/>
          </w:tcPr>
          <w:p>
            <w:pPr>
              <w:tabs>
                <w:tab w:val="left" w:pos="600"/>
                <w:tab w:val="left" w:pos="4680"/>
              </w:tabs>
              <w:adjustRightInd w:val="0"/>
              <w:snapToGrid w:val="0"/>
              <w:spacing w:line="240" w:lineRule="atLeast"/>
              <w:jc w:val="center"/>
              <w:rPr>
                <w:sz w:val="18"/>
                <w:szCs w:val="18"/>
              </w:rPr>
            </w:pPr>
          </w:p>
        </w:tc>
        <w:tc>
          <w:tcPr>
            <w:tcW w:w="126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城镇生活</w:t>
            </w:r>
          </w:p>
        </w:tc>
        <w:tc>
          <w:tcPr>
            <w:tcW w:w="1267" w:type="dxa"/>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农村生活</w:t>
            </w:r>
          </w:p>
        </w:tc>
        <w:tc>
          <w:tcPr>
            <w:tcW w:w="126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小计</w:t>
            </w:r>
          </w:p>
        </w:tc>
        <w:tc>
          <w:tcPr>
            <w:tcW w:w="126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城镇生活</w:t>
            </w:r>
          </w:p>
        </w:tc>
        <w:tc>
          <w:tcPr>
            <w:tcW w:w="1268" w:type="dxa"/>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农村生活</w:t>
            </w:r>
          </w:p>
        </w:tc>
        <w:tc>
          <w:tcPr>
            <w:tcW w:w="126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4322</w:t>
            </w:r>
          </w:p>
        </w:tc>
        <w:tc>
          <w:tcPr>
            <w:tcW w:w="1267"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1290</w:t>
            </w:r>
          </w:p>
        </w:tc>
        <w:tc>
          <w:tcPr>
            <w:tcW w:w="1268"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5612</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5019</w:t>
            </w:r>
          </w:p>
        </w:tc>
        <w:tc>
          <w:tcPr>
            <w:tcW w:w="1268"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1306</w:t>
            </w:r>
          </w:p>
        </w:tc>
        <w:tc>
          <w:tcPr>
            <w:tcW w:w="1268"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4356</w:t>
            </w:r>
          </w:p>
        </w:tc>
        <w:tc>
          <w:tcPr>
            <w:tcW w:w="1267"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1712</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6068</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5514</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1578</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952</w:t>
            </w:r>
          </w:p>
        </w:tc>
        <w:tc>
          <w:tcPr>
            <w:tcW w:w="1267"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422</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1374</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1141</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418</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2763</w:t>
            </w:r>
          </w:p>
        </w:tc>
        <w:tc>
          <w:tcPr>
            <w:tcW w:w="1267"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2238</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5001</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3657</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2114</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2558</w:t>
            </w:r>
          </w:p>
        </w:tc>
        <w:tc>
          <w:tcPr>
            <w:tcW w:w="1267"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1341</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3899</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3316</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1218</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1679</w:t>
            </w:r>
          </w:p>
        </w:tc>
        <w:tc>
          <w:tcPr>
            <w:tcW w:w="1267"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1069</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2748</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2189</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1019</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1381</w:t>
            </w:r>
          </w:p>
        </w:tc>
        <w:tc>
          <w:tcPr>
            <w:tcW w:w="1267"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365</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1746</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1606</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391</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8" w:type="dxa"/>
            <w:shd w:val="clear" w:color="auto" w:fill="auto"/>
            <w:vAlign w:val="center"/>
          </w:tcPr>
          <w:p>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18011</w:t>
            </w:r>
          </w:p>
        </w:tc>
        <w:tc>
          <w:tcPr>
            <w:tcW w:w="1267"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bCs/>
                <w:sz w:val="18"/>
                <w:szCs w:val="18"/>
              </w:rPr>
            </w:pPr>
            <w:r>
              <w:rPr>
                <w:rFonts w:eastAsia="等线"/>
                <w:b/>
                <w:bCs/>
                <w:sz w:val="18"/>
                <w:szCs w:val="18"/>
              </w:rPr>
              <w:t>8437</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bCs/>
                <w:sz w:val="18"/>
                <w:szCs w:val="18"/>
              </w:rPr>
            </w:pPr>
            <w:r>
              <w:rPr>
                <w:rFonts w:eastAsia="等线"/>
                <w:b/>
                <w:bCs/>
                <w:sz w:val="18"/>
                <w:szCs w:val="18"/>
              </w:rPr>
              <w:t>26448</w:t>
            </w:r>
          </w:p>
        </w:tc>
        <w:tc>
          <w:tcPr>
            <w:tcW w:w="1268"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22442</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bCs/>
                <w:sz w:val="18"/>
                <w:szCs w:val="18"/>
              </w:rPr>
            </w:pPr>
            <w:r>
              <w:rPr>
                <w:rFonts w:eastAsia="等线"/>
                <w:b/>
                <w:bCs/>
                <w:sz w:val="18"/>
                <w:szCs w:val="18"/>
              </w:rPr>
              <w:t>8044</w:t>
            </w:r>
          </w:p>
        </w:tc>
        <w:tc>
          <w:tcPr>
            <w:tcW w:w="126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bCs/>
                <w:sz w:val="18"/>
                <w:szCs w:val="18"/>
              </w:rPr>
            </w:pPr>
            <w:r>
              <w:rPr>
                <w:rFonts w:eastAsia="等线"/>
                <w:b/>
                <w:bCs/>
                <w:sz w:val="18"/>
                <w:szCs w:val="18"/>
              </w:rPr>
              <w:t>30486</w:t>
            </w:r>
          </w:p>
        </w:tc>
      </w:tr>
    </w:tbl>
    <w:p>
      <w:pPr>
        <w:adjustRightInd w:val="0"/>
        <w:snapToGrid w:val="0"/>
        <w:spacing w:line="360" w:lineRule="auto"/>
        <w:rPr>
          <w:sz w:val="24"/>
        </w:rPr>
      </w:pPr>
    </w:p>
    <w:p>
      <w:pPr>
        <w:adjustRightInd w:val="0"/>
        <w:snapToGrid w:val="0"/>
        <w:spacing w:line="360" w:lineRule="auto"/>
        <w:jc w:val="center"/>
        <w:rPr>
          <w:sz w:val="24"/>
        </w:rPr>
      </w:pPr>
      <w:r>
        <w:rPr>
          <w:rFonts w:hint="eastAsia"/>
          <w:b/>
          <w:sz w:val="24"/>
        </w:rPr>
        <w:t>表6.2.2-</w:t>
      </w:r>
      <w:r>
        <w:rPr>
          <w:b/>
          <w:sz w:val="24"/>
        </w:rPr>
        <w:t>7</w:t>
      </w:r>
      <w:r>
        <w:rPr>
          <w:rFonts w:hint="eastAsia"/>
          <w:b/>
          <w:sz w:val="24"/>
        </w:rPr>
        <w:t xml:space="preserve">  六安市各县区规划水平年工业用水量配置</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848"/>
        <w:gridCol w:w="1846"/>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vMerge w:val="restart"/>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县区</w:t>
            </w:r>
          </w:p>
        </w:tc>
        <w:tc>
          <w:tcPr>
            <w:tcW w:w="3600" w:type="dxa"/>
            <w:gridSpan w:val="2"/>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2025</w:t>
            </w:r>
            <w:r>
              <w:rPr>
                <w:rFonts w:hAnsi="宋体"/>
                <w:sz w:val="18"/>
                <w:szCs w:val="18"/>
              </w:rPr>
              <w:t>年</w:t>
            </w:r>
          </w:p>
        </w:tc>
        <w:tc>
          <w:tcPr>
            <w:tcW w:w="3601" w:type="dxa"/>
            <w:gridSpan w:val="2"/>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2030</w:t>
            </w:r>
            <w:r>
              <w:rPr>
                <w:rFonts w:hAnsi="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vMerge w:val="continue"/>
            <w:shd w:val="clear" w:color="auto" w:fill="auto"/>
            <w:vAlign w:val="center"/>
          </w:tcPr>
          <w:p>
            <w:pPr>
              <w:tabs>
                <w:tab w:val="left" w:pos="600"/>
                <w:tab w:val="left" w:pos="4680"/>
              </w:tabs>
              <w:adjustRightInd w:val="0"/>
              <w:snapToGrid w:val="0"/>
              <w:spacing w:line="240" w:lineRule="atLeast"/>
              <w:jc w:val="center"/>
              <w:rPr>
                <w:sz w:val="18"/>
                <w:szCs w:val="18"/>
              </w:rPr>
            </w:pPr>
          </w:p>
        </w:tc>
        <w:tc>
          <w:tcPr>
            <w:tcW w:w="1801"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工业用水量</w:t>
            </w:r>
            <w:r>
              <w:rPr>
                <w:rFonts w:hint="eastAsia" w:hAnsi="宋体"/>
                <w:sz w:val="18"/>
                <w:szCs w:val="18"/>
              </w:rPr>
              <w:t xml:space="preserve"> </w:t>
            </w:r>
            <w:r>
              <w:rPr>
                <w:rFonts w:hAnsi="宋体"/>
                <w:sz w:val="18"/>
                <w:szCs w:val="18"/>
              </w:rPr>
              <w:t xml:space="preserve">   （万</w:t>
            </w:r>
            <w:r>
              <w:rPr>
                <w:sz w:val="18"/>
                <w:szCs w:val="18"/>
              </w:rPr>
              <w:t>m</w:t>
            </w:r>
            <w:r>
              <w:rPr>
                <w:sz w:val="18"/>
                <w:szCs w:val="18"/>
                <w:vertAlign w:val="superscript"/>
              </w:rPr>
              <w:t>3</w:t>
            </w:r>
            <w:r>
              <w:rPr>
                <w:rFonts w:hAnsi="宋体"/>
                <w:sz w:val="18"/>
                <w:szCs w:val="18"/>
              </w:rPr>
              <w:t>）</w:t>
            </w:r>
          </w:p>
        </w:tc>
        <w:tc>
          <w:tcPr>
            <w:tcW w:w="1799"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万元工业增加值用水量（</w:t>
            </w:r>
            <w:r>
              <w:rPr>
                <w:sz w:val="18"/>
                <w:szCs w:val="18"/>
              </w:rPr>
              <w:t>m</w:t>
            </w:r>
            <w:r>
              <w:rPr>
                <w:sz w:val="18"/>
                <w:szCs w:val="18"/>
                <w:vertAlign w:val="superscript"/>
              </w:rPr>
              <w:t>3</w:t>
            </w:r>
            <w:r>
              <w:rPr>
                <w:sz w:val="18"/>
                <w:szCs w:val="18"/>
              </w:rPr>
              <w:t>/</w:t>
            </w:r>
            <w:r>
              <w:rPr>
                <w:rFonts w:hAnsi="宋体"/>
                <w:sz w:val="18"/>
                <w:szCs w:val="18"/>
              </w:rPr>
              <w:t>万元）</w:t>
            </w:r>
          </w:p>
        </w:tc>
        <w:tc>
          <w:tcPr>
            <w:tcW w:w="1801"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工业用水量</w:t>
            </w:r>
            <w:r>
              <w:rPr>
                <w:rFonts w:hint="eastAsia" w:hAnsi="宋体"/>
                <w:sz w:val="18"/>
                <w:szCs w:val="18"/>
              </w:rPr>
              <w:t xml:space="preserve"> </w:t>
            </w:r>
            <w:r>
              <w:rPr>
                <w:rFonts w:hAnsi="宋体"/>
                <w:sz w:val="18"/>
                <w:szCs w:val="18"/>
              </w:rPr>
              <w:t xml:space="preserve">   （万</w:t>
            </w:r>
            <w:r>
              <w:rPr>
                <w:sz w:val="18"/>
                <w:szCs w:val="18"/>
              </w:rPr>
              <w:t>m</w:t>
            </w:r>
            <w:r>
              <w:rPr>
                <w:sz w:val="18"/>
                <w:szCs w:val="18"/>
                <w:vertAlign w:val="superscript"/>
              </w:rPr>
              <w:t>3</w:t>
            </w:r>
            <w:r>
              <w:rPr>
                <w:rFonts w:hAnsi="宋体"/>
                <w:sz w:val="18"/>
                <w:szCs w:val="18"/>
              </w:rPr>
              <w:t>）</w:t>
            </w:r>
          </w:p>
        </w:tc>
        <w:tc>
          <w:tcPr>
            <w:tcW w:w="1800"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万元工业增加值用水量（</w:t>
            </w:r>
            <w:r>
              <w:rPr>
                <w:sz w:val="18"/>
                <w:szCs w:val="18"/>
              </w:rPr>
              <w:t>m</w:t>
            </w:r>
            <w:r>
              <w:rPr>
                <w:sz w:val="18"/>
                <w:szCs w:val="18"/>
                <w:vertAlign w:val="superscript"/>
              </w:rPr>
              <w:t>3</w:t>
            </w:r>
            <w:r>
              <w:rPr>
                <w:sz w:val="18"/>
                <w:szCs w:val="18"/>
              </w:rPr>
              <w:t>/</w:t>
            </w:r>
            <w:r>
              <w:rPr>
                <w:rFonts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3091</w:t>
            </w:r>
          </w:p>
        </w:tc>
        <w:tc>
          <w:tcPr>
            <w:tcW w:w="1799"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23.0</w:t>
            </w:r>
          </w:p>
        </w:tc>
        <w:tc>
          <w:tcPr>
            <w:tcW w:w="1801"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3387</w:t>
            </w:r>
          </w:p>
        </w:tc>
        <w:tc>
          <w:tcPr>
            <w:tcW w:w="1800"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1801"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2624</w:t>
            </w:r>
          </w:p>
        </w:tc>
        <w:tc>
          <w:tcPr>
            <w:tcW w:w="179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37.6</w:t>
            </w:r>
          </w:p>
        </w:tc>
        <w:tc>
          <w:tcPr>
            <w:tcW w:w="180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2876</w:t>
            </w:r>
          </w:p>
        </w:tc>
        <w:tc>
          <w:tcPr>
            <w:tcW w:w="180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1801"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1212</w:t>
            </w:r>
          </w:p>
        </w:tc>
        <w:tc>
          <w:tcPr>
            <w:tcW w:w="179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37.6</w:t>
            </w:r>
          </w:p>
        </w:tc>
        <w:tc>
          <w:tcPr>
            <w:tcW w:w="180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1327</w:t>
            </w:r>
          </w:p>
        </w:tc>
        <w:tc>
          <w:tcPr>
            <w:tcW w:w="180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1801"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3346</w:t>
            </w:r>
          </w:p>
        </w:tc>
        <w:tc>
          <w:tcPr>
            <w:tcW w:w="179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32.7</w:t>
            </w:r>
          </w:p>
        </w:tc>
        <w:tc>
          <w:tcPr>
            <w:tcW w:w="180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3667</w:t>
            </w:r>
          </w:p>
        </w:tc>
        <w:tc>
          <w:tcPr>
            <w:tcW w:w="180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1801"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4201</w:t>
            </w:r>
          </w:p>
        </w:tc>
        <w:tc>
          <w:tcPr>
            <w:tcW w:w="179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32.9</w:t>
            </w:r>
          </w:p>
        </w:tc>
        <w:tc>
          <w:tcPr>
            <w:tcW w:w="180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4603</w:t>
            </w:r>
          </w:p>
        </w:tc>
        <w:tc>
          <w:tcPr>
            <w:tcW w:w="180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1801"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2015</w:t>
            </w:r>
          </w:p>
        </w:tc>
        <w:tc>
          <w:tcPr>
            <w:tcW w:w="179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32.7</w:t>
            </w:r>
          </w:p>
        </w:tc>
        <w:tc>
          <w:tcPr>
            <w:tcW w:w="180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2207</w:t>
            </w:r>
          </w:p>
        </w:tc>
        <w:tc>
          <w:tcPr>
            <w:tcW w:w="180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1801"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4300</w:t>
            </w:r>
          </w:p>
        </w:tc>
        <w:tc>
          <w:tcPr>
            <w:tcW w:w="179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42.2</w:t>
            </w:r>
          </w:p>
        </w:tc>
        <w:tc>
          <w:tcPr>
            <w:tcW w:w="180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4710</w:t>
            </w:r>
          </w:p>
        </w:tc>
        <w:tc>
          <w:tcPr>
            <w:tcW w:w="180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6" w:type="dxa"/>
            <w:shd w:val="clear" w:color="auto" w:fill="auto"/>
            <w:vAlign w:val="center"/>
          </w:tcPr>
          <w:p>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1801"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20789</w:t>
            </w:r>
          </w:p>
        </w:tc>
        <w:tc>
          <w:tcPr>
            <w:tcW w:w="1799"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33.0</w:t>
            </w:r>
          </w:p>
        </w:tc>
        <w:tc>
          <w:tcPr>
            <w:tcW w:w="180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22777</w:t>
            </w:r>
          </w:p>
        </w:tc>
        <w:tc>
          <w:tcPr>
            <w:tcW w:w="180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28.0</w:t>
            </w:r>
          </w:p>
        </w:tc>
      </w:tr>
    </w:tbl>
    <w:p>
      <w:pPr>
        <w:adjustRightInd w:val="0"/>
        <w:snapToGrid w:val="0"/>
        <w:spacing w:line="360" w:lineRule="auto"/>
        <w:ind w:firstLine="480" w:firstLineChars="200"/>
        <w:rPr>
          <w:sz w:val="24"/>
        </w:rPr>
      </w:pPr>
    </w:p>
    <w:p>
      <w:pPr>
        <w:spacing w:line="360" w:lineRule="auto"/>
        <w:ind w:firstLine="480" w:firstLineChars="200"/>
        <w:rPr>
          <w:sz w:val="24"/>
        </w:rPr>
      </w:pPr>
      <w:r>
        <w:rPr>
          <w:rFonts w:hint="eastAsia"/>
          <w:sz w:val="24"/>
        </w:rPr>
        <w:t>（3）农业用水量配置</w:t>
      </w:r>
    </w:p>
    <w:p>
      <w:pPr>
        <w:spacing w:line="360" w:lineRule="auto"/>
        <w:ind w:firstLine="480" w:firstLineChars="200"/>
        <w:rPr>
          <w:sz w:val="24"/>
        </w:rPr>
      </w:pPr>
      <w:r>
        <w:rPr>
          <w:rFonts w:hint="eastAsia"/>
          <w:sz w:val="24"/>
        </w:rPr>
        <w:t>为在干旱年份优先保证生活和工业用水，农业用水需在一定程度上削减。六安市和各县区规划水平年缺水率是根据淠史杭灌区采用水资源计算模型长系列调算出来的成果确定的。六安市及各县区规划水平年20</w:t>
      </w:r>
      <w:r>
        <w:rPr>
          <w:sz w:val="24"/>
        </w:rPr>
        <w:t>2</w:t>
      </w:r>
      <w:r>
        <w:rPr>
          <w:rFonts w:hint="eastAsia"/>
          <w:sz w:val="24"/>
        </w:rPr>
        <w:t>5年和2030年多年平均条件下农业用水量配置见表6.2.2-</w:t>
      </w:r>
      <w:r>
        <w:rPr>
          <w:sz w:val="24"/>
        </w:rPr>
        <w:t>8</w:t>
      </w:r>
      <w:r>
        <w:rPr>
          <w:rFonts w:hint="eastAsia"/>
          <w:sz w:val="24"/>
        </w:rPr>
        <w:t>。</w:t>
      </w:r>
    </w:p>
    <w:p>
      <w:pPr>
        <w:spacing w:before="156" w:beforeLines="50" w:line="360" w:lineRule="auto"/>
        <w:jc w:val="center"/>
        <w:rPr>
          <w:b/>
          <w:sz w:val="24"/>
        </w:rPr>
      </w:pPr>
      <w:r>
        <w:rPr>
          <w:rFonts w:hint="eastAsia"/>
          <w:b/>
          <w:sz w:val="24"/>
        </w:rPr>
        <w:t>表6.2.2-</w:t>
      </w:r>
      <w:r>
        <w:rPr>
          <w:b/>
          <w:sz w:val="24"/>
        </w:rPr>
        <w:t>8</w:t>
      </w:r>
      <w:r>
        <w:rPr>
          <w:rFonts w:hint="eastAsia"/>
          <w:b/>
          <w:sz w:val="24"/>
        </w:rPr>
        <w:t xml:space="preserve">  六安市各县区规划水平年多年平均农业用水量配置</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371"/>
        <w:gridCol w:w="1195"/>
        <w:gridCol w:w="1273"/>
        <w:gridCol w:w="1419"/>
        <w:gridCol w:w="116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restart"/>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县区</w:t>
            </w:r>
          </w:p>
        </w:tc>
        <w:tc>
          <w:tcPr>
            <w:tcW w:w="3740" w:type="dxa"/>
            <w:gridSpan w:val="3"/>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2025年</w:t>
            </w:r>
          </w:p>
        </w:tc>
        <w:tc>
          <w:tcPr>
            <w:tcW w:w="3758" w:type="dxa"/>
            <w:gridSpan w:val="3"/>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vMerge w:val="continue"/>
            <w:shd w:val="clear" w:color="auto" w:fill="auto"/>
            <w:vAlign w:val="center"/>
          </w:tcPr>
          <w:p>
            <w:pPr>
              <w:tabs>
                <w:tab w:val="left" w:pos="600"/>
                <w:tab w:val="left" w:pos="4680"/>
              </w:tabs>
              <w:adjustRightInd w:val="0"/>
              <w:snapToGrid w:val="0"/>
              <w:spacing w:line="240" w:lineRule="atLeast"/>
              <w:jc w:val="center"/>
              <w:rPr>
                <w:sz w:val="18"/>
                <w:szCs w:val="18"/>
              </w:rPr>
            </w:pPr>
          </w:p>
        </w:tc>
        <w:tc>
          <w:tcPr>
            <w:tcW w:w="1336"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农田灌溉毛定额（m</w:t>
            </w:r>
            <w:r>
              <w:rPr>
                <w:sz w:val="18"/>
                <w:szCs w:val="18"/>
                <w:vertAlign w:val="superscript"/>
              </w:rPr>
              <w:t>3</w:t>
            </w:r>
            <w:r>
              <w:rPr>
                <w:sz w:val="18"/>
                <w:szCs w:val="18"/>
              </w:rPr>
              <w:t>/亩）</w:t>
            </w:r>
          </w:p>
        </w:tc>
        <w:tc>
          <w:tcPr>
            <w:tcW w:w="1164"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农业</w:t>
            </w:r>
            <w:r>
              <w:rPr>
                <w:sz w:val="18"/>
                <w:szCs w:val="18"/>
              </w:rPr>
              <w:t>需水量（万m</w:t>
            </w:r>
            <w:r>
              <w:rPr>
                <w:sz w:val="18"/>
                <w:szCs w:val="18"/>
                <w:vertAlign w:val="superscript"/>
              </w:rPr>
              <w:t>3</w:t>
            </w:r>
            <w:r>
              <w:rPr>
                <w:sz w:val="18"/>
                <w:szCs w:val="18"/>
              </w:rPr>
              <w:t>）</w:t>
            </w:r>
          </w:p>
        </w:tc>
        <w:tc>
          <w:tcPr>
            <w:tcW w:w="1240"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配置水量（万m</w:t>
            </w:r>
            <w:r>
              <w:rPr>
                <w:sz w:val="18"/>
                <w:szCs w:val="18"/>
                <w:vertAlign w:val="superscript"/>
              </w:rPr>
              <w:t>3</w:t>
            </w:r>
            <w:r>
              <w:rPr>
                <w:sz w:val="18"/>
                <w:szCs w:val="18"/>
              </w:rPr>
              <w:t>）</w:t>
            </w:r>
          </w:p>
        </w:tc>
        <w:tc>
          <w:tcPr>
            <w:tcW w:w="1383"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农田灌溉毛定额（m</w:t>
            </w:r>
            <w:r>
              <w:rPr>
                <w:sz w:val="18"/>
                <w:szCs w:val="18"/>
                <w:vertAlign w:val="superscript"/>
              </w:rPr>
              <w:t>3</w:t>
            </w:r>
            <w:r>
              <w:rPr>
                <w:sz w:val="18"/>
                <w:szCs w:val="18"/>
              </w:rPr>
              <w:t>/亩）</w:t>
            </w:r>
          </w:p>
        </w:tc>
        <w:tc>
          <w:tcPr>
            <w:tcW w:w="1134"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农业</w:t>
            </w:r>
            <w:r>
              <w:rPr>
                <w:sz w:val="18"/>
                <w:szCs w:val="18"/>
              </w:rPr>
              <w:t>需水量（万m</w:t>
            </w:r>
            <w:r>
              <w:rPr>
                <w:sz w:val="18"/>
                <w:szCs w:val="18"/>
                <w:vertAlign w:val="superscript"/>
              </w:rPr>
              <w:t>3</w:t>
            </w:r>
            <w:r>
              <w:rPr>
                <w:sz w:val="18"/>
                <w:szCs w:val="18"/>
              </w:rPr>
              <w:t>）</w:t>
            </w:r>
          </w:p>
        </w:tc>
        <w:tc>
          <w:tcPr>
            <w:tcW w:w="1241"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配置水量（万m</w:t>
            </w:r>
            <w:r>
              <w:rPr>
                <w:sz w:val="18"/>
                <w:szCs w:val="18"/>
                <w:vertAlign w:val="superscript"/>
              </w:rPr>
              <w:t>3</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金安区</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308.7</w:t>
            </w:r>
          </w:p>
        </w:tc>
        <w:tc>
          <w:tcPr>
            <w:tcW w:w="1164"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34518</w:t>
            </w:r>
          </w:p>
        </w:tc>
        <w:tc>
          <w:tcPr>
            <w:tcW w:w="1240"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34143</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290.2</w:t>
            </w:r>
          </w:p>
        </w:tc>
        <w:tc>
          <w:tcPr>
            <w:tcW w:w="1134"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33143</w:t>
            </w:r>
          </w:p>
        </w:tc>
        <w:tc>
          <w:tcPr>
            <w:tcW w:w="1241"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裕安区</w:t>
            </w:r>
          </w:p>
        </w:tc>
        <w:tc>
          <w:tcPr>
            <w:tcW w:w="133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295.6</w:t>
            </w:r>
          </w:p>
        </w:tc>
        <w:tc>
          <w:tcPr>
            <w:tcW w:w="116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26192</w:t>
            </w:r>
          </w:p>
        </w:tc>
        <w:tc>
          <w:tcPr>
            <w:tcW w:w="124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25880</w:t>
            </w:r>
          </w:p>
        </w:tc>
        <w:tc>
          <w:tcPr>
            <w:tcW w:w="1383"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278.8</w:t>
            </w:r>
          </w:p>
        </w:tc>
        <w:tc>
          <w:tcPr>
            <w:tcW w:w="113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25241</w:t>
            </w:r>
          </w:p>
        </w:tc>
        <w:tc>
          <w:tcPr>
            <w:tcW w:w="124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25241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叶集区</w:t>
            </w:r>
          </w:p>
        </w:tc>
        <w:tc>
          <w:tcPr>
            <w:tcW w:w="133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318.6</w:t>
            </w:r>
          </w:p>
        </w:tc>
        <w:tc>
          <w:tcPr>
            <w:tcW w:w="116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11321</w:t>
            </w:r>
          </w:p>
        </w:tc>
        <w:tc>
          <w:tcPr>
            <w:tcW w:w="124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11245</w:t>
            </w:r>
          </w:p>
        </w:tc>
        <w:tc>
          <w:tcPr>
            <w:tcW w:w="1383"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300.6</w:t>
            </w:r>
          </w:p>
        </w:tc>
        <w:tc>
          <w:tcPr>
            <w:tcW w:w="113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10900</w:t>
            </w:r>
          </w:p>
        </w:tc>
        <w:tc>
          <w:tcPr>
            <w:tcW w:w="124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霍邱县</w:t>
            </w:r>
          </w:p>
        </w:tc>
        <w:tc>
          <w:tcPr>
            <w:tcW w:w="133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320.8</w:t>
            </w:r>
          </w:p>
        </w:tc>
        <w:tc>
          <w:tcPr>
            <w:tcW w:w="116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76460</w:t>
            </w:r>
          </w:p>
        </w:tc>
        <w:tc>
          <w:tcPr>
            <w:tcW w:w="124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75782</w:t>
            </w:r>
          </w:p>
        </w:tc>
        <w:tc>
          <w:tcPr>
            <w:tcW w:w="1383"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302.8</w:t>
            </w:r>
          </w:p>
        </w:tc>
        <w:tc>
          <w:tcPr>
            <w:tcW w:w="113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73653</w:t>
            </w:r>
          </w:p>
        </w:tc>
        <w:tc>
          <w:tcPr>
            <w:tcW w:w="124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舒城县</w:t>
            </w:r>
          </w:p>
        </w:tc>
        <w:tc>
          <w:tcPr>
            <w:tcW w:w="133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355.9</w:t>
            </w:r>
          </w:p>
        </w:tc>
        <w:tc>
          <w:tcPr>
            <w:tcW w:w="116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29176</w:t>
            </w:r>
          </w:p>
        </w:tc>
        <w:tc>
          <w:tcPr>
            <w:tcW w:w="124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28923</w:t>
            </w:r>
          </w:p>
        </w:tc>
        <w:tc>
          <w:tcPr>
            <w:tcW w:w="1383"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324.7</w:t>
            </w:r>
          </w:p>
        </w:tc>
        <w:tc>
          <w:tcPr>
            <w:tcW w:w="113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27318</w:t>
            </w:r>
          </w:p>
        </w:tc>
        <w:tc>
          <w:tcPr>
            <w:tcW w:w="124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金寨县</w:t>
            </w:r>
          </w:p>
        </w:tc>
        <w:tc>
          <w:tcPr>
            <w:tcW w:w="133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289.6</w:t>
            </w:r>
          </w:p>
        </w:tc>
        <w:tc>
          <w:tcPr>
            <w:tcW w:w="116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14410</w:t>
            </w:r>
          </w:p>
        </w:tc>
        <w:tc>
          <w:tcPr>
            <w:tcW w:w="124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14291</w:t>
            </w:r>
          </w:p>
        </w:tc>
        <w:tc>
          <w:tcPr>
            <w:tcW w:w="1383"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279.7</w:t>
            </w:r>
          </w:p>
        </w:tc>
        <w:tc>
          <w:tcPr>
            <w:tcW w:w="113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14208</w:t>
            </w:r>
          </w:p>
        </w:tc>
        <w:tc>
          <w:tcPr>
            <w:tcW w:w="124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14208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pPr>
              <w:tabs>
                <w:tab w:val="left" w:pos="600"/>
                <w:tab w:val="left" w:pos="4680"/>
              </w:tabs>
              <w:adjustRightInd w:val="0"/>
              <w:snapToGrid w:val="0"/>
              <w:spacing w:line="240" w:lineRule="atLeast"/>
              <w:jc w:val="center"/>
              <w:rPr>
                <w:sz w:val="18"/>
                <w:szCs w:val="18"/>
              </w:rPr>
            </w:pPr>
            <w:r>
              <w:rPr>
                <w:sz w:val="18"/>
                <w:szCs w:val="18"/>
              </w:rPr>
              <w:t>霍山县</w:t>
            </w:r>
          </w:p>
        </w:tc>
        <w:tc>
          <w:tcPr>
            <w:tcW w:w="133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273.0</w:t>
            </w:r>
          </w:p>
        </w:tc>
        <w:tc>
          <w:tcPr>
            <w:tcW w:w="116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11108</w:t>
            </w:r>
          </w:p>
        </w:tc>
        <w:tc>
          <w:tcPr>
            <w:tcW w:w="124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11014</w:t>
            </w:r>
          </w:p>
        </w:tc>
        <w:tc>
          <w:tcPr>
            <w:tcW w:w="1383"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261.7</w:t>
            </w:r>
          </w:p>
        </w:tc>
        <w:tc>
          <w:tcPr>
            <w:tcW w:w="113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10882</w:t>
            </w:r>
          </w:p>
        </w:tc>
        <w:tc>
          <w:tcPr>
            <w:tcW w:w="124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dxa"/>
            <w:shd w:val="clear" w:color="auto" w:fill="auto"/>
            <w:vAlign w:val="center"/>
          </w:tcPr>
          <w:p>
            <w:pPr>
              <w:tabs>
                <w:tab w:val="left" w:pos="600"/>
                <w:tab w:val="left" w:pos="4680"/>
              </w:tabs>
              <w:adjustRightInd w:val="0"/>
              <w:snapToGrid w:val="0"/>
              <w:spacing w:line="240" w:lineRule="atLeast"/>
              <w:jc w:val="center"/>
              <w:rPr>
                <w:b/>
                <w:sz w:val="18"/>
                <w:szCs w:val="18"/>
              </w:rPr>
            </w:pPr>
            <w:r>
              <w:rPr>
                <w:b/>
                <w:sz w:val="18"/>
                <w:szCs w:val="18"/>
              </w:rPr>
              <w:t>全  市</w:t>
            </w:r>
          </w:p>
        </w:tc>
        <w:tc>
          <w:tcPr>
            <w:tcW w:w="133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314.2</w:t>
            </w:r>
          </w:p>
        </w:tc>
        <w:tc>
          <w:tcPr>
            <w:tcW w:w="116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203185</w:t>
            </w:r>
          </w:p>
        </w:tc>
        <w:tc>
          <w:tcPr>
            <w:tcW w:w="1240"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201278</w:t>
            </w:r>
          </w:p>
        </w:tc>
        <w:tc>
          <w:tcPr>
            <w:tcW w:w="1383"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295.7</w:t>
            </w:r>
          </w:p>
        </w:tc>
        <w:tc>
          <w:tcPr>
            <w:tcW w:w="1134"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c>
          <w:tcPr>
            <w:tcW w:w="1241"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195345</w:t>
            </w:r>
          </w:p>
        </w:tc>
      </w:tr>
    </w:tbl>
    <w:p>
      <w:pPr>
        <w:adjustRightInd w:val="0"/>
        <w:snapToGrid w:val="0"/>
        <w:spacing w:line="360" w:lineRule="auto"/>
        <w:ind w:firstLine="480" w:firstLineChars="200"/>
        <w:rPr>
          <w:sz w:val="24"/>
        </w:rPr>
      </w:pPr>
      <w:r>
        <w:rPr>
          <w:rFonts w:hint="eastAsia"/>
          <w:sz w:val="24"/>
        </w:rPr>
        <w:t>（4）生态用水量配置</w:t>
      </w:r>
    </w:p>
    <w:p>
      <w:pPr>
        <w:spacing w:line="360" w:lineRule="auto"/>
        <w:ind w:firstLine="480" w:firstLineChars="200"/>
        <w:rPr>
          <w:rFonts w:hAnsi="宋体"/>
          <w:color w:val="00B050"/>
          <w:sz w:val="24"/>
        </w:rPr>
      </w:pPr>
      <w:r>
        <w:rPr>
          <w:rFonts w:hint="eastAsia"/>
          <w:sz w:val="24"/>
        </w:rPr>
        <w:t>六安市规划水平年河道外生态需水量预测仅考虑城市绿地灌溉用水</w:t>
      </w:r>
      <w:r>
        <w:rPr>
          <w:rFonts w:hint="eastAsia" w:hAnsi="宋体"/>
          <w:sz w:val="24"/>
        </w:rPr>
        <w:t>。因城镇生态用水量不考虑缺水率，故生态用水配置水量与需水量一致。</w:t>
      </w:r>
      <w:r>
        <w:rPr>
          <w:rFonts w:hint="eastAsia"/>
          <w:sz w:val="24"/>
        </w:rPr>
        <w:t>六安市及各县区规划水平年202</w:t>
      </w:r>
      <w:r>
        <w:rPr>
          <w:sz w:val="24"/>
        </w:rPr>
        <w:t>5</w:t>
      </w:r>
      <w:r>
        <w:rPr>
          <w:rFonts w:hint="eastAsia"/>
          <w:sz w:val="24"/>
        </w:rPr>
        <w:t>年和2030年生态用水量配置见表6.2.2-</w:t>
      </w:r>
      <w:r>
        <w:rPr>
          <w:sz w:val="24"/>
        </w:rPr>
        <w:t>9</w:t>
      </w:r>
      <w:r>
        <w:rPr>
          <w:rFonts w:hint="eastAsia"/>
          <w:sz w:val="24"/>
        </w:rPr>
        <w:t>。</w:t>
      </w:r>
    </w:p>
    <w:p>
      <w:pPr>
        <w:spacing w:line="360" w:lineRule="auto"/>
        <w:jc w:val="center"/>
        <w:rPr>
          <w:b/>
          <w:sz w:val="24"/>
        </w:rPr>
      </w:pPr>
      <w:r>
        <w:rPr>
          <w:rFonts w:hint="eastAsia"/>
          <w:b/>
          <w:sz w:val="24"/>
        </w:rPr>
        <w:t>表6.2.2-</w:t>
      </w:r>
      <w:r>
        <w:rPr>
          <w:b/>
          <w:sz w:val="24"/>
        </w:rPr>
        <w:t>9</w:t>
      </w:r>
      <w:r>
        <w:rPr>
          <w:rFonts w:hint="eastAsia"/>
          <w:b/>
          <w:sz w:val="24"/>
        </w:rPr>
        <w:t xml:space="preserve">  六安市各县区规划水平年生态用水量配置</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3177"/>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sz w:val="18"/>
                <w:szCs w:val="18"/>
              </w:rPr>
              <w:t>县区</w:t>
            </w:r>
          </w:p>
        </w:tc>
        <w:tc>
          <w:tcPr>
            <w:tcW w:w="3096"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hAnsi="宋体"/>
                <w:sz w:val="18"/>
                <w:szCs w:val="18"/>
              </w:rPr>
              <w:t>2</w:t>
            </w:r>
            <w:r>
              <w:rPr>
                <w:rFonts w:hAnsi="宋体"/>
                <w:sz w:val="18"/>
                <w:szCs w:val="18"/>
              </w:rPr>
              <w:t>025</w:t>
            </w:r>
            <w:r>
              <w:rPr>
                <w:rFonts w:hint="eastAsia" w:hAnsi="宋体"/>
                <w:sz w:val="18"/>
                <w:szCs w:val="18"/>
              </w:rPr>
              <w:t>年</w:t>
            </w:r>
            <w:r>
              <w:rPr>
                <w:rFonts w:hAnsi="宋体"/>
                <w:sz w:val="18"/>
                <w:szCs w:val="18"/>
              </w:rPr>
              <w:t>配置水量（万</w:t>
            </w:r>
            <w:r>
              <w:rPr>
                <w:sz w:val="18"/>
                <w:szCs w:val="18"/>
              </w:rPr>
              <w:t>m</w:t>
            </w:r>
            <w:r>
              <w:rPr>
                <w:sz w:val="18"/>
                <w:szCs w:val="18"/>
                <w:vertAlign w:val="superscript"/>
              </w:rPr>
              <w:t>3</w:t>
            </w:r>
            <w:r>
              <w:rPr>
                <w:rFonts w:hAnsi="宋体"/>
                <w:sz w:val="18"/>
                <w:szCs w:val="18"/>
              </w:rPr>
              <w:t>）</w:t>
            </w:r>
          </w:p>
        </w:tc>
        <w:tc>
          <w:tcPr>
            <w:tcW w:w="3098"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hAnsi="宋体"/>
                <w:sz w:val="18"/>
                <w:szCs w:val="18"/>
              </w:rPr>
              <w:t>2</w:t>
            </w:r>
            <w:r>
              <w:rPr>
                <w:rFonts w:hAnsi="宋体"/>
                <w:sz w:val="18"/>
                <w:szCs w:val="18"/>
              </w:rPr>
              <w:t>030</w:t>
            </w:r>
            <w:r>
              <w:rPr>
                <w:rFonts w:hint="eastAsia" w:hAnsi="宋体"/>
                <w:sz w:val="18"/>
                <w:szCs w:val="18"/>
              </w:rPr>
              <w:t>年</w:t>
            </w:r>
            <w:r>
              <w:rPr>
                <w:rFonts w:hAnsi="宋体"/>
                <w:sz w:val="18"/>
                <w:szCs w:val="18"/>
              </w:rPr>
              <w:t>配置水量（万</w:t>
            </w:r>
            <w:r>
              <w:rPr>
                <w:sz w:val="18"/>
                <w:szCs w:val="18"/>
              </w:rPr>
              <w:t>m</w:t>
            </w:r>
            <w:r>
              <w:rPr>
                <w:sz w:val="18"/>
                <w:szCs w:val="18"/>
                <w:vertAlign w:val="superscript"/>
              </w:rPr>
              <w:t>3</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金安区</w:t>
            </w: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2648</w:t>
            </w:r>
          </w:p>
        </w:tc>
        <w:tc>
          <w:tcPr>
            <w:tcW w:w="3098" w:type="dxa"/>
            <w:tcBorders>
              <w:top w:val="single" w:color="auto" w:sz="4" w:space="0"/>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裕安区</w:t>
            </w:r>
          </w:p>
        </w:tc>
        <w:tc>
          <w:tcPr>
            <w:tcW w:w="309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2235</w:t>
            </w:r>
          </w:p>
        </w:tc>
        <w:tc>
          <w:tcPr>
            <w:tcW w:w="309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int="eastAsia" w:hAnsi="宋体"/>
                <w:sz w:val="18"/>
                <w:szCs w:val="18"/>
              </w:rPr>
              <w:t>叶集区</w:t>
            </w:r>
          </w:p>
        </w:tc>
        <w:tc>
          <w:tcPr>
            <w:tcW w:w="309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192</w:t>
            </w:r>
          </w:p>
        </w:tc>
        <w:tc>
          <w:tcPr>
            <w:tcW w:w="309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霍邱县</w:t>
            </w:r>
          </w:p>
        </w:tc>
        <w:tc>
          <w:tcPr>
            <w:tcW w:w="309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274</w:t>
            </w:r>
          </w:p>
        </w:tc>
        <w:tc>
          <w:tcPr>
            <w:tcW w:w="309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舒城县</w:t>
            </w:r>
          </w:p>
        </w:tc>
        <w:tc>
          <w:tcPr>
            <w:tcW w:w="309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1083</w:t>
            </w:r>
          </w:p>
        </w:tc>
        <w:tc>
          <w:tcPr>
            <w:tcW w:w="309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金寨县</w:t>
            </w:r>
          </w:p>
        </w:tc>
        <w:tc>
          <w:tcPr>
            <w:tcW w:w="309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723</w:t>
            </w:r>
          </w:p>
        </w:tc>
        <w:tc>
          <w:tcPr>
            <w:tcW w:w="309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sz w:val="18"/>
                <w:szCs w:val="18"/>
              </w:rPr>
            </w:pPr>
            <w:r>
              <w:rPr>
                <w:rFonts w:hAnsi="宋体"/>
                <w:sz w:val="18"/>
                <w:szCs w:val="18"/>
              </w:rPr>
              <w:t>霍山县</w:t>
            </w:r>
          </w:p>
        </w:tc>
        <w:tc>
          <w:tcPr>
            <w:tcW w:w="309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495</w:t>
            </w:r>
          </w:p>
        </w:tc>
        <w:tc>
          <w:tcPr>
            <w:tcW w:w="309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sz w:val="18"/>
                <w:szCs w:val="18"/>
              </w:rPr>
            </w:pPr>
            <w:r>
              <w:rPr>
                <w:rFonts w:eastAsia="等线"/>
                <w:sz w:val="18"/>
                <w:szCs w:val="18"/>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3" w:type="dxa"/>
            <w:shd w:val="clear" w:color="auto" w:fill="auto"/>
            <w:vAlign w:val="center"/>
          </w:tcPr>
          <w:p>
            <w:pPr>
              <w:tabs>
                <w:tab w:val="left" w:pos="600"/>
                <w:tab w:val="left" w:pos="4680"/>
              </w:tabs>
              <w:adjustRightInd w:val="0"/>
              <w:snapToGrid w:val="0"/>
              <w:spacing w:line="240" w:lineRule="atLeast"/>
              <w:jc w:val="center"/>
              <w:rPr>
                <w:b/>
                <w:sz w:val="18"/>
                <w:szCs w:val="18"/>
              </w:rPr>
            </w:pPr>
            <w:r>
              <w:rPr>
                <w:rFonts w:hAnsi="宋体"/>
                <w:b/>
                <w:sz w:val="18"/>
                <w:szCs w:val="18"/>
              </w:rPr>
              <w:t>全</w:t>
            </w:r>
            <w:r>
              <w:rPr>
                <w:b/>
                <w:sz w:val="18"/>
                <w:szCs w:val="18"/>
              </w:rPr>
              <w:t xml:space="preserve">  </w:t>
            </w:r>
            <w:r>
              <w:rPr>
                <w:rFonts w:hAnsi="宋体"/>
                <w:b/>
                <w:sz w:val="18"/>
                <w:szCs w:val="18"/>
              </w:rPr>
              <w:t>市</w:t>
            </w:r>
          </w:p>
        </w:tc>
        <w:tc>
          <w:tcPr>
            <w:tcW w:w="3096" w:type="dxa"/>
            <w:tcBorders>
              <w:top w:val="nil"/>
              <w:left w:val="single" w:color="auto" w:sz="4" w:space="0"/>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7650</w:t>
            </w:r>
          </w:p>
        </w:tc>
        <w:tc>
          <w:tcPr>
            <w:tcW w:w="3098" w:type="dxa"/>
            <w:tcBorders>
              <w:top w:val="nil"/>
              <w:left w:val="nil"/>
              <w:bottom w:val="single" w:color="auto" w:sz="4" w:space="0"/>
              <w:right w:val="single" w:color="auto" w:sz="4" w:space="0"/>
            </w:tcBorders>
            <w:shd w:val="clear" w:color="auto" w:fill="auto"/>
            <w:vAlign w:val="center"/>
          </w:tcPr>
          <w:p>
            <w:pPr>
              <w:tabs>
                <w:tab w:val="left" w:pos="600"/>
                <w:tab w:val="left" w:pos="4680"/>
              </w:tabs>
              <w:adjustRightInd w:val="0"/>
              <w:snapToGrid w:val="0"/>
              <w:spacing w:line="240" w:lineRule="atLeast"/>
              <w:jc w:val="center"/>
              <w:rPr>
                <w:b/>
                <w:sz w:val="18"/>
                <w:szCs w:val="18"/>
              </w:rPr>
            </w:pPr>
            <w:r>
              <w:rPr>
                <w:rFonts w:eastAsia="等线"/>
                <w:b/>
                <w:bCs/>
                <w:sz w:val="18"/>
                <w:szCs w:val="18"/>
              </w:rPr>
              <w:t>8377</w:t>
            </w:r>
          </w:p>
        </w:tc>
      </w:tr>
    </w:tbl>
    <w:p>
      <w:pPr>
        <w:adjustRightInd w:val="0"/>
        <w:snapToGrid w:val="0"/>
        <w:spacing w:line="360" w:lineRule="auto"/>
        <w:rPr>
          <w:sz w:val="24"/>
        </w:rPr>
      </w:pPr>
    </w:p>
    <w:p>
      <w:pPr>
        <w:adjustRightInd w:val="0"/>
        <w:snapToGrid w:val="0"/>
        <w:spacing w:line="360" w:lineRule="auto"/>
        <w:rPr>
          <w:b/>
          <w:sz w:val="24"/>
        </w:rPr>
      </w:pPr>
      <w:r>
        <w:rPr>
          <w:b/>
          <w:sz w:val="24"/>
        </w:rPr>
        <w:t>（三）供水水源配置</w:t>
      </w:r>
    </w:p>
    <w:p>
      <w:pPr>
        <w:adjustRightInd w:val="0"/>
        <w:snapToGrid w:val="0"/>
        <w:spacing w:line="360" w:lineRule="auto"/>
        <w:ind w:firstLine="480" w:firstLineChars="200"/>
        <w:rPr>
          <w:b/>
          <w:sz w:val="24"/>
        </w:rPr>
      </w:pPr>
      <w:r>
        <w:rPr>
          <w:rFonts w:hint="eastAsia"/>
          <w:b/>
          <w:sz w:val="24"/>
        </w:rPr>
        <w:t>1、六安市供水水源总体配置</w:t>
      </w:r>
    </w:p>
    <w:p>
      <w:pPr>
        <w:adjustRightInd w:val="0"/>
        <w:snapToGrid w:val="0"/>
        <w:spacing w:line="360" w:lineRule="auto"/>
        <w:ind w:firstLine="480" w:firstLineChars="200"/>
        <w:rPr>
          <w:sz w:val="24"/>
        </w:rPr>
      </w:pPr>
      <w:r>
        <w:rPr>
          <w:sz w:val="24"/>
        </w:rPr>
        <w:t>供水水源配置是以强化节水模式下的供需平衡推荐方案为基础，根据流域和各区域的水资源条件和开发利用水平，合理调配地表水与地下水、当地水与外调水、天然水与再生水。通过合理开发地表水，科学利用地下水，充分利用外调水，努力使污水资源化，保障流域和区域经济社会的可持续发展。</w:t>
      </w:r>
    </w:p>
    <w:p>
      <w:pPr>
        <w:adjustRightInd w:val="0"/>
        <w:snapToGrid w:val="0"/>
        <w:spacing w:line="360" w:lineRule="auto"/>
        <w:ind w:firstLine="480" w:firstLineChars="200"/>
        <w:rPr>
          <w:sz w:val="24"/>
        </w:rPr>
      </w:pPr>
      <w:r>
        <w:rPr>
          <w:rFonts w:hint="eastAsia"/>
          <w:sz w:val="24"/>
        </w:rPr>
        <w:t>多年平均条件下，</w:t>
      </w:r>
      <w:r>
        <w:rPr>
          <w:sz w:val="24"/>
        </w:rPr>
        <w:t>2025年六安市配置供水量25.62</w:t>
      </w:r>
      <w:r>
        <w:rPr>
          <w:rFonts w:hint="eastAsia"/>
          <w:sz w:val="24"/>
        </w:rPr>
        <w:t>亿</w:t>
      </w:r>
      <w:r>
        <w:rPr>
          <w:sz w:val="24"/>
        </w:rPr>
        <w:t>m</w:t>
      </w:r>
      <w:r>
        <w:rPr>
          <w:sz w:val="24"/>
          <w:vertAlign w:val="superscript"/>
        </w:rPr>
        <w:t>3</w:t>
      </w:r>
      <w:r>
        <w:rPr>
          <w:sz w:val="24"/>
        </w:rPr>
        <w:t>，比基准年增加0.11</w:t>
      </w:r>
      <w:r>
        <w:rPr>
          <w:rFonts w:hint="eastAsia"/>
          <w:sz w:val="24"/>
        </w:rPr>
        <w:t>亿</w:t>
      </w:r>
      <w:r>
        <w:rPr>
          <w:sz w:val="24"/>
        </w:rPr>
        <w:t>m</w:t>
      </w:r>
      <w:r>
        <w:rPr>
          <w:sz w:val="24"/>
          <w:vertAlign w:val="superscript"/>
        </w:rPr>
        <w:t>3</w:t>
      </w:r>
      <w:r>
        <w:rPr>
          <w:rFonts w:hint="eastAsia"/>
          <w:sz w:val="24"/>
        </w:rPr>
        <w:t>；</w:t>
      </w:r>
      <w:r>
        <w:rPr>
          <w:sz w:val="24"/>
        </w:rPr>
        <w:t>其中地表水供水量24.39</w:t>
      </w:r>
      <w:r>
        <w:rPr>
          <w:rFonts w:hint="eastAsia"/>
          <w:sz w:val="24"/>
        </w:rPr>
        <w:t>亿</w:t>
      </w:r>
      <w:r>
        <w:rPr>
          <w:sz w:val="24"/>
        </w:rPr>
        <w:t>m</w:t>
      </w:r>
      <w:r>
        <w:rPr>
          <w:sz w:val="24"/>
          <w:vertAlign w:val="superscript"/>
        </w:rPr>
        <w:t>3</w:t>
      </w:r>
      <w:r>
        <w:rPr>
          <w:rFonts w:hint="eastAsia"/>
          <w:sz w:val="24"/>
        </w:rPr>
        <w:t>，减少0</w:t>
      </w:r>
      <w:r>
        <w:rPr>
          <w:sz w:val="24"/>
        </w:rPr>
        <w:t>.60亿m</w:t>
      </w:r>
      <w:r>
        <w:rPr>
          <w:sz w:val="24"/>
          <w:vertAlign w:val="superscript"/>
        </w:rPr>
        <w:t>3</w:t>
      </w:r>
      <w:r>
        <w:rPr>
          <w:rFonts w:hint="eastAsia"/>
          <w:sz w:val="24"/>
        </w:rPr>
        <w:t>；</w:t>
      </w:r>
      <w:r>
        <w:rPr>
          <w:sz w:val="24"/>
        </w:rPr>
        <w:t>地下水供水量为0.56亿m</w:t>
      </w:r>
      <w:r>
        <w:rPr>
          <w:sz w:val="24"/>
          <w:vertAlign w:val="superscript"/>
        </w:rPr>
        <w:t>3</w:t>
      </w:r>
      <w:r>
        <w:rPr>
          <w:sz w:val="24"/>
        </w:rPr>
        <w:t>，增加0.48亿m</w:t>
      </w:r>
      <w:r>
        <w:rPr>
          <w:sz w:val="24"/>
          <w:vertAlign w:val="superscript"/>
        </w:rPr>
        <w:t>3</w:t>
      </w:r>
      <w:r>
        <w:rPr>
          <w:rFonts w:hint="eastAsia"/>
          <w:sz w:val="24"/>
        </w:rPr>
        <w:t>；</w:t>
      </w:r>
      <w:r>
        <w:rPr>
          <w:sz w:val="24"/>
        </w:rPr>
        <w:t>其他水源供水量为0.67亿m</w:t>
      </w:r>
      <w:r>
        <w:rPr>
          <w:sz w:val="24"/>
          <w:vertAlign w:val="superscript"/>
        </w:rPr>
        <w:t>3</w:t>
      </w:r>
      <w:r>
        <w:rPr>
          <w:sz w:val="24"/>
        </w:rPr>
        <w:t>，增加0.23亿m</w:t>
      </w:r>
      <w:r>
        <w:rPr>
          <w:sz w:val="24"/>
          <w:vertAlign w:val="superscript"/>
        </w:rPr>
        <w:t>3</w:t>
      </w:r>
      <w:r>
        <w:rPr>
          <w:sz w:val="24"/>
        </w:rPr>
        <w:t>。</w:t>
      </w:r>
    </w:p>
    <w:p>
      <w:pPr>
        <w:adjustRightInd w:val="0"/>
        <w:snapToGrid w:val="0"/>
        <w:spacing w:line="360" w:lineRule="auto"/>
        <w:ind w:firstLine="480" w:firstLineChars="200"/>
        <w:rPr>
          <w:sz w:val="24"/>
        </w:rPr>
      </w:pPr>
      <w:r>
        <w:rPr>
          <w:rFonts w:hint="eastAsia"/>
          <w:sz w:val="24"/>
        </w:rPr>
        <w:t>多年平均条件下，</w:t>
      </w:r>
      <w:r>
        <w:rPr>
          <w:sz w:val="24"/>
        </w:rPr>
        <w:t>2030年</w:t>
      </w:r>
      <w:r>
        <w:rPr>
          <w:rFonts w:hint="eastAsia"/>
          <w:sz w:val="24"/>
        </w:rPr>
        <w:t>六安市</w:t>
      </w:r>
      <w:r>
        <w:rPr>
          <w:sz w:val="24"/>
        </w:rPr>
        <w:t>配置供水量25.70</w:t>
      </w:r>
      <w:r>
        <w:rPr>
          <w:rFonts w:hint="eastAsia"/>
          <w:sz w:val="24"/>
        </w:rPr>
        <w:t>亿</w:t>
      </w:r>
      <w:r>
        <w:rPr>
          <w:sz w:val="24"/>
        </w:rPr>
        <w:t>m</w:t>
      </w:r>
      <w:r>
        <w:rPr>
          <w:sz w:val="24"/>
          <w:vertAlign w:val="superscript"/>
        </w:rPr>
        <w:t>3</w:t>
      </w:r>
      <w:r>
        <w:rPr>
          <w:sz w:val="24"/>
        </w:rPr>
        <w:t>，比2025年</w:t>
      </w:r>
      <w:r>
        <w:rPr>
          <w:rFonts w:hint="eastAsia"/>
          <w:sz w:val="24"/>
        </w:rPr>
        <w:t>增加</w:t>
      </w:r>
      <w:r>
        <w:rPr>
          <w:sz w:val="24"/>
        </w:rPr>
        <w:t>0.08亿m</w:t>
      </w:r>
      <w:r>
        <w:rPr>
          <w:sz w:val="24"/>
          <w:vertAlign w:val="superscript"/>
        </w:rPr>
        <w:t>3</w:t>
      </w:r>
      <w:r>
        <w:rPr>
          <w:rFonts w:hint="eastAsia"/>
          <w:sz w:val="24"/>
        </w:rPr>
        <w:t>；</w:t>
      </w:r>
      <w:r>
        <w:rPr>
          <w:sz w:val="24"/>
        </w:rPr>
        <w:t>其中地表水供水量24.25</w:t>
      </w:r>
      <w:r>
        <w:rPr>
          <w:rFonts w:hint="eastAsia"/>
          <w:sz w:val="24"/>
        </w:rPr>
        <w:t>亿</w:t>
      </w:r>
      <w:r>
        <w:rPr>
          <w:sz w:val="24"/>
        </w:rPr>
        <w:t>m</w:t>
      </w:r>
      <w:r>
        <w:rPr>
          <w:sz w:val="24"/>
          <w:vertAlign w:val="superscript"/>
        </w:rPr>
        <w:t>3</w:t>
      </w:r>
      <w:r>
        <w:rPr>
          <w:rFonts w:hint="eastAsia"/>
          <w:sz w:val="24"/>
        </w:rPr>
        <w:t>，减少0</w:t>
      </w:r>
      <w:r>
        <w:rPr>
          <w:sz w:val="24"/>
        </w:rPr>
        <w:t>.14亿m</w:t>
      </w:r>
      <w:r>
        <w:rPr>
          <w:sz w:val="24"/>
          <w:vertAlign w:val="superscript"/>
        </w:rPr>
        <w:t>3</w:t>
      </w:r>
      <w:r>
        <w:rPr>
          <w:rFonts w:hint="eastAsia"/>
          <w:sz w:val="24"/>
        </w:rPr>
        <w:t>；</w:t>
      </w:r>
      <w:r>
        <w:rPr>
          <w:sz w:val="24"/>
        </w:rPr>
        <w:t>地下水供水量为0.56亿m</w:t>
      </w:r>
      <w:r>
        <w:rPr>
          <w:sz w:val="24"/>
          <w:vertAlign w:val="superscript"/>
        </w:rPr>
        <w:t>3</w:t>
      </w:r>
      <w:r>
        <w:rPr>
          <w:sz w:val="24"/>
        </w:rPr>
        <w:t>，维持与2025年一致</w:t>
      </w:r>
      <w:r>
        <w:rPr>
          <w:rFonts w:hint="eastAsia"/>
          <w:sz w:val="24"/>
        </w:rPr>
        <w:t>；</w:t>
      </w:r>
      <w:r>
        <w:rPr>
          <w:sz w:val="24"/>
        </w:rPr>
        <w:t>其他水源供水量为0.89亿m</w:t>
      </w:r>
      <w:r>
        <w:rPr>
          <w:sz w:val="24"/>
          <w:vertAlign w:val="superscript"/>
        </w:rPr>
        <w:t>3</w:t>
      </w:r>
      <w:r>
        <w:rPr>
          <w:sz w:val="24"/>
        </w:rPr>
        <w:t>，增加0.23亿m</w:t>
      </w:r>
      <w:r>
        <w:rPr>
          <w:sz w:val="24"/>
          <w:vertAlign w:val="superscript"/>
        </w:rPr>
        <w:t>3</w:t>
      </w:r>
      <w:r>
        <w:rPr>
          <w:sz w:val="24"/>
        </w:rPr>
        <w:t>。</w:t>
      </w:r>
    </w:p>
    <w:p>
      <w:pPr>
        <w:adjustRightInd w:val="0"/>
        <w:snapToGrid w:val="0"/>
        <w:spacing w:line="360" w:lineRule="auto"/>
        <w:ind w:firstLine="480" w:firstLineChars="200"/>
        <w:rPr>
          <w:sz w:val="24"/>
        </w:rPr>
      </w:pPr>
      <w:r>
        <w:rPr>
          <w:sz w:val="24"/>
        </w:rPr>
        <w:t>由供水水源配置成果可知，六安市供水水源配置中主要以地表水源为主，规划水平年其他水源主要为污水处理回用</w:t>
      </w:r>
      <w:r>
        <w:rPr>
          <w:rFonts w:hint="eastAsia"/>
          <w:sz w:val="24"/>
        </w:rPr>
        <w:t>、雨水利用和矿坑排水</w:t>
      </w:r>
      <w:r>
        <w:rPr>
          <w:sz w:val="24"/>
        </w:rPr>
        <w:t>，该部分水量主要配置用于未来六安市部分工业用水和城市生态环境用水。</w:t>
      </w:r>
      <w:r>
        <w:rPr>
          <w:rFonts w:hint="eastAsia"/>
          <w:sz w:val="24"/>
        </w:rPr>
        <w:t>六安市规划水平年分水源水量配置见表6.2.3-1</w:t>
      </w:r>
      <w:r>
        <w:rPr>
          <w:rFonts w:hint="eastAsia" w:ascii="宋体" w:hAnsi="宋体"/>
          <w:sz w:val="24"/>
        </w:rPr>
        <w:t>～</w:t>
      </w:r>
      <w:r>
        <w:rPr>
          <w:sz w:val="24"/>
        </w:rPr>
        <w:t>6.2.3</w:t>
      </w:r>
      <w:r>
        <w:rPr>
          <w:rFonts w:hint="eastAsia"/>
          <w:sz w:val="24"/>
        </w:rPr>
        <w:t>-</w:t>
      </w:r>
      <w:r>
        <w:rPr>
          <w:sz w:val="24"/>
        </w:rPr>
        <w:t>3</w:t>
      </w:r>
      <w:r>
        <w:rPr>
          <w:rFonts w:hint="eastAsia"/>
          <w:sz w:val="24"/>
        </w:rPr>
        <w:t>。</w:t>
      </w:r>
    </w:p>
    <w:p>
      <w:pPr>
        <w:adjustRightInd w:val="0"/>
        <w:snapToGrid w:val="0"/>
        <w:spacing w:line="360" w:lineRule="auto"/>
        <w:ind w:firstLine="480" w:firstLineChars="200"/>
        <w:rPr>
          <w:color w:val="FF0000"/>
          <w:sz w:val="24"/>
        </w:rPr>
      </w:pPr>
    </w:p>
    <w:p>
      <w:pPr>
        <w:adjustRightInd w:val="0"/>
        <w:snapToGrid w:val="0"/>
        <w:spacing w:line="360" w:lineRule="auto"/>
        <w:ind w:firstLine="480" w:firstLineChars="200"/>
        <w:rPr>
          <w:color w:val="FF0000"/>
          <w:sz w:val="24"/>
        </w:rPr>
      </w:pPr>
    </w:p>
    <w:p>
      <w:pPr>
        <w:adjustRightInd w:val="0"/>
        <w:snapToGrid w:val="0"/>
        <w:spacing w:line="360" w:lineRule="auto"/>
        <w:ind w:firstLine="480" w:firstLineChars="200"/>
        <w:rPr>
          <w:color w:val="FF0000"/>
          <w:sz w:val="24"/>
        </w:rPr>
      </w:pPr>
    </w:p>
    <w:p>
      <w:pPr>
        <w:spacing w:line="360" w:lineRule="auto"/>
        <w:jc w:val="right"/>
        <w:rPr>
          <w:bCs/>
          <w:sz w:val="18"/>
          <w:szCs w:val="18"/>
        </w:rPr>
      </w:pPr>
      <w:r>
        <w:rPr>
          <w:rFonts w:hAnsi="宋体"/>
          <w:b/>
          <w:kern w:val="0"/>
          <w:sz w:val="24"/>
        </w:rPr>
        <w:t>表6.</w:t>
      </w:r>
      <w:r>
        <w:rPr>
          <w:rFonts w:hint="eastAsia" w:hAnsi="宋体"/>
          <w:b/>
          <w:kern w:val="0"/>
          <w:sz w:val="24"/>
        </w:rPr>
        <w:t>2.3-1</w:t>
      </w:r>
      <w:r>
        <w:rPr>
          <w:rFonts w:hAnsi="宋体"/>
          <w:b/>
          <w:kern w:val="0"/>
          <w:sz w:val="24"/>
        </w:rPr>
        <w:t xml:space="preserve">  六安市</w:t>
      </w:r>
      <w:r>
        <w:rPr>
          <w:rFonts w:hint="eastAsia" w:hAnsi="宋体"/>
          <w:b/>
          <w:kern w:val="0"/>
          <w:sz w:val="24"/>
        </w:rPr>
        <w:t>现状基准年</w:t>
      </w:r>
      <w:r>
        <w:rPr>
          <w:rFonts w:hAnsi="宋体"/>
          <w:b/>
          <w:kern w:val="0"/>
          <w:sz w:val="24"/>
        </w:rPr>
        <w:t>分</w:t>
      </w:r>
      <w:r>
        <w:rPr>
          <w:rFonts w:hint="eastAsia" w:hAnsi="宋体"/>
          <w:b/>
          <w:kern w:val="0"/>
          <w:sz w:val="24"/>
        </w:rPr>
        <w:t>水源</w:t>
      </w:r>
      <w:r>
        <w:rPr>
          <w:rFonts w:hAnsi="宋体"/>
          <w:b/>
          <w:kern w:val="0"/>
          <w:sz w:val="24"/>
        </w:rPr>
        <w:t>水量配置</w:t>
      </w:r>
      <w:r>
        <w:rPr>
          <w:rFonts w:eastAsia="黑体"/>
          <w:kern w:val="0"/>
          <w:sz w:val="24"/>
        </w:rPr>
        <w:t xml:space="preserve">   </w:t>
      </w:r>
      <w:r>
        <w:rPr>
          <w:rFonts w:hint="eastAsia" w:eastAsia="黑体"/>
          <w:kern w:val="0"/>
          <w:sz w:val="24"/>
        </w:rPr>
        <w:t xml:space="preserve"> </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35684</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99.9</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19</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0</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0.0</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35703</w:t>
            </w:r>
          </w:p>
        </w:tc>
      </w:tr>
      <w:tr>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163547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97.0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732</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0.4</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4380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2.6</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168659</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50687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100.0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50691</w:t>
            </w:r>
          </w:p>
        </w:tc>
      </w:tr>
      <w:tr>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249918</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98.0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755</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0.3</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kern w:val="0"/>
                <w:sz w:val="18"/>
                <w:szCs w:val="18"/>
              </w:rPr>
            </w:pPr>
            <w:r>
              <w:rPr>
                <w:rFonts w:eastAsia="等线"/>
                <w:b/>
                <w:bCs/>
                <w:sz w:val="18"/>
                <w:szCs w:val="18"/>
              </w:rPr>
              <w:t>4380</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1.7</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r>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44816</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96.8</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1461</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3.2</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46282</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34294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95.1</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1761</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4.9</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36055</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12655</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98.9</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0.4</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100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kern w:val="0"/>
                <w:sz w:val="18"/>
                <w:szCs w:val="18"/>
              </w:rPr>
            </w:pPr>
            <w:r>
              <w:rPr>
                <w:rFonts w:eastAsia="等线"/>
                <w:sz w:val="18"/>
                <w:szCs w:val="18"/>
              </w:rPr>
              <w:t>0.8</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12802</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89399</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99.0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670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0.7</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232</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0.3</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90301</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35057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100.0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35061</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17692</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95.5</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826</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4.5</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18528</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16005</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99.9</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19</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0.1</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0.0</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16024</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249918</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98.0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755</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0.3</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4380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1.7</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255053</w:t>
            </w:r>
          </w:p>
        </w:tc>
      </w:tr>
    </w:tbl>
    <w:p>
      <w:pPr>
        <w:adjustRightInd w:val="0"/>
        <w:snapToGrid w:val="0"/>
        <w:spacing w:line="360" w:lineRule="auto"/>
        <w:ind w:firstLine="360" w:firstLineChars="200"/>
        <w:rPr>
          <w:color w:val="FF0000"/>
          <w:sz w:val="18"/>
          <w:szCs w:val="18"/>
        </w:rPr>
      </w:pPr>
    </w:p>
    <w:p>
      <w:pPr>
        <w:spacing w:line="360" w:lineRule="auto"/>
        <w:jc w:val="right"/>
        <w:rPr>
          <w:bCs/>
          <w:sz w:val="18"/>
          <w:szCs w:val="18"/>
        </w:rPr>
      </w:pPr>
      <w:r>
        <w:rPr>
          <w:rFonts w:hAnsi="宋体"/>
          <w:b/>
          <w:kern w:val="0"/>
          <w:sz w:val="24"/>
        </w:rPr>
        <w:t>表6.</w:t>
      </w:r>
      <w:r>
        <w:rPr>
          <w:rFonts w:hint="eastAsia" w:hAnsi="宋体"/>
          <w:b/>
          <w:kern w:val="0"/>
          <w:sz w:val="24"/>
        </w:rPr>
        <w:t>2.3-</w:t>
      </w:r>
      <w:r>
        <w:rPr>
          <w:rFonts w:hAnsi="宋体"/>
          <w:b/>
          <w:kern w:val="0"/>
          <w:sz w:val="24"/>
        </w:rPr>
        <w:t>2  六安市</w:t>
      </w:r>
      <w:r>
        <w:rPr>
          <w:rFonts w:hint="eastAsia" w:hAnsi="宋体"/>
          <w:b/>
          <w:kern w:val="0"/>
          <w:sz w:val="24"/>
        </w:rPr>
        <w:t>规划2</w:t>
      </w:r>
      <w:r>
        <w:rPr>
          <w:rFonts w:hAnsi="宋体"/>
          <w:b/>
          <w:kern w:val="0"/>
          <w:sz w:val="24"/>
        </w:rPr>
        <w:t>025年分</w:t>
      </w:r>
      <w:r>
        <w:rPr>
          <w:rFonts w:hint="eastAsia" w:hAnsi="宋体"/>
          <w:b/>
          <w:kern w:val="0"/>
          <w:sz w:val="24"/>
        </w:rPr>
        <w:t>水源</w:t>
      </w:r>
      <w:r>
        <w:rPr>
          <w:rFonts w:hAnsi="宋体"/>
          <w:b/>
          <w:kern w:val="0"/>
          <w:sz w:val="24"/>
        </w:rPr>
        <w:t>水量配置</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36963</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97.4</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337</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0.9</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663</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1.7</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37963</w:t>
            </w:r>
          </w:p>
        </w:tc>
      </w:tr>
      <w:tr>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153997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93.8</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4659</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5587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164243</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52955</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98.1</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604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400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0.7</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53959</w:t>
            </w:r>
          </w:p>
        </w:tc>
      </w:tr>
      <w:tr>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243915</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95.2</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6650</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2.6</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r>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43144</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94.8</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572</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1778</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3.9</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45494</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34351</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93.3</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1893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5.1</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36807</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12794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91.2</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938</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6.7</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291</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2.1</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14023</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81494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96.6</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2251</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2.7</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658</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0.8</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84403</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37143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97.5</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400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38106</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18341</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92.7</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469</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2.4</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967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4.9</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19777</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16648</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94.8</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244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663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3.8</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17555</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243915</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95.2</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6650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2.6</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256165</w:t>
            </w:r>
          </w:p>
        </w:tc>
      </w:tr>
    </w:tbl>
    <w:p>
      <w:pPr>
        <w:spacing w:line="360" w:lineRule="auto"/>
        <w:jc w:val="right"/>
        <w:rPr>
          <w:bCs/>
          <w:sz w:val="18"/>
          <w:szCs w:val="18"/>
        </w:rPr>
      </w:pPr>
      <w:r>
        <w:rPr>
          <w:rFonts w:hAnsi="宋体"/>
          <w:b/>
          <w:kern w:val="0"/>
          <w:sz w:val="24"/>
        </w:rPr>
        <w:t>表6.</w:t>
      </w:r>
      <w:r>
        <w:rPr>
          <w:rFonts w:hint="eastAsia" w:hAnsi="宋体"/>
          <w:b/>
          <w:kern w:val="0"/>
          <w:sz w:val="24"/>
        </w:rPr>
        <w:t>2.3-</w:t>
      </w:r>
      <w:r>
        <w:rPr>
          <w:rFonts w:hAnsi="宋体"/>
          <w:b/>
          <w:kern w:val="0"/>
          <w:sz w:val="24"/>
        </w:rPr>
        <w:t>3  六安市</w:t>
      </w:r>
      <w:r>
        <w:rPr>
          <w:rFonts w:hint="eastAsia" w:hAnsi="宋体"/>
          <w:b/>
          <w:kern w:val="0"/>
          <w:sz w:val="24"/>
        </w:rPr>
        <w:t>规划2</w:t>
      </w:r>
      <w:r>
        <w:rPr>
          <w:rFonts w:hAnsi="宋体"/>
          <w:b/>
          <w:kern w:val="0"/>
          <w:sz w:val="24"/>
        </w:rPr>
        <w:t>030年分</w:t>
      </w:r>
      <w:r>
        <w:rPr>
          <w:rFonts w:hint="eastAsia" w:hAnsi="宋体"/>
          <w:b/>
          <w:kern w:val="0"/>
          <w:sz w:val="24"/>
        </w:rPr>
        <w:t>水源</w:t>
      </w:r>
      <w:r>
        <w:rPr>
          <w:rFonts w:hAnsi="宋体"/>
          <w:b/>
          <w:kern w:val="0"/>
          <w:sz w:val="24"/>
        </w:rPr>
        <w:t>水量配置</w:t>
      </w:r>
      <w:r>
        <w:rPr>
          <w:rFonts w:eastAsia="黑体"/>
          <w:kern w:val="0"/>
          <w:sz w:val="24"/>
        </w:rPr>
        <w:t xml:space="preserve">     </w:t>
      </w:r>
      <w:r>
        <w:rPr>
          <w:kern w:val="0"/>
          <w:sz w:val="18"/>
        </w:rPr>
        <w:t>水量单位：</w:t>
      </w:r>
      <w:r>
        <w:rPr>
          <w:rFonts w:hint="eastAsia"/>
          <w:kern w:val="0"/>
          <w:sz w:val="18"/>
        </w:rPr>
        <w:t>万</w:t>
      </w:r>
      <w:r>
        <w:rPr>
          <w:kern w:val="0"/>
          <w:sz w:val="18"/>
        </w:rPr>
        <w:t>m</w:t>
      </w:r>
      <w:r>
        <w:rPr>
          <w:kern w:val="0"/>
          <w:sz w:val="18"/>
          <w:vertAlign w:val="superscript"/>
        </w:rPr>
        <w:t>3</w:t>
      </w:r>
      <w:r>
        <w:rPr>
          <w:rFonts w:eastAsia="黑体"/>
          <w:kern w:val="0"/>
          <w:sz w:val="18"/>
        </w:rPr>
        <w:t xml:space="preserve"> </w:t>
      </w:r>
    </w:p>
    <w:tbl>
      <w:tblPr>
        <w:tblStyle w:val="36"/>
        <w:tblW w:w="5000" w:type="pct"/>
        <w:jc w:val="center"/>
        <w:tblLayout w:type="autofit"/>
        <w:tblCellMar>
          <w:top w:w="0" w:type="dxa"/>
          <w:left w:w="108" w:type="dxa"/>
          <w:bottom w:w="0" w:type="dxa"/>
          <w:right w:w="108" w:type="dxa"/>
        </w:tblCellMar>
      </w:tblPr>
      <w:tblGrid>
        <w:gridCol w:w="868"/>
        <w:gridCol w:w="842"/>
        <w:gridCol w:w="1136"/>
        <w:gridCol w:w="877"/>
        <w:gridCol w:w="833"/>
        <w:gridCol w:w="877"/>
        <w:gridCol w:w="833"/>
        <w:gridCol w:w="877"/>
        <w:gridCol w:w="834"/>
        <w:gridCol w:w="856"/>
      </w:tblGrid>
      <w:tr>
        <w:tblPrEx>
          <w:tblCellMar>
            <w:top w:w="0" w:type="dxa"/>
            <w:left w:w="108" w:type="dxa"/>
            <w:bottom w:w="0" w:type="dxa"/>
            <w:right w:w="108" w:type="dxa"/>
          </w:tblCellMar>
        </w:tblPrEx>
        <w:trPr>
          <w:trHeight w:val="397"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流域</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三级区</w:t>
            </w:r>
          </w:p>
        </w:tc>
        <w:tc>
          <w:tcPr>
            <w:tcW w:w="1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四级区</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地表水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地下水</w:t>
            </w:r>
          </w:p>
        </w:tc>
        <w:tc>
          <w:tcPr>
            <w:tcW w:w="16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其他水源</w:t>
            </w:r>
          </w:p>
        </w:tc>
        <w:tc>
          <w:tcPr>
            <w:tcW w:w="83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供水量</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占比</w:t>
            </w:r>
            <w:r>
              <w:rPr>
                <w:color w:val="000000"/>
                <w:kern w:val="0"/>
                <w:sz w:val="18"/>
                <w:szCs w:val="18"/>
              </w:rPr>
              <w:t>%</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淮河流域</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王蚌区间南岸</w:t>
            </w: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淠史河上游区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37307</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95.7</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337</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0.9</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1325</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38969</w:t>
            </w:r>
          </w:p>
        </w:tc>
      </w:tr>
      <w:tr>
        <w:tblPrEx>
          <w:tblCellMar>
            <w:top w:w="0" w:type="dxa"/>
            <w:left w:w="108" w:type="dxa"/>
            <w:bottom w:w="0" w:type="dxa"/>
            <w:right w:w="108" w:type="dxa"/>
          </w:tblCellMar>
        </w:tblPrEx>
        <w:trPr>
          <w:trHeight w:val="397"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2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王蚌南岸沿淮区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153208</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93.0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4659</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2.8</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6791</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4.1</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164658</w:t>
            </w:r>
          </w:p>
        </w:tc>
      </w:tr>
      <w:tr>
        <w:tblPrEx>
          <w:tblCellMar>
            <w:top w:w="0" w:type="dxa"/>
            <w:left w:w="108" w:type="dxa"/>
            <w:bottom w:w="0" w:type="dxa"/>
            <w:right w:w="108" w:type="dxa"/>
          </w:tblCellMar>
        </w:tblPrEx>
        <w:trPr>
          <w:trHeight w:val="397"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长江流域</w:t>
            </w:r>
          </w:p>
        </w:tc>
        <w:tc>
          <w:tcPr>
            <w:tcW w:w="8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巢滁皖及沿江诸河</w:t>
            </w: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杭埠河区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51954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97.4</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604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800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53358</w:t>
            </w:r>
          </w:p>
        </w:tc>
      </w:tr>
      <w:tr>
        <w:tblPrEx>
          <w:tblCellMar>
            <w:top w:w="0" w:type="dxa"/>
            <w:left w:w="108" w:type="dxa"/>
            <w:bottom w:w="0" w:type="dxa"/>
            <w:right w:w="108" w:type="dxa"/>
          </w:tblCellMar>
        </w:tblPrEx>
        <w:trPr>
          <w:trHeight w:val="397" w:hRule="atLeast"/>
          <w:jc w:val="center"/>
        </w:trPr>
        <w:tc>
          <w:tcPr>
            <w:tcW w:w="2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242469</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94.4</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8916</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r>
        <w:tblPrEx>
          <w:tblCellMar>
            <w:top w:w="0" w:type="dxa"/>
            <w:left w:w="108" w:type="dxa"/>
            <w:bottom w:w="0" w:type="dxa"/>
            <w:right w:w="108" w:type="dxa"/>
          </w:tblCellMar>
        </w:tblPrEx>
        <w:trPr>
          <w:trHeight w:val="397" w:hRule="atLeast"/>
          <w:jc w:val="center"/>
        </w:trPr>
        <w:tc>
          <w:tcPr>
            <w:tcW w:w="84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行政分区</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金安区</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43044</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94.2</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572</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2095</w:t>
            </w:r>
          </w:p>
        </w:tc>
        <w:tc>
          <w:tcPr>
            <w:tcW w:w="8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w:t>
            </w:r>
          </w:p>
        </w:tc>
        <w:tc>
          <w:tcPr>
            <w:tcW w:w="8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45711</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裕安区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35003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93.1</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2025</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5.4</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37591</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叶集区</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12597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89.9</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938</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6.7</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481</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3.4</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14016</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80086</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96.0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2251</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2.7</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1083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83420</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舒城县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36317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96.4</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563</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1.5</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800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2.1</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37680</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金寨县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18847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92.3</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469</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2.3</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1107</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5.4</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20423</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霍山县</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16575</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91.4</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244</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1325</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7.3</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18144</w:t>
            </w:r>
          </w:p>
        </w:tc>
      </w:tr>
      <w:tr>
        <w:tblPrEx>
          <w:tblCellMar>
            <w:top w:w="0" w:type="dxa"/>
            <w:left w:w="108" w:type="dxa"/>
            <w:bottom w:w="0" w:type="dxa"/>
            <w:right w:w="108" w:type="dxa"/>
          </w:tblCellMar>
        </w:tblPrEx>
        <w:trPr>
          <w:trHeight w:val="397" w:hRule="atLeast"/>
          <w:jc w:val="center"/>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242469</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94.4</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5600</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2.2</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8916</w:t>
            </w:r>
          </w:p>
        </w:tc>
        <w:tc>
          <w:tcPr>
            <w:tcW w:w="81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color w:val="000000"/>
                <w:kern w:val="0"/>
                <w:sz w:val="18"/>
                <w:szCs w:val="18"/>
              </w:rPr>
            </w:pPr>
            <w:r>
              <w:rPr>
                <w:rFonts w:eastAsia="等线"/>
                <w:color w:val="000000"/>
                <w:sz w:val="18"/>
                <w:szCs w:val="18"/>
              </w:rPr>
              <w:t>3.5</w:t>
            </w:r>
          </w:p>
        </w:tc>
        <w:tc>
          <w:tcPr>
            <w:tcW w:w="83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eastAsia="等线"/>
                <w:b/>
                <w:bCs/>
                <w:color w:val="000000"/>
                <w:kern w:val="0"/>
                <w:sz w:val="18"/>
                <w:szCs w:val="18"/>
              </w:rPr>
            </w:pPr>
            <w:r>
              <w:rPr>
                <w:rFonts w:eastAsia="等线"/>
                <w:b/>
                <w:bCs/>
                <w:color w:val="000000"/>
                <w:sz w:val="18"/>
                <w:szCs w:val="18"/>
              </w:rPr>
              <w:t>256985</w:t>
            </w:r>
          </w:p>
        </w:tc>
      </w:tr>
    </w:tbl>
    <w:p>
      <w:pPr>
        <w:adjustRightInd w:val="0"/>
        <w:snapToGrid w:val="0"/>
        <w:spacing w:line="360" w:lineRule="auto"/>
        <w:ind w:firstLine="480" w:firstLineChars="200"/>
        <w:rPr>
          <w:sz w:val="24"/>
        </w:rPr>
      </w:pPr>
    </w:p>
    <w:p>
      <w:pPr>
        <w:adjustRightInd w:val="0"/>
        <w:snapToGrid w:val="0"/>
        <w:spacing w:line="360" w:lineRule="auto"/>
        <w:ind w:firstLine="360" w:firstLineChars="200"/>
        <w:rPr>
          <w:color w:val="00B050"/>
          <w:sz w:val="18"/>
          <w:szCs w:val="18"/>
        </w:rPr>
      </w:pPr>
    </w:p>
    <w:p>
      <w:pPr>
        <w:adjustRightInd w:val="0"/>
        <w:snapToGrid w:val="0"/>
        <w:spacing w:line="360" w:lineRule="auto"/>
        <w:ind w:firstLine="360" w:firstLineChars="200"/>
        <w:rPr>
          <w:color w:val="FF0000"/>
          <w:sz w:val="18"/>
          <w:szCs w:val="18"/>
        </w:rPr>
      </w:pPr>
    </w:p>
    <w:p>
      <w:pPr>
        <w:adjustRightInd w:val="0"/>
        <w:snapToGrid w:val="0"/>
        <w:spacing w:line="360" w:lineRule="auto"/>
        <w:rPr>
          <w:b/>
          <w:color w:val="FF0000"/>
          <w:sz w:val="24"/>
        </w:rPr>
        <w:sectPr>
          <w:pgSz w:w="11906" w:h="16838"/>
          <w:pgMar w:top="1588" w:right="1588" w:bottom="1474" w:left="1701" w:header="851" w:footer="992" w:gutter="0"/>
          <w:cols w:space="425" w:num="1"/>
          <w:docGrid w:type="linesAndChars" w:linePitch="312" w:charSpace="0"/>
        </w:sectPr>
      </w:pPr>
    </w:p>
    <w:p>
      <w:pPr>
        <w:pStyle w:val="4"/>
        <w:spacing w:before="156" w:beforeLines="50" w:after="156" w:afterLines="50"/>
        <w:rPr>
          <w:b w:val="0"/>
          <w:bCs w:val="0"/>
          <w:sz w:val="28"/>
        </w:rPr>
      </w:pPr>
      <w:bookmarkStart w:id="391" w:name="_Toc432782573"/>
      <w:bookmarkStart w:id="392" w:name="_Toc382472245"/>
      <w:bookmarkStart w:id="393" w:name="_Toc95382520"/>
      <w:bookmarkStart w:id="394" w:name="_Toc306734699"/>
      <w:r>
        <w:rPr>
          <w:sz w:val="28"/>
        </w:rPr>
        <w:t>三、分区水资源配置</w:t>
      </w:r>
      <w:bookmarkEnd w:id="391"/>
      <w:bookmarkEnd w:id="392"/>
      <w:bookmarkEnd w:id="393"/>
      <w:bookmarkEnd w:id="394"/>
    </w:p>
    <w:p>
      <w:pPr>
        <w:adjustRightInd w:val="0"/>
        <w:snapToGrid w:val="0"/>
        <w:spacing w:line="360" w:lineRule="auto"/>
        <w:ind w:firstLine="480" w:firstLineChars="200"/>
        <w:rPr>
          <w:sz w:val="24"/>
        </w:rPr>
      </w:pPr>
      <w:r>
        <w:rPr>
          <w:sz w:val="24"/>
        </w:rPr>
        <w:t>水资源分区配置是在市及流域总体配置的框架下，根据水资源总体承载能力，统筹考虑现状和未来不同流域、不同区域、不同行业之间的用水需求，合理配置水资源，逐步形成区域经济发展、产业布局与水资源承载能力相匹配的格局，促进区域协调可持续发展。主要水资源分区配置以水资源四级区内各县级行政区为单元，对地表水量和地下水量以及其他水源水量进行合理配置。</w:t>
      </w:r>
    </w:p>
    <w:p>
      <w:pPr>
        <w:adjustRightInd w:val="0"/>
        <w:snapToGrid w:val="0"/>
        <w:spacing w:line="360" w:lineRule="auto"/>
        <w:rPr>
          <w:b/>
          <w:sz w:val="24"/>
        </w:rPr>
      </w:pPr>
      <w:r>
        <w:rPr>
          <w:b/>
          <w:sz w:val="24"/>
        </w:rPr>
        <w:t>（一）淮河流域</w:t>
      </w:r>
    </w:p>
    <w:p>
      <w:pPr>
        <w:adjustRightInd w:val="0"/>
        <w:snapToGrid w:val="0"/>
        <w:spacing w:line="360" w:lineRule="auto"/>
        <w:ind w:firstLine="480" w:firstLineChars="200"/>
        <w:rPr>
          <w:sz w:val="24"/>
        </w:rPr>
      </w:pPr>
      <w:r>
        <w:rPr>
          <w:sz w:val="24"/>
        </w:rPr>
        <w:t>20</w:t>
      </w:r>
      <w:r>
        <w:rPr>
          <w:rFonts w:hint="eastAsia"/>
          <w:sz w:val="24"/>
        </w:rPr>
        <w:t>2</w:t>
      </w:r>
      <w:r>
        <w:rPr>
          <w:sz w:val="24"/>
        </w:rPr>
        <w:t>5</w:t>
      </w:r>
      <w:r>
        <w:rPr>
          <w:rFonts w:hint="eastAsia"/>
          <w:sz w:val="24"/>
        </w:rPr>
        <w:t>六安市</w:t>
      </w:r>
      <w:r>
        <w:rPr>
          <w:sz w:val="24"/>
        </w:rPr>
        <w:t>淮河</w:t>
      </w:r>
      <w:r>
        <w:rPr>
          <w:rFonts w:hint="eastAsia"/>
          <w:sz w:val="24"/>
        </w:rPr>
        <w:t>区</w:t>
      </w:r>
      <w:r>
        <w:rPr>
          <w:sz w:val="24"/>
        </w:rPr>
        <w:t>总配置水量为20.22亿m</w:t>
      </w:r>
      <w:r>
        <w:rPr>
          <w:sz w:val="24"/>
          <w:vertAlign w:val="superscript"/>
        </w:rPr>
        <w:t>3</w:t>
      </w:r>
      <w:r>
        <w:rPr>
          <w:sz w:val="24"/>
        </w:rPr>
        <w:t>。</w:t>
      </w:r>
      <w:r>
        <w:rPr>
          <w:rFonts w:hint="eastAsia"/>
          <w:sz w:val="24"/>
        </w:rPr>
        <w:t>按供水</w:t>
      </w:r>
      <w:r>
        <w:rPr>
          <w:sz w:val="24"/>
        </w:rPr>
        <w:t>水源分，地表水供水量为19.10亿m</w:t>
      </w:r>
      <w:r>
        <w:rPr>
          <w:sz w:val="24"/>
          <w:vertAlign w:val="superscript"/>
        </w:rPr>
        <w:t>3</w:t>
      </w:r>
      <w:r>
        <w:rPr>
          <w:sz w:val="24"/>
        </w:rPr>
        <w:t>，地下水供水量为0.</w:t>
      </w:r>
      <w:r>
        <w:rPr>
          <w:rFonts w:hint="eastAsia"/>
          <w:sz w:val="24"/>
        </w:rPr>
        <w:t>5</w:t>
      </w:r>
      <w:r>
        <w:rPr>
          <w:sz w:val="24"/>
        </w:rPr>
        <w:t>0亿m</w:t>
      </w:r>
      <w:r>
        <w:rPr>
          <w:sz w:val="24"/>
          <w:vertAlign w:val="superscript"/>
        </w:rPr>
        <w:t>3</w:t>
      </w:r>
      <w:r>
        <w:rPr>
          <w:sz w:val="24"/>
        </w:rPr>
        <w:t>，其他水源供水量为0.63亿m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用水量分别为15.87亿m</w:t>
      </w:r>
      <w:r>
        <w:rPr>
          <w:sz w:val="24"/>
          <w:vertAlign w:val="superscript"/>
        </w:rPr>
        <w:t>3</w:t>
      </w:r>
      <w:r>
        <w:rPr>
          <w:sz w:val="24"/>
        </w:rPr>
        <w:t>、1.63亿m</w:t>
      </w:r>
      <w:r>
        <w:rPr>
          <w:sz w:val="24"/>
          <w:vertAlign w:val="superscript"/>
        </w:rPr>
        <w:t>3</w:t>
      </w:r>
      <w:r>
        <w:rPr>
          <w:rFonts w:hint="eastAsia"/>
          <w:sz w:val="24"/>
        </w:rPr>
        <w:t>、</w:t>
      </w:r>
      <w:r>
        <w:rPr>
          <w:sz w:val="24"/>
        </w:rPr>
        <w:t>2.06亿m</w:t>
      </w:r>
      <w:r>
        <w:rPr>
          <w:sz w:val="24"/>
          <w:vertAlign w:val="superscript"/>
        </w:rPr>
        <w:t>3</w:t>
      </w:r>
      <w:r>
        <w:rPr>
          <w:sz w:val="24"/>
        </w:rPr>
        <w:t>和0.66亿m</w:t>
      </w:r>
      <w:r>
        <w:rPr>
          <w:sz w:val="24"/>
          <w:vertAlign w:val="superscript"/>
        </w:rPr>
        <w:t>3</w:t>
      </w:r>
      <w:r>
        <w:rPr>
          <w:sz w:val="24"/>
        </w:rPr>
        <w:t>。</w:t>
      </w:r>
    </w:p>
    <w:p>
      <w:pPr>
        <w:adjustRightInd w:val="0"/>
        <w:snapToGrid w:val="0"/>
        <w:spacing w:line="360" w:lineRule="auto"/>
        <w:ind w:firstLine="480" w:firstLineChars="200"/>
        <w:rPr>
          <w:sz w:val="24"/>
        </w:rPr>
      </w:pPr>
      <w:r>
        <w:rPr>
          <w:sz w:val="24"/>
        </w:rPr>
        <w:t>2030</w:t>
      </w:r>
      <w:r>
        <w:rPr>
          <w:rFonts w:hint="eastAsia"/>
          <w:sz w:val="24"/>
        </w:rPr>
        <w:t>六安市</w:t>
      </w:r>
      <w:r>
        <w:rPr>
          <w:sz w:val="24"/>
        </w:rPr>
        <w:t>淮河</w:t>
      </w:r>
      <w:r>
        <w:rPr>
          <w:rFonts w:hint="eastAsia"/>
          <w:sz w:val="24"/>
        </w:rPr>
        <w:t>区</w:t>
      </w:r>
      <w:r>
        <w:rPr>
          <w:sz w:val="24"/>
        </w:rPr>
        <w:t>总配置水量为20.36亿m</w:t>
      </w:r>
      <w:r>
        <w:rPr>
          <w:sz w:val="24"/>
          <w:vertAlign w:val="superscript"/>
        </w:rPr>
        <w:t>3</w:t>
      </w:r>
      <w:r>
        <w:rPr>
          <w:sz w:val="24"/>
        </w:rPr>
        <w:t>。</w:t>
      </w:r>
      <w:r>
        <w:rPr>
          <w:rFonts w:hint="eastAsia"/>
          <w:sz w:val="24"/>
        </w:rPr>
        <w:t>按供水</w:t>
      </w:r>
      <w:r>
        <w:rPr>
          <w:sz w:val="24"/>
        </w:rPr>
        <w:t>水源分，地表水供水量为19.05亿m</w:t>
      </w:r>
      <w:r>
        <w:rPr>
          <w:sz w:val="24"/>
          <w:vertAlign w:val="superscript"/>
        </w:rPr>
        <w:t>3</w:t>
      </w:r>
      <w:r>
        <w:rPr>
          <w:sz w:val="24"/>
        </w:rPr>
        <w:t>，地下水供水量为0.</w:t>
      </w:r>
      <w:r>
        <w:rPr>
          <w:rFonts w:hint="eastAsia"/>
          <w:sz w:val="24"/>
        </w:rPr>
        <w:t>5</w:t>
      </w:r>
      <w:r>
        <w:rPr>
          <w:sz w:val="24"/>
        </w:rPr>
        <w:t>0亿m</w:t>
      </w:r>
      <w:r>
        <w:rPr>
          <w:sz w:val="24"/>
          <w:vertAlign w:val="superscript"/>
        </w:rPr>
        <w:t>3</w:t>
      </w:r>
      <w:r>
        <w:rPr>
          <w:sz w:val="24"/>
        </w:rPr>
        <w:t>，其他水源供水量为0.81亿m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用水量分别为15.48亿m</w:t>
      </w:r>
      <w:r>
        <w:rPr>
          <w:sz w:val="24"/>
          <w:vertAlign w:val="superscript"/>
        </w:rPr>
        <w:t>3</w:t>
      </w:r>
      <w:r>
        <w:rPr>
          <w:sz w:val="24"/>
        </w:rPr>
        <w:t>、1.79亿m</w:t>
      </w:r>
      <w:r>
        <w:rPr>
          <w:sz w:val="24"/>
          <w:vertAlign w:val="superscript"/>
        </w:rPr>
        <w:t>3</w:t>
      </w:r>
      <w:r>
        <w:rPr>
          <w:rFonts w:hint="eastAsia"/>
          <w:sz w:val="24"/>
        </w:rPr>
        <w:t>、</w:t>
      </w:r>
      <w:r>
        <w:rPr>
          <w:sz w:val="24"/>
        </w:rPr>
        <w:t>2.38亿m</w:t>
      </w:r>
      <w:r>
        <w:rPr>
          <w:sz w:val="24"/>
          <w:vertAlign w:val="superscript"/>
        </w:rPr>
        <w:t>3</w:t>
      </w:r>
      <w:r>
        <w:rPr>
          <w:sz w:val="24"/>
        </w:rPr>
        <w:t>和0.72亿m</w:t>
      </w:r>
      <w:r>
        <w:rPr>
          <w:sz w:val="24"/>
          <w:vertAlign w:val="superscript"/>
        </w:rPr>
        <w:t>3</w:t>
      </w:r>
      <w:r>
        <w:rPr>
          <w:sz w:val="24"/>
        </w:rPr>
        <w:t>。</w:t>
      </w:r>
    </w:p>
    <w:p>
      <w:pPr>
        <w:adjustRightInd w:val="0"/>
        <w:snapToGrid w:val="0"/>
        <w:spacing w:line="360" w:lineRule="auto"/>
        <w:rPr>
          <w:b/>
          <w:sz w:val="24"/>
        </w:rPr>
      </w:pPr>
      <w:r>
        <w:rPr>
          <w:b/>
          <w:sz w:val="24"/>
        </w:rPr>
        <w:t>（二）长江流域</w:t>
      </w:r>
    </w:p>
    <w:p>
      <w:pPr>
        <w:adjustRightInd w:val="0"/>
        <w:snapToGrid w:val="0"/>
        <w:spacing w:line="360" w:lineRule="auto"/>
        <w:ind w:firstLine="480" w:firstLineChars="200"/>
        <w:rPr>
          <w:sz w:val="24"/>
        </w:rPr>
      </w:pPr>
      <w:r>
        <w:rPr>
          <w:sz w:val="24"/>
        </w:rPr>
        <w:t>20</w:t>
      </w:r>
      <w:r>
        <w:rPr>
          <w:rFonts w:hint="eastAsia"/>
          <w:sz w:val="24"/>
        </w:rPr>
        <w:t>2</w:t>
      </w:r>
      <w:r>
        <w:rPr>
          <w:sz w:val="24"/>
        </w:rPr>
        <w:t>5</w:t>
      </w:r>
      <w:r>
        <w:rPr>
          <w:rFonts w:hint="eastAsia"/>
          <w:sz w:val="24"/>
        </w:rPr>
        <w:t>六安市长江区</w:t>
      </w:r>
      <w:r>
        <w:rPr>
          <w:sz w:val="24"/>
        </w:rPr>
        <w:t>总配置水量为5.40亿m</w:t>
      </w:r>
      <w:r>
        <w:rPr>
          <w:sz w:val="24"/>
          <w:vertAlign w:val="superscript"/>
        </w:rPr>
        <w:t>3</w:t>
      </w:r>
      <w:r>
        <w:rPr>
          <w:sz w:val="24"/>
        </w:rPr>
        <w:t>。</w:t>
      </w:r>
      <w:r>
        <w:rPr>
          <w:rFonts w:hint="eastAsia"/>
          <w:sz w:val="24"/>
        </w:rPr>
        <w:t>按供水</w:t>
      </w:r>
      <w:r>
        <w:rPr>
          <w:sz w:val="24"/>
        </w:rPr>
        <w:t>水源分，地表水供水量为5.30亿m</w:t>
      </w:r>
      <w:r>
        <w:rPr>
          <w:sz w:val="24"/>
          <w:vertAlign w:val="superscript"/>
        </w:rPr>
        <w:t>3</w:t>
      </w:r>
      <w:r>
        <w:rPr>
          <w:sz w:val="24"/>
        </w:rPr>
        <w:t>，地下水供水量为0.06亿m</w:t>
      </w:r>
      <w:r>
        <w:rPr>
          <w:sz w:val="24"/>
          <w:vertAlign w:val="superscript"/>
        </w:rPr>
        <w:t>3</w:t>
      </w:r>
      <w:r>
        <w:rPr>
          <w:sz w:val="24"/>
        </w:rPr>
        <w:t>，其他水源供水量为0.04亿m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用水量分别为4.26亿m</w:t>
      </w:r>
      <w:r>
        <w:rPr>
          <w:sz w:val="24"/>
          <w:vertAlign w:val="superscript"/>
        </w:rPr>
        <w:t>3</w:t>
      </w:r>
      <w:r>
        <w:rPr>
          <w:sz w:val="24"/>
        </w:rPr>
        <w:t>、0.45亿m</w:t>
      </w:r>
      <w:r>
        <w:rPr>
          <w:sz w:val="24"/>
          <w:vertAlign w:val="superscript"/>
        </w:rPr>
        <w:t>3</w:t>
      </w:r>
      <w:r>
        <w:rPr>
          <w:rFonts w:hint="eastAsia"/>
          <w:sz w:val="24"/>
        </w:rPr>
        <w:t>、</w:t>
      </w:r>
      <w:r>
        <w:rPr>
          <w:sz w:val="24"/>
        </w:rPr>
        <w:t>0.58亿m</w:t>
      </w:r>
      <w:r>
        <w:rPr>
          <w:sz w:val="24"/>
          <w:vertAlign w:val="superscript"/>
        </w:rPr>
        <w:t>3</w:t>
      </w:r>
      <w:r>
        <w:rPr>
          <w:sz w:val="24"/>
        </w:rPr>
        <w:t>和0.11亿m</w:t>
      </w:r>
      <w:r>
        <w:rPr>
          <w:sz w:val="24"/>
          <w:vertAlign w:val="superscript"/>
        </w:rPr>
        <w:t>3</w:t>
      </w:r>
      <w:r>
        <w:rPr>
          <w:sz w:val="24"/>
        </w:rPr>
        <w:t>。</w:t>
      </w:r>
    </w:p>
    <w:p>
      <w:pPr>
        <w:adjustRightInd w:val="0"/>
        <w:snapToGrid w:val="0"/>
        <w:spacing w:line="360" w:lineRule="auto"/>
        <w:ind w:firstLine="600" w:firstLineChars="250"/>
        <w:rPr>
          <w:sz w:val="24"/>
        </w:rPr>
      </w:pPr>
      <w:r>
        <w:rPr>
          <w:sz w:val="24"/>
        </w:rPr>
        <w:t>2030</w:t>
      </w:r>
      <w:r>
        <w:rPr>
          <w:rFonts w:hint="eastAsia"/>
          <w:sz w:val="24"/>
        </w:rPr>
        <w:t>六安市长江区</w:t>
      </w:r>
      <w:r>
        <w:rPr>
          <w:sz w:val="24"/>
        </w:rPr>
        <w:t>总配置水量为5.34亿m</w:t>
      </w:r>
      <w:r>
        <w:rPr>
          <w:sz w:val="24"/>
          <w:vertAlign w:val="superscript"/>
        </w:rPr>
        <w:t>3</w:t>
      </w:r>
      <w:r>
        <w:rPr>
          <w:sz w:val="24"/>
        </w:rPr>
        <w:t>。</w:t>
      </w:r>
      <w:r>
        <w:rPr>
          <w:rFonts w:hint="eastAsia"/>
          <w:sz w:val="24"/>
        </w:rPr>
        <w:t>按供水</w:t>
      </w:r>
      <w:r>
        <w:rPr>
          <w:sz w:val="24"/>
        </w:rPr>
        <w:t>水源分，地表水供水量为5.20亿m</w:t>
      </w:r>
      <w:r>
        <w:rPr>
          <w:sz w:val="24"/>
          <w:vertAlign w:val="superscript"/>
        </w:rPr>
        <w:t>3</w:t>
      </w:r>
      <w:r>
        <w:rPr>
          <w:sz w:val="24"/>
        </w:rPr>
        <w:t>，地下水供水量为0.0</w:t>
      </w:r>
      <w:r>
        <w:rPr>
          <w:rFonts w:hint="eastAsia"/>
          <w:sz w:val="24"/>
        </w:rPr>
        <w:t>6</w:t>
      </w:r>
      <w:r>
        <w:rPr>
          <w:sz w:val="24"/>
        </w:rPr>
        <w:t>亿m</w:t>
      </w:r>
      <w:r>
        <w:rPr>
          <w:sz w:val="24"/>
          <w:vertAlign w:val="superscript"/>
        </w:rPr>
        <w:t>3</w:t>
      </w:r>
      <w:r>
        <w:rPr>
          <w:sz w:val="24"/>
        </w:rPr>
        <w:t>，其他水源供水量为0.08亿m</w:t>
      </w:r>
      <w:r>
        <w:rPr>
          <w:sz w:val="24"/>
          <w:vertAlign w:val="superscript"/>
        </w:rPr>
        <w:t>3</w:t>
      </w:r>
      <w:r>
        <w:rPr>
          <w:sz w:val="24"/>
        </w:rPr>
        <w:t>；</w:t>
      </w:r>
      <w:r>
        <w:rPr>
          <w:rFonts w:hint="eastAsia"/>
          <w:sz w:val="24"/>
        </w:rPr>
        <w:t>按用水行业分，农业、工业、</w:t>
      </w:r>
      <w:r>
        <w:rPr>
          <w:sz w:val="24"/>
        </w:rPr>
        <w:t>生活、河道外生态</w:t>
      </w:r>
      <w:r>
        <w:rPr>
          <w:rFonts w:hint="eastAsia"/>
          <w:sz w:val="24"/>
        </w:rPr>
        <w:t>环境</w:t>
      </w:r>
      <w:r>
        <w:rPr>
          <w:sz w:val="24"/>
        </w:rPr>
        <w:t>用水量分别为4.05亿m</w:t>
      </w:r>
      <w:r>
        <w:rPr>
          <w:sz w:val="24"/>
          <w:vertAlign w:val="superscript"/>
        </w:rPr>
        <w:t>3</w:t>
      </w:r>
      <w:r>
        <w:rPr>
          <w:sz w:val="24"/>
        </w:rPr>
        <w:t>、0.49亿m</w:t>
      </w:r>
      <w:r>
        <w:rPr>
          <w:sz w:val="24"/>
          <w:vertAlign w:val="superscript"/>
        </w:rPr>
        <w:t>3</w:t>
      </w:r>
      <w:r>
        <w:rPr>
          <w:rFonts w:hint="eastAsia"/>
          <w:sz w:val="24"/>
        </w:rPr>
        <w:t>、</w:t>
      </w:r>
      <w:r>
        <w:rPr>
          <w:sz w:val="24"/>
        </w:rPr>
        <w:t>0.67亿m</w:t>
      </w:r>
      <w:r>
        <w:rPr>
          <w:sz w:val="24"/>
          <w:vertAlign w:val="superscript"/>
        </w:rPr>
        <w:t>3</w:t>
      </w:r>
      <w:r>
        <w:rPr>
          <w:sz w:val="24"/>
        </w:rPr>
        <w:t>和0.12亿m</w:t>
      </w:r>
      <w:r>
        <w:rPr>
          <w:sz w:val="24"/>
          <w:vertAlign w:val="superscript"/>
        </w:rPr>
        <w:t>3</w:t>
      </w:r>
      <w:r>
        <w:rPr>
          <w:sz w:val="24"/>
        </w:rPr>
        <w:t>。</w:t>
      </w:r>
    </w:p>
    <w:p>
      <w:pPr>
        <w:adjustRightInd w:val="0"/>
        <w:snapToGrid w:val="0"/>
        <w:spacing w:line="360" w:lineRule="auto"/>
        <w:rPr>
          <w:color w:val="FF0000"/>
          <w:sz w:val="24"/>
        </w:rPr>
      </w:pPr>
    </w:p>
    <w:p>
      <w:pPr>
        <w:wordWrap w:val="0"/>
        <w:adjustRightInd w:val="0"/>
        <w:snapToGrid w:val="0"/>
        <w:spacing w:line="360" w:lineRule="auto"/>
        <w:jc w:val="right"/>
        <w:rPr>
          <w:b/>
          <w:bCs/>
          <w:color w:val="FF0000"/>
          <w:kern w:val="0"/>
          <w:sz w:val="24"/>
        </w:rPr>
        <w:sectPr>
          <w:pgSz w:w="11906" w:h="16838"/>
          <w:pgMar w:top="1588" w:right="1588" w:bottom="1474" w:left="1701" w:header="851" w:footer="992" w:gutter="0"/>
          <w:cols w:space="425" w:num="1"/>
          <w:docGrid w:type="linesAndChars" w:linePitch="312" w:charSpace="0"/>
        </w:sectPr>
      </w:pPr>
    </w:p>
    <w:p>
      <w:pPr>
        <w:wordWrap w:val="0"/>
        <w:adjustRightInd w:val="0"/>
        <w:snapToGrid w:val="0"/>
        <w:spacing w:line="360" w:lineRule="auto"/>
        <w:jc w:val="right"/>
        <w:rPr>
          <w:sz w:val="24"/>
        </w:rPr>
      </w:pPr>
      <w:r>
        <w:rPr>
          <w:b/>
          <w:bCs/>
          <w:kern w:val="0"/>
          <w:sz w:val="24"/>
        </w:rPr>
        <w:t>表6.</w:t>
      </w:r>
      <w:r>
        <w:rPr>
          <w:rFonts w:hint="eastAsia"/>
          <w:b/>
          <w:bCs/>
          <w:kern w:val="0"/>
          <w:sz w:val="24"/>
        </w:rPr>
        <w:t xml:space="preserve">2.4  </w:t>
      </w:r>
      <w:r>
        <w:rPr>
          <w:b/>
          <w:bCs/>
          <w:kern w:val="0"/>
          <w:sz w:val="24"/>
        </w:rPr>
        <w:t xml:space="preserve">六安市规划水平年（2025）配置成果表         </w:t>
      </w:r>
      <w:r>
        <w:rPr>
          <w:rFonts w:hint="eastAsia"/>
          <w:b/>
          <w:bCs/>
          <w:kern w:val="0"/>
          <w:sz w:val="24"/>
        </w:rPr>
        <w:t xml:space="preserve">       </w:t>
      </w:r>
      <w:r>
        <w:rPr>
          <w:b/>
          <w:bCs/>
          <w:kern w:val="0"/>
          <w:sz w:val="24"/>
        </w:rPr>
        <w:t xml:space="preserve">  </w:t>
      </w:r>
      <w:r>
        <w:rPr>
          <w:rFonts w:hint="eastAsia"/>
          <w:b/>
          <w:bCs/>
          <w:kern w:val="0"/>
          <w:sz w:val="24"/>
        </w:rPr>
        <w:t xml:space="preserve">    </w:t>
      </w:r>
      <w:r>
        <w:rPr>
          <w:b/>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tblPrEx>
          <w:tblCellMar>
            <w:top w:w="0" w:type="dxa"/>
            <w:left w:w="108" w:type="dxa"/>
            <w:bottom w:w="0" w:type="dxa"/>
            <w:right w:w="108" w:type="dxa"/>
          </w:tblCellMar>
        </w:tblPrEx>
        <w:trPr>
          <w:trHeight w:val="39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CellMar>
            <w:top w:w="0" w:type="dxa"/>
            <w:left w:w="108" w:type="dxa"/>
            <w:bottom w:w="0" w:type="dxa"/>
            <w:right w:w="108" w:type="dxa"/>
          </w:tblCellMar>
        </w:tblPrEx>
        <w:trPr>
          <w:trHeight w:val="397"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霍山县</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10262</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4300</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1746</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495</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16803</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15896</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244</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663</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16803</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14241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20782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19875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20782</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13955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20496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19589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20496</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11014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17555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16648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17555</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12687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15618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15568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15618</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17403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20334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20284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20334</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17955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20886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20836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20886</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13472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840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16353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16403</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3237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3769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3726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3769</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4522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5054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5011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5054</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4318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4850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4807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4850</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3473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460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4005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3962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4005</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26186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36190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35190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36190</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36166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46170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45170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46170</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36228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46232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45232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46232</w:t>
            </w:r>
          </w:p>
        </w:tc>
      </w:tr>
      <w:tr>
        <w:tblPrEx>
          <w:tblCellMar>
            <w:top w:w="0" w:type="dxa"/>
            <w:left w:w="108" w:type="dxa"/>
            <w:bottom w:w="0" w:type="dxa"/>
            <w:right w:w="108" w:type="dxa"/>
          </w:tblCellMar>
        </w:tblPrEx>
        <w:trPr>
          <w:trHeight w:val="397"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27959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37963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36963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37963</w:t>
            </w:r>
          </w:p>
        </w:tc>
      </w:tr>
    </w:tbl>
    <w:p>
      <w:pPr>
        <w:wordWrap w:val="0"/>
        <w:adjustRightInd w:val="0"/>
        <w:snapToGrid w:val="0"/>
        <w:spacing w:line="360" w:lineRule="auto"/>
        <w:jc w:val="right"/>
        <w:rPr>
          <w:b/>
          <w:bCs/>
          <w:color w:val="FF0000"/>
          <w:kern w:val="0"/>
          <w:sz w:val="24"/>
        </w:rPr>
      </w:pPr>
    </w:p>
    <w:p>
      <w:pPr>
        <w:adjustRightInd w:val="0"/>
        <w:snapToGrid w:val="0"/>
        <w:spacing w:line="360" w:lineRule="auto"/>
        <w:jc w:val="right"/>
        <w:rPr>
          <w:b/>
          <w:bCs/>
          <w:color w:val="FF0000"/>
          <w:kern w:val="0"/>
          <w:sz w:val="24"/>
        </w:rPr>
      </w:pPr>
    </w:p>
    <w:p>
      <w:pPr>
        <w:adjustRightInd w:val="0"/>
        <w:snapToGrid w:val="0"/>
        <w:spacing w:line="360" w:lineRule="auto"/>
        <w:jc w:val="right"/>
        <w:rPr>
          <w:b/>
          <w:bCs/>
          <w:color w:val="FF0000"/>
          <w:kern w:val="0"/>
          <w:sz w:val="24"/>
        </w:rPr>
      </w:pPr>
    </w:p>
    <w:p>
      <w:pPr>
        <w:adjustRightInd w:val="0"/>
        <w:snapToGrid w:val="0"/>
        <w:spacing w:line="360" w:lineRule="auto"/>
        <w:jc w:val="right"/>
        <w:rPr>
          <w:sz w:val="24"/>
        </w:rPr>
      </w:pPr>
      <w:r>
        <w:rPr>
          <w:b/>
          <w:bCs/>
          <w:kern w:val="0"/>
          <w:sz w:val="24"/>
        </w:rPr>
        <w:t>续表6.</w:t>
      </w:r>
      <w:r>
        <w:rPr>
          <w:rFonts w:hint="eastAsia"/>
          <w:b/>
          <w:bCs/>
          <w:kern w:val="0"/>
          <w:sz w:val="24"/>
        </w:rPr>
        <w:t xml:space="preserve">2.4  </w:t>
      </w:r>
      <w:r>
        <w:rPr>
          <w:b/>
          <w:bCs/>
          <w:kern w:val="0"/>
          <w:sz w:val="24"/>
        </w:rPr>
        <w:t>六安市规划水平年（2025）配置成果表</w:t>
      </w:r>
      <w:r>
        <w:rPr>
          <w:rFonts w:hint="eastAsia"/>
          <w:b/>
          <w:bCs/>
          <w:kern w:val="0"/>
          <w:sz w:val="24"/>
        </w:rPr>
        <w:t xml:space="preserve">                </w:t>
      </w:r>
      <w:r>
        <w:rPr>
          <w:b/>
          <w:bCs/>
          <w:kern w:val="0"/>
          <w:sz w:val="24"/>
        </w:rPr>
        <w:t xml:space="preserve">           </w:t>
      </w:r>
      <w:r>
        <w:rPr>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34"/>
        <w:gridCol w:w="1034"/>
        <w:gridCol w:w="1035"/>
        <w:gridCol w:w="1198"/>
        <w:gridCol w:w="999"/>
        <w:gridCol w:w="999"/>
        <w:gridCol w:w="999"/>
        <w:gridCol w:w="999"/>
        <w:gridCol w:w="999"/>
        <w:gridCol w:w="999"/>
        <w:gridCol w:w="999"/>
        <w:gridCol w:w="999"/>
        <w:gridCol w:w="999"/>
        <w:gridCol w:w="1000"/>
      </w:tblGrid>
      <w:tr>
        <w:tblPrEx>
          <w:tblCellMar>
            <w:top w:w="0" w:type="dxa"/>
            <w:left w:w="108" w:type="dxa"/>
            <w:bottom w:w="0" w:type="dxa"/>
            <w:right w:w="108" w:type="dxa"/>
          </w:tblCellMar>
        </w:tblPrEx>
        <w:trPr>
          <w:trHeight w:val="27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CellMar>
            <w:top w:w="0" w:type="dxa"/>
            <w:left w:w="108" w:type="dxa"/>
            <w:bottom w:w="0" w:type="dxa"/>
            <w:right w:w="108" w:type="dxa"/>
          </w:tblCellMar>
        </w:tblPrEx>
        <w:trPr>
          <w:trHeight w:val="276"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10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10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霍邱县</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71613</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3346</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5001</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274</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80234</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77325</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2251</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658</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80234</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99391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108012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105103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108012</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101118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109739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106830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109739</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75782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5001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84403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81494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658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84403</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3339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3339</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1033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3588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2202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3588</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670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1839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3225</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819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657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723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1988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3374</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20934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31329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28916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31329</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29059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39454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37041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39454</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26173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36568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34155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36568</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22407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2552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2235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32802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30389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1893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32802</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19202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28357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26048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28357</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26775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35930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33621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35930</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24770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33925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31616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33925</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20486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3692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2648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29641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27332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29641</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叶集区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10584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13362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12133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13362</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15004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17782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16553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17782</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15095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16644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17873</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11245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14023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12794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14023</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123117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156621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146375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156621</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171262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204766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194520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204766</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167826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201330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191084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201330</w:t>
            </w:r>
          </w:p>
        </w:tc>
      </w:tr>
      <w:tr>
        <w:tblPrEx>
          <w:tblCellMar>
            <w:top w:w="0" w:type="dxa"/>
            <w:left w:w="108" w:type="dxa"/>
            <w:bottom w:w="0" w:type="dxa"/>
            <w:right w:w="108" w:type="dxa"/>
          </w:tblCellMar>
        </w:tblPrEx>
        <w:trPr>
          <w:trHeight w:val="276"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0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1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130739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11100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16332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164243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153997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4659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5587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164243</w:t>
            </w:r>
          </w:p>
        </w:tc>
      </w:tr>
    </w:tbl>
    <w:p>
      <w:pPr>
        <w:adjustRightInd w:val="0"/>
        <w:snapToGrid w:val="0"/>
        <w:spacing w:line="360" w:lineRule="auto"/>
        <w:jc w:val="right"/>
        <w:rPr>
          <w:sz w:val="24"/>
        </w:rPr>
      </w:pPr>
      <w:r>
        <w:rPr>
          <w:b/>
          <w:bCs/>
          <w:kern w:val="0"/>
          <w:sz w:val="24"/>
        </w:rPr>
        <w:t>续表6.</w:t>
      </w:r>
      <w:r>
        <w:rPr>
          <w:rFonts w:hint="eastAsia"/>
          <w:b/>
          <w:bCs/>
          <w:kern w:val="0"/>
          <w:sz w:val="24"/>
        </w:rPr>
        <w:t xml:space="preserve">2.4 </w:t>
      </w:r>
      <w:r>
        <w:rPr>
          <w:b/>
          <w:bCs/>
          <w:kern w:val="0"/>
          <w:sz w:val="24"/>
        </w:rPr>
        <w:t xml:space="preserve"> 六安市规划水平年（2025）配置成果表        </w:t>
      </w:r>
      <w:r>
        <w:rPr>
          <w:rFonts w:hint="eastAsia"/>
          <w:b/>
          <w:bCs/>
          <w:kern w:val="0"/>
          <w:sz w:val="24"/>
        </w:rPr>
        <w:t xml:space="preserve">            </w:t>
      </w:r>
      <w:r>
        <w:rPr>
          <w:b/>
          <w:bCs/>
          <w:kern w:val="0"/>
          <w:sz w:val="24"/>
        </w:rPr>
        <w:t xml:space="preserve">         </w:t>
      </w:r>
      <w:r>
        <w:rPr>
          <w:bCs/>
          <w:kern w:val="0"/>
          <w:sz w:val="18"/>
          <w:szCs w:val="18"/>
        </w:rPr>
        <w:t>单位：万m</w:t>
      </w:r>
      <w:r>
        <w:rPr>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034"/>
        <w:gridCol w:w="966"/>
        <w:gridCol w:w="1296"/>
        <w:gridCol w:w="971"/>
        <w:gridCol w:w="999"/>
        <w:gridCol w:w="999"/>
        <w:gridCol w:w="999"/>
        <w:gridCol w:w="999"/>
        <w:gridCol w:w="999"/>
        <w:gridCol w:w="999"/>
        <w:gridCol w:w="999"/>
        <w:gridCol w:w="99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101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5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7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5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淮河流域</w:t>
            </w:r>
          </w:p>
        </w:tc>
        <w:tc>
          <w:tcPr>
            <w:tcW w:w="1017"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王蚌区间南岸</w:t>
            </w:r>
          </w:p>
        </w:tc>
        <w:tc>
          <w:tcPr>
            <w:tcW w:w="950"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1275" w:type="dxa"/>
            <w:vMerge w:val="restart"/>
            <w:shd w:val="clear" w:color="auto" w:fill="auto"/>
            <w:vAlign w:val="center"/>
          </w:tcPr>
          <w:p>
            <w:pPr>
              <w:widowControl/>
              <w:jc w:val="center"/>
              <w:rPr>
                <w:rFonts w:eastAsia="等线"/>
                <w:color w:val="000000" w:themeColor="text1"/>
                <w:kern w:val="0"/>
                <w:sz w:val="18"/>
                <w:szCs w:val="18"/>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149303</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192811</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181565</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192811</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149303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207428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250936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239690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250936</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204054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247562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236316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247562</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204054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017"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158698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16312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20629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6567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202206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190960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6250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202206</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158698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长江流域</w:t>
            </w:r>
          </w:p>
        </w:tc>
        <w:tc>
          <w:tcPr>
            <w:tcW w:w="1017"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950"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1275"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舒城县</w:t>
            </w: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eastAsia="等线"/>
                <w:color w:val="000000"/>
                <w:sz w:val="18"/>
                <w:szCs w:val="18"/>
              </w:rPr>
              <w:t>25026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34209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33246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34209</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kern w:val="0"/>
                <w:sz w:val="18"/>
                <w:szCs w:val="18"/>
              </w:rPr>
            </w:pPr>
          </w:p>
        </w:tc>
        <w:tc>
          <w:tcPr>
            <w:tcW w:w="1275" w:type="dxa"/>
            <w:vMerge w:val="continue"/>
            <w:vAlign w:val="center"/>
          </w:tcPr>
          <w:p>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eastAsia="等线"/>
                <w:color w:val="000000"/>
                <w:sz w:val="18"/>
                <w:szCs w:val="18"/>
              </w:rPr>
              <w:t>35174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44357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43394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44357</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kern w:val="0"/>
                <w:sz w:val="18"/>
                <w:szCs w:val="18"/>
              </w:rPr>
            </w:pPr>
          </w:p>
        </w:tc>
        <w:tc>
          <w:tcPr>
            <w:tcW w:w="1275" w:type="dxa"/>
            <w:vMerge w:val="continue"/>
            <w:vAlign w:val="center"/>
          </w:tcPr>
          <w:p>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eastAsia="等线"/>
                <w:color w:val="000000"/>
                <w:sz w:val="18"/>
                <w:szCs w:val="18"/>
              </w:rPr>
              <w:t>35179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44362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43399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44362</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kern w:val="0"/>
                <w:sz w:val="18"/>
                <w:szCs w:val="18"/>
              </w:rPr>
            </w:pPr>
          </w:p>
        </w:tc>
        <w:tc>
          <w:tcPr>
            <w:tcW w:w="1275" w:type="dxa"/>
            <w:vMerge w:val="continue"/>
            <w:vAlign w:val="center"/>
          </w:tcPr>
          <w:p>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eastAsia="等线"/>
                <w:color w:val="000000"/>
                <w:sz w:val="18"/>
                <w:szCs w:val="18"/>
              </w:rPr>
              <w:t>28923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4201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38106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37143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38106</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28923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kern w:val="0"/>
                <w:sz w:val="18"/>
                <w:szCs w:val="18"/>
              </w:rPr>
            </w:pPr>
          </w:p>
        </w:tc>
        <w:tc>
          <w:tcPr>
            <w:tcW w:w="1275"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金安区</w:t>
            </w: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eastAsia="等线"/>
                <w:color w:val="000000"/>
                <w:sz w:val="18"/>
                <w:szCs w:val="18"/>
              </w:rPr>
              <w:t>12744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14940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14899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14940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kern w:val="0"/>
                <w:sz w:val="18"/>
                <w:szCs w:val="18"/>
              </w:rPr>
            </w:pPr>
          </w:p>
        </w:tc>
        <w:tc>
          <w:tcPr>
            <w:tcW w:w="1275" w:type="dxa"/>
            <w:vMerge w:val="continue"/>
            <w:vAlign w:val="center"/>
          </w:tcPr>
          <w:p>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eastAsia="等线"/>
                <w:color w:val="000000"/>
                <w:sz w:val="18"/>
                <w:szCs w:val="18"/>
              </w:rPr>
              <w:t>17999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20195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20154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20195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kern w:val="0"/>
                <w:sz w:val="18"/>
                <w:szCs w:val="18"/>
              </w:rPr>
            </w:pPr>
          </w:p>
        </w:tc>
        <w:tc>
          <w:tcPr>
            <w:tcW w:w="1275" w:type="dxa"/>
            <w:vMerge w:val="continue"/>
            <w:vAlign w:val="center"/>
          </w:tcPr>
          <w:p>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eastAsia="等线"/>
                <w:color w:val="000000"/>
                <w:sz w:val="18"/>
                <w:szCs w:val="18"/>
              </w:rPr>
              <w:t>17581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19777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19736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19777</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17581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kern w:val="0"/>
                <w:sz w:val="18"/>
                <w:szCs w:val="18"/>
              </w:rPr>
            </w:pPr>
          </w:p>
        </w:tc>
        <w:tc>
          <w:tcPr>
            <w:tcW w:w="1275" w:type="dxa"/>
            <w:vMerge w:val="continue"/>
            <w:vAlign w:val="center"/>
          </w:tcPr>
          <w:p>
            <w:pPr>
              <w:widowControl/>
              <w:jc w:val="left"/>
              <w:rPr>
                <w:rFonts w:ascii="宋体" w:hAnsi="宋体" w:cs="宋体"/>
                <w:kern w:val="0"/>
                <w:sz w:val="18"/>
                <w:szCs w:val="18"/>
              </w:rPr>
            </w:pPr>
          </w:p>
        </w:tc>
        <w:tc>
          <w:tcPr>
            <w:tcW w:w="9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eastAsia="等线"/>
                <w:color w:val="000000"/>
                <w:sz w:val="18"/>
                <w:szCs w:val="18"/>
              </w:rPr>
              <w:t>13657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276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1920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15853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15812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15853</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kern w:val="0"/>
                <w:sz w:val="18"/>
                <w:szCs w:val="18"/>
              </w:rPr>
            </w:pPr>
            <w:r>
              <w:rPr>
                <w:rFonts w:eastAsia="等线"/>
                <w:color w:val="000000"/>
                <w:sz w:val="18"/>
                <w:szCs w:val="18"/>
              </w:rPr>
              <w:t>13657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275"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37770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49149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48145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49149</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37770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53173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64552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63548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64552</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52760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64139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63135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64139</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kern w:val="0"/>
                <w:sz w:val="18"/>
                <w:szCs w:val="18"/>
              </w:rPr>
            </w:pPr>
          </w:p>
        </w:tc>
        <w:tc>
          <w:tcPr>
            <w:tcW w:w="1017" w:type="dxa"/>
            <w:vMerge w:val="continue"/>
            <w:vAlign w:val="center"/>
          </w:tcPr>
          <w:p>
            <w:pPr>
              <w:widowControl/>
              <w:jc w:val="left"/>
              <w:rPr>
                <w:rFonts w:ascii="宋体" w:hAnsi="宋体" w:cs="宋体"/>
                <w:kern w:val="0"/>
                <w:sz w:val="18"/>
                <w:szCs w:val="18"/>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42580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4477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5819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53959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52955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53959</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42580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restart"/>
            <w:shd w:val="clear" w:color="auto" w:fill="auto"/>
            <w:vAlign w:val="center"/>
          </w:tcPr>
          <w:p>
            <w:pPr>
              <w:widowControl/>
              <w:jc w:val="center"/>
              <w:rPr>
                <w:rFonts w:ascii="宋体" w:hAnsi="宋体" w:cs="宋体"/>
                <w:color w:val="FF0000"/>
                <w:kern w:val="0"/>
                <w:sz w:val="18"/>
                <w:szCs w:val="18"/>
              </w:rPr>
            </w:pPr>
            <w:r>
              <w:rPr>
                <w:rFonts w:hint="eastAsia" w:ascii="宋体" w:hAnsi="宋体" w:cs="宋体"/>
                <w:color w:val="000000" w:themeColor="text1"/>
                <w:kern w:val="0"/>
                <w:sz w:val="18"/>
                <w:szCs w:val="18"/>
                <w14:textFill>
                  <w14:solidFill>
                    <w14:schemeClr w14:val="tx1"/>
                  </w14:solidFill>
                </w14:textFill>
              </w:rPr>
              <w:t>合</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017" w:type="dxa"/>
            <w:vMerge w:val="restart"/>
            <w:shd w:val="clear" w:color="auto" w:fill="auto"/>
            <w:vAlign w:val="center"/>
          </w:tcPr>
          <w:p>
            <w:pPr>
              <w:widowControl/>
              <w:jc w:val="center"/>
              <w:rPr>
                <w:rFonts w:ascii="宋体" w:hAnsi="宋体" w:cs="宋体"/>
                <w:color w:val="FF0000"/>
                <w:kern w:val="0"/>
                <w:sz w:val="18"/>
                <w:szCs w:val="18"/>
              </w:rPr>
            </w:pPr>
          </w:p>
        </w:tc>
        <w:tc>
          <w:tcPr>
            <w:tcW w:w="950"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275" w:type="dxa"/>
            <w:vMerge w:val="restart"/>
            <w:shd w:val="clear" w:color="auto" w:fill="auto"/>
            <w:vAlign w:val="center"/>
          </w:tcPr>
          <w:p>
            <w:pPr>
              <w:widowControl/>
              <w:jc w:val="center"/>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187073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241960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229710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241960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187073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color w:val="FF0000"/>
                <w:kern w:val="0"/>
                <w:sz w:val="18"/>
                <w:szCs w:val="18"/>
              </w:rPr>
            </w:pPr>
          </w:p>
        </w:tc>
        <w:tc>
          <w:tcPr>
            <w:tcW w:w="1017" w:type="dxa"/>
            <w:vMerge w:val="continue"/>
            <w:vAlign w:val="center"/>
          </w:tcPr>
          <w:p>
            <w:pPr>
              <w:widowControl/>
              <w:jc w:val="left"/>
              <w:rPr>
                <w:rFonts w:ascii="宋体" w:hAnsi="宋体" w:cs="宋体"/>
                <w:color w:val="FF0000"/>
                <w:kern w:val="0"/>
                <w:sz w:val="18"/>
                <w:szCs w:val="18"/>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260601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315488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303238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315488</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color w:val="FF0000"/>
                <w:kern w:val="0"/>
                <w:sz w:val="18"/>
                <w:szCs w:val="18"/>
              </w:rPr>
            </w:pPr>
          </w:p>
        </w:tc>
        <w:tc>
          <w:tcPr>
            <w:tcW w:w="1017" w:type="dxa"/>
            <w:vMerge w:val="continue"/>
            <w:vAlign w:val="center"/>
          </w:tcPr>
          <w:p>
            <w:pPr>
              <w:widowControl/>
              <w:jc w:val="left"/>
              <w:rPr>
                <w:rFonts w:ascii="宋体" w:hAnsi="宋体" w:cs="宋体"/>
                <w:color w:val="FF0000"/>
                <w:kern w:val="0"/>
                <w:sz w:val="18"/>
                <w:szCs w:val="18"/>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256814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311701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299451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311701</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2" w:type="dxa"/>
            <w:vMerge w:val="continue"/>
            <w:vAlign w:val="center"/>
          </w:tcPr>
          <w:p>
            <w:pPr>
              <w:widowControl/>
              <w:jc w:val="left"/>
              <w:rPr>
                <w:rFonts w:ascii="宋体" w:hAnsi="宋体" w:cs="宋体"/>
                <w:color w:val="FF0000"/>
                <w:kern w:val="0"/>
                <w:sz w:val="18"/>
                <w:szCs w:val="18"/>
              </w:rPr>
            </w:pPr>
          </w:p>
        </w:tc>
        <w:tc>
          <w:tcPr>
            <w:tcW w:w="1017" w:type="dxa"/>
            <w:vMerge w:val="continue"/>
            <w:vAlign w:val="center"/>
          </w:tcPr>
          <w:p>
            <w:pPr>
              <w:widowControl/>
              <w:jc w:val="left"/>
              <w:rPr>
                <w:rFonts w:ascii="宋体" w:hAnsi="宋体" w:cs="宋体"/>
                <w:color w:val="FF0000"/>
                <w:kern w:val="0"/>
                <w:sz w:val="18"/>
                <w:szCs w:val="18"/>
              </w:rPr>
            </w:pPr>
          </w:p>
        </w:tc>
        <w:tc>
          <w:tcPr>
            <w:tcW w:w="950"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75"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201278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20789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26448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7650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256165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243915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5600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6650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256165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color w:val="000000" w:themeColor="text1"/>
                <w:kern w:val="0"/>
                <w:sz w:val="18"/>
                <w:szCs w:val="18"/>
                <w14:textFill>
                  <w14:solidFill>
                    <w14:schemeClr w14:val="tx1"/>
                  </w14:solidFill>
                </w14:textFill>
              </w:rPr>
            </w:pPr>
            <w:r>
              <w:rPr>
                <w:rFonts w:eastAsia="等线"/>
                <w:color w:val="000000" w:themeColor="text1"/>
                <w:sz w:val="18"/>
                <w:szCs w:val="18"/>
                <w14:textFill>
                  <w14:solidFill>
                    <w14:schemeClr w14:val="tx1"/>
                  </w14:solidFill>
                </w14:textFill>
              </w:rPr>
              <w:t>201278</w:t>
            </w:r>
          </w:p>
        </w:tc>
      </w:tr>
    </w:tbl>
    <w:p>
      <w:pPr>
        <w:adjustRightInd w:val="0"/>
        <w:snapToGrid w:val="0"/>
        <w:spacing w:line="360" w:lineRule="auto"/>
        <w:rPr>
          <w:color w:val="FF0000"/>
          <w:sz w:val="24"/>
        </w:rPr>
      </w:pPr>
    </w:p>
    <w:p>
      <w:pPr>
        <w:adjustRightInd w:val="0"/>
        <w:snapToGrid w:val="0"/>
        <w:spacing w:line="360" w:lineRule="auto"/>
        <w:rPr>
          <w:color w:val="FF0000"/>
          <w:sz w:val="24"/>
        </w:rPr>
      </w:pPr>
    </w:p>
    <w:p>
      <w:pPr>
        <w:adjustRightInd w:val="0"/>
        <w:snapToGrid w:val="0"/>
        <w:spacing w:line="360" w:lineRule="auto"/>
        <w:rPr>
          <w:color w:val="FF0000"/>
          <w:sz w:val="24"/>
        </w:rPr>
      </w:pPr>
    </w:p>
    <w:p>
      <w:pPr>
        <w:wordWrap w:val="0"/>
        <w:adjustRightInd w:val="0"/>
        <w:snapToGrid w:val="0"/>
        <w:spacing w:line="360" w:lineRule="auto"/>
        <w:jc w:val="right"/>
        <w:rPr>
          <w:sz w:val="18"/>
          <w:szCs w:val="18"/>
        </w:rPr>
      </w:pPr>
      <w:r>
        <w:rPr>
          <w:b/>
          <w:bCs/>
          <w:kern w:val="0"/>
          <w:sz w:val="24"/>
        </w:rPr>
        <w:t>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六安市规划水平年（2030）配置成果表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tblInd w:w="0" w:type="dxa"/>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CellMar>
            <w:top w:w="0" w:type="dxa"/>
            <w:left w:w="108" w:type="dxa"/>
            <w:bottom w:w="0" w:type="dxa"/>
            <w:right w:w="108" w:type="dxa"/>
          </w:tblCellMar>
        </w:tblPrEx>
        <w:trPr>
          <w:trHeight w:val="397" w:hRule="atLeast"/>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淠史河上游区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霍山县</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9988</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4710</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1997</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17250</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15681</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244</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1325</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17250</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14443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21705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20136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21705</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15003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22265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20696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22265</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4710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18144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16575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18144</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12474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15805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15755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15805</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17715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21046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20996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21046</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19177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22508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22458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22508</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13382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16713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16663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16713</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3818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3818</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5314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5271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5314</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5439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5439</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3510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4069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4112</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25678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36873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35211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36873</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36870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48065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46403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48065</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39017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50212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48550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50212</w:t>
            </w:r>
          </w:p>
        </w:tc>
      </w:tr>
      <w:tr>
        <w:tblPrEx>
          <w:tblCellMar>
            <w:top w:w="0" w:type="dxa"/>
            <w:left w:w="108" w:type="dxa"/>
            <w:bottom w:w="0" w:type="dxa"/>
            <w:right w:w="108" w:type="dxa"/>
          </w:tblCellMar>
        </w:tblPrEx>
        <w:trPr>
          <w:trHeight w:val="397" w:hRule="atLeast"/>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27774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4924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38969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37307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38969</w:t>
            </w:r>
          </w:p>
        </w:tc>
      </w:tr>
    </w:tbl>
    <w:p>
      <w:pPr>
        <w:wordWrap w:val="0"/>
        <w:adjustRightInd w:val="0"/>
        <w:snapToGrid w:val="0"/>
        <w:spacing w:line="360" w:lineRule="auto"/>
        <w:jc w:val="right"/>
        <w:rPr>
          <w:b/>
          <w:bCs/>
          <w:color w:val="FF0000"/>
          <w:kern w:val="0"/>
          <w:sz w:val="24"/>
        </w:rPr>
      </w:pPr>
    </w:p>
    <w:p>
      <w:pPr>
        <w:adjustRightInd w:val="0"/>
        <w:snapToGrid w:val="0"/>
        <w:spacing w:line="360" w:lineRule="auto"/>
        <w:jc w:val="right"/>
        <w:rPr>
          <w:b/>
          <w:bCs/>
          <w:color w:val="FF0000"/>
          <w:kern w:val="0"/>
          <w:sz w:val="24"/>
        </w:rPr>
      </w:pPr>
    </w:p>
    <w:p>
      <w:pPr>
        <w:adjustRightInd w:val="0"/>
        <w:snapToGrid w:val="0"/>
        <w:spacing w:line="360" w:lineRule="auto"/>
        <w:jc w:val="right"/>
        <w:rPr>
          <w:b/>
          <w:bCs/>
          <w:color w:val="FF0000"/>
          <w:kern w:val="0"/>
          <w:sz w:val="24"/>
        </w:rPr>
      </w:pPr>
    </w:p>
    <w:p>
      <w:pPr>
        <w:adjustRightInd w:val="0"/>
        <w:snapToGrid w:val="0"/>
        <w:spacing w:line="360" w:lineRule="auto"/>
        <w:jc w:val="right"/>
        <w:rPr>
          <w:sz w:val="24"/>
        </w:rPr>
      </w:pPr>
      <w:r>
        <w:rPr>
          <w:b/>
          <w:bCs/>
          <w:kern w:val="0"/>
          <w:sz w:val="24"/>
        </w:rPr>
        <w:t>续表6.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 六安市规划水平年（2030）配置成果表     </w:t>
      </w:r>
      <w:r>
        <w:rPr>
          <w:rFonts w:hint="eastAsia"/>
          <w:b/>
          <w:bCs/>
          <w:kern w:val="0"/>
          <w:sz w:val="24"/>
        </w:rPr>
        <w:t xml:space="preserve">  </w:t>
      </w:r>
      <w:r>
        <w:rPr>
          <w:b/>
          <w:bCs/>
          <w:kern w:val="0"/>
          <w:sz w:val="24"/>
        </w:rPr>
        <w:t xml:space="preserve">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jc w:val="center"/>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tblPrEx>
          <w:tblCellMar>
            <w:top w:w="0" w:type="dxa"/>
            <w:left w:w="108" w:type="dxa"/>
            <w:bottom w:w="0" w:type="dxa"/>
            <w:right w:w="108" w:type="dxa"/>
          </w:tblCellMar>
        </w:tblPrEx>
        <w:trPr>
          <w:trHeight w:val="27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CellMar>
            <w:top w:w="0" w:type="dxa"/>
            <w:left w:w="108" w:type="dxa"/>
            <w:bottom w:w="0" w:type="dxa"/>
            <w:right w:w="108" w:type="dxa"/>
          </w:tblCellMar>
        </w:tblPrEx>
        <w:trPr>
          <w:trHeight w:val="276"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淮河流域</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王蚌区间南岸</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王蚌南岸沿淮区</w:t>
            </w: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霍邱县</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68709</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3667</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5771</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329</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78476</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75142</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2251</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1083</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78476</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98724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108491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105157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108491</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106114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115881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112547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115881</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73653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5771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83420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2251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1083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83420</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金寨县</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770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3654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2128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3654</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1094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3978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3978</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2189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3715</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826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3710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2184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3710</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裕安区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19914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31662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29117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31662</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29173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40921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38376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40921</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28530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40278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37733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40278</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21731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2793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2382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33479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30934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520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33479</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18335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28449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25823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28449</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26664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36778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34152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36778</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26671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36785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34159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36785</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19919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4172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2856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30033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27407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30033</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叶集区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10146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13262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11843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13262</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14612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17728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16309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17728</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15790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18906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17487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18906</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10900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14016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12597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938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14016</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117874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155503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144053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155503</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170267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207896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196446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207896</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177936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215565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204115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215565</w:t>
            </w:r>
          </w:p>
        </w:tc>
      </w:tr>
      <w:tr>
        <w:tblPrEx>
          <w:tblCellMar>
            <w:top w:w="0" w:type="dxa"/>
            <w:left w:w="108" w:type="dxa"/>
            <w:bottom w:w="0" w:type="dxa"/>
            <w:right w:w="108" w:type="dxa"/>
          </w:tblCellMar>
        </w:tblPrEx>
        <w:trPr>
          <w:trHeight w:val="276"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2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127029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12157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18875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6597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164658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153208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4659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6791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164658</w:t>
            </w:r>
          </w:p>
        </w:tc>
      </w:tr>
    </w:tbl>
    <w:p>
      <w:pPr>
        <w:wordWrap w:val="0"/>
        <w:adjustRightInd w:val="0"/>
        <w:snapToGrid w:val="0"/>
        <w:spacing w:line="360" w:lineRule="auto"/>
        <w:jc w:val="right"/>
        <w:rPr>
          <w:b/>
          <w:bCs/>
          <w:color w:val="FF0000"/>
          <w:kern w:val="0"/>
          <w:sz w:val="24"/>
        </w:rPr>
      </w:pPr>
    </w:p>
    <w:p>
      <w:pPr>
        <w:adjustRightInd w:val="0"/>
        <w:snapToGrid w:val="0"/>
        <w:spacing w:line="360" w:lineRule="auto"/>
        <w:jc w:val="right"/>
        <w:rPr>
          <w:b/>
          <w:bCs/>
          <w:color w:val="FF0000"/>
          <w:kern w:val="0"/>
          <w:sz w:val="24"/>
        </w:rPr>
      </w:pPr>
    </w:p>
    <w:p>
      <w:pPr>
        <w:adjustRightInd w:val="0"/>
        <w:snapToGrid w:val="0"/>
        <w:spacing w:line="360" w:lineRule="auto"/>
        <w:jc w:val="right"/>
        <w:rPr>
          <w:sz w:val="18"/>
          <w:szCs w:val="18"/>
        </w:rPr>
      </w:pPr>
      <w:r>
        <w:rPr>
          <w:b/>
          <w:bCs/>
          <w:kern w:val="0"/>
          <w:sz w:val="24"/>
        </w:rPr>
        <w:t>续表6.</w:t>
      </w:r>
      <w:r>
        <w:rPr>
          <w:rFonts w:hint="eastAsia"/>
          <w:b/>
          <w:bCs/>
          <w:kern w:val="0"/>
          <w:sz w:val="24"/>
        </w:rPr>
        <w:t>2.</w:t>
      </w:r>
      <w:r>
        <w:rPr>
          <w:b/>
          <w:bCs/>
          <w:kern w:val="0"/>
          <w:sz w:val="24"/>
        </w:rPr>
        <w:t>5</w:t>
      </w:r>
      <w:r>
        <w:rPr>
          <w:rFonts w:hint="eastAsia"/>
          <w:b/>
          <w:bCs/>
          <w:kern w:val="0"/>
          <w:sz w:val="24"/>
        </w:rPr>
        <w:t xml:space="preserve"> </w:t>
      </w:r>
      <w:r>
        <w:rPr>
          <w:b/>
          <w:bCs/>
          <w:kern w:val="0"/>
          <w:sz w:val="24"/>
        </w:rPr>
        <w:t xml:space="preserve"> 六安市规划水平年（2030）配置成果表              </w:t>
      </w:r>
      <w:r>
        <w:rPr>
          <w:rFonts w:hint="eastAsia"/>
          <w:b/>
          <w:bCs/>
          <w:kern w:val="0"/>
          <w:sz w:val="24"/>
        </w:rPr>
        <w:t xml:space="preserve">    </w:t>
      </w:r>
      <w:r>
        <w:rPr>
          <w:b/>
          <w:bCs/>
          <w:kern w:val="0"/>
          <w:sz w:val="24"/>
        </w:rPr>
        <w:t xml:space="preserve">          </w:t>
      </w:r>
      <w:r>
        <w:rPr>
          <w:bCs/>
          <w:kern w:val="0"/>
          <w:sz w:val="18"/>
          <w:szCs w:val="18"/>
        </w:rPr>
        <w:t xml:space="preserve"> 单位：万m</w:t>
      </w:r>
      <w:r>
        <w:rPr>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08"/>
        <w:gridCol w:w="1009"/>
        <w:gridCol w:w="1267"/>
        <w:gridCol w:w="999"/>
        <w:gridCol w:w="999"/>
        <w:gridCol w:w="999"/>
        <w:gridCol w:w="999"/>
        <w:gridCol w:w="999"/>
        <w:gridCol w:w="999"/>
        <w:gridCol w:w="999"/>
        <w:gridCol w:w="999"/>
        <w:gridCol w:w="10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流域</w:t>
            </w:r>
          </w:p>
        </w:tc>
        <w:tc>
          <w:tcPr>
            <w:tcW w:w="992"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三级分区</w:t>
            </w:r>
          </w:p>
        </w:tc>
        <w:tc>
          <w:tcPr>
            <w:tcW w:w="99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四级分区</w:t>
            </w:r>
          </w:p>
        </w:tc>
        <w:tc>
          <w:tcPr>
            <w:tcW w:w="124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县级行政区</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保证率</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农业</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生活</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地表水</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地下水</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其他水源</w:t>
            </w: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淮河流域</w:t>
            </w:r>
          </w:p>
        </w:tc>
        <w:tc>
          <w:tcPr>
            <w:tcW w:w="992"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王蚌区间南岸</w:t>
            </w:r>
          </w:p>
        </w:tc>
        <w:tc>
          <w:tcPr>
            <w:tcW w:w="993"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1247" w:type="dxa"/>
            <w:vMerge w:val="restart"/>
            <w:shd w:val="clear" w:color="auto" w:fill="auto"/>
            <w:vAlign w:val="center"/>
          </w:tcPr>
          <w:p>
            <w:pPr>
              <w:widowControl/>
              <w:jc w:val="center"/>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143552</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17873</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23799</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7152</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192376</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179264</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4996</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8116</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207137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255961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242849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255961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216953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265777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252665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265777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154803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17873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23799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7152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203627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190515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8116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203627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长江流域</w:t>
            </w:r>
          </w:p>
        </w:tc>
        <w:tc>
          <w:tcPr>
            <w:tcW w:w="992"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巢滁皖及沿江诸河</w:t>
            </w:r>
          </w:p>
        </w:tc>
        <w:tc>
          <w:tcPr>
            <w:tcW w:w="993"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杭埠河区</w:t>
            </w:r>
          </w:p>
        </w:tc>
        <w:tc>
          <w:tcPr>
            <w:tcW w:w="1247"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舒城县</w:t>
            </w:r>
          </w:p>
        </w:tc>
        <w:tc>
          <w:tcPr>
            <w:tcW w:w="9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23945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34307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32944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kern w:val="0"/>
                <w:sz w:val="18"/>
                <w:szCs w:val="18"/>
              </w:rPr>
            </w:pPr>
          </w:p>
        </w:tc>
        <w:tc>
          <w:tcPr>
            <w:tcW w:w="1247" w:type="dxa"/>
            <w:vMerge w:val="continue"/>
            <w:vAlign w:val="center"/>
          </w:tcPr>
          <w:p>
            <w:pPr>
              <w:widowControl/>
              <w:jc w:val="left"/>
              <w:rPr>
                <w:rFonts w:ascii="宋体" w:hAnsi="宋体" w:cs="宋体"/>
                <w:kern w:val="0"/>
                <w:sz w:val="18"/>
                <w:szCs w:val="18"/>
              </w:rPr>
            </w:pPr>
          </w:p>
        </w:tc>
        <w:tc>
          <w:tcPr>
            <w:tcW w:w="9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34166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44528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43165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44528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kern w:val="0"/>
                <w:sz w:val="18"/>
                <w:szCs w:val="18"/>
              </w:rPr>
            </w:pPr>
          </w:p>
        </w:tc>
        <w:tc>
          <w:tcPr>
            <w:tcW w:w="1247" w:type="dxa"/>
            <w:vMerge w:val="continue"/>
            <w:vAlign w:val="center"/>
          </w:tcPr>
          <w:p>
            <w:pPr>
              <w:widowControl/>
              <w:jc w:val="left"/>
              <w:rPr>
                <w:rFonts w:ascii="宋体" w:hAnsi="宋体" w:cs="宋体"/>
                <w:kern w:val="0"/>
                <w:sz w:val="18"/>
                <w:szCs w:val="18"/>
              </w:rPr>
            </w:pPr>
          </w:p>
        </w:tc>
        <w:tc>
          <w:tcPr>
            <w:tcW w:w="9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36523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46885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45522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kern w:val="0"/>
                <w:sz w:val="18"/>
                <w:szCs w:val="18"/>
              </w:rPr>
            </w:pPr>
          </w:p>
        </w:tc>
        <w:tc>
          <w:tcPr>
            <w:tcW w:w="1247" w:type="dxa"/>
            <w:vMerge w:val="continue"/>
            <w:vAlign w:val="center"/>
          </w:tcPr>
          <w:p>
            <w:pPr>
              <w:widowControl/>
              <w:jc w:val="left"/>
              <w:rPr>
                <w:rFonts w:ascii="宋体" w:hAnsi="宋体" w:cs="宋体"/>
                <w:kern w:val="0"/>
                <w:sz w:val="18"/>
                <w:szCs w:val="18"/>
              </w:rPr>
            </w:pP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27318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4603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4534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37680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36317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kern w:val="0"/>
                <w:sz w:val="18"/>
                <w:szCs w:val="18"/>
              </w:rPr>
            </w:pPr>
          </w:p>
        </w:tc>
        <w:tc>
          <w:tcPr>
            <w:tcW w:w="1247" w:type="dxa"/>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金安区</w:t>
            </w:r>
          </w:p>
        </w:tc>
        <w:tc>
          <w:tcPr>
            <w:tcW w:w="9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12141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14595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14554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14595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kern w:val="0"/>
                <w:sz w:val="18"/>
                <w:szCs w:val="18"/>
              </w:rPr>
            </w:pPr>
          </w:p>
        </w:tc>
        <w:tc>
          <w:tcPr>
            <w:tcW w:w="1247" w:type="dxa"/>
            <w:vMerge w:val="continue"/>
            <w:vAlign w:val="center"/>
          </w:tcPr>
          <w:p>
            <w:pPr>
              <w:widowControl/>
              <w:jc w:val="left"/>
              <w:rPr>
                <w:rFonts w:ascii="宋体" w:hAnsi="宋体" w:cs="宋体"/>
                <w:kern w:val="0"/>
                <w:sz w:val="18"/>
                <w:szCs w:val="18"/>
              </w:rPr>
            </w:pPr>
          </w:p>
        </w:tc>
        <w:tc>
          <w:tcPr>
            <w:tcW w:w="9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17833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20287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20246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kern w:val="0"/>
                <w:sz w:val="18"/>
                <w:szCs w:val="18"/>
              </w:rPr>
            </w:pPr>
          </w:p>
        </w:tc>
        <w:tc>
          <w:tcPr>
            <w:tcW w:w="1247" w:type="dxa"/>
            <w:vMerge w:val="continue"/>
            <w:vAlign w:val="center"/>
          </w:tcPr>
          <w:p>
            <w:pPr>
              <w:widowControl/>
              <w:jc w:val="left"/>
              <w:rPr>
                <w:rFonts w:ascii="宋体" w:hAnsi="宋体" w:cs="宋体"/>
                <w:kern w:val="0"/>
                <w:sz w:val="18"/>
                <w:szCs w:val="18"/>
              </w:rPr>
            </w:pPr>
          </w:p>
        </w:tc>
        <w:tc>
          <w:tcPr>
            <w:tcW w:w="983"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18642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21096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21055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kern w:val="0"/>
                <w:sz w:val="18"/>
                <w:szCs w:val="18"/>
              </w:rPr>
            </w:pPr>
          </w:p>
        </w:tc>
        <w:tc>
          <w:tcPr>
            <w:tcW w:w="1247" w:type="dxa"/>
            <w:vMerge w:val="continue"/>
            <w:vAlign w:val="center"/>
          </w:tcPr>
          <w:p>
            <w:pPr>
              <w:widowControl/>
              <w:jc w:val="left"/>
              <w:rPr>
                <w:rFonts w:ascii="宋体" w:hAnsi="宋体" w:cs="宋体"/>
                <w:kern w:val="0"/>
                <w:sz w:val="18"/>
                <w:szCs w:val="18"/>
              </w:rPr>
            </w:pPr>
          </w:p>
        </w:tc>
        <w:tc>
          <w:tcPr>
            <w:tcW w:w="98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13224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2153</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15678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15637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1247"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36086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48902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47498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48902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51999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64815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63411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55165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67981</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66577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67981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kern w:val="0"/>
                <w:sz w:val="18"/>
                <w:szCs w:val="18"/>
              </w:rPr>
            </w:pPr>
          </w:p>
        </w:tc>
        <w:tc>
          <w:tcPr>
            <w:tcW w:w="992" w:type="dxa"/>
            <w:vMerge w:val="continue"/>
            <w:vAlign w:val="center"/>
          </w:tcPr>
          <w:p>
            <w:pPr>
              <w:widowControl/>
              <w:jc w:val="left"/>
              <w:rPr>
                <w:rFonts w:ascii="宋体" w:hAnsi="宋体" w:cs="宋体"/>
                <w:kern w:val="0"/>
                <w:sz w:val="18"/>
                <w:szCs w:val="18"/>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83"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40542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4904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6687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1225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53358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51954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604</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w:t>
            </w:r>
            <w:r>
              <w:rPr>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计</w:t>
            </w:r>
          </w:p>
        </w:tc>
        <w:tc>
          <w:tcPr>
            <w:tcW w:w="992"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993" w:type="dxa"/>
            <w:vMerge w:val="restart"/>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247" w:type="dxa"/>
            <w:vMerge w:val="restart"/>
            <w:shd w:val="clear" w:color="auto" w:fill="auto"/>
            <w:vAlign w:val="center"/>
          </w:tcPr>
          <w:p>
            <w:pPr>
              <w:widowControl/>
              <w:jc w:val="center"/>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179638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241278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226762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259136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320776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306260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320776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95%</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272118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333758</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319242</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333758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2"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993" w:type="dxa"/>
            <w:vMerge w:val="continue"/>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247" w:type="dxa"/>
            <w:vMerge w:val="continue"/>
            <w:vAlign w:val="center"/>
          </w:tcPr>
          <w:p>
            <w:pPr>
              <w:widowControl/>
              <w:jc w:val="left"/>
              <w:rPr>
                <w:rFonts w:eastAsia="等线"/>
                <w:color w:val="000000" w:themeColor="text1"/>
                <w:kern w:val="0"/>
                <w:sz w:val="18"/>
                <w:szCs w:val="18"/>
                <w14:textFill>
                  <w14:solidFill>
                    <w14:schemeClr w14:val="tx1"/>
                  </w14:solidFill>
                </w14:textFill>
              </w:rPr>
            </w:pPr>
          </w:p>
        </w:tc>
        <w:tc>
          <w:tcPr>
            <w:tcW w:w="983"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多年平均</w:t>
            </w:r>
          </w:p>
        </w:tc>
        <w:tc>
          <w:tcPr>
            <w:tcW w:w="9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195345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22777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30486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8377</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256985</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242469</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5600</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8916</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eastAsia="等线"/>
                <w:kern w:val="0"/>
                <w:sz w:val="18"/>
                <w:szCs w:val="18"/>
              </w:rPr>
            </w:pPr>
            <w:r>
              <w:rPr>
                <w:rFonts w:eastAsia="等线"/>
                <w:sz w:val="18"/>
                <w:szCs w:val="18"/>
              </w:rPr>
              <w:t>256985</w:t>
            </w:r>
          </w:p>
        </w:tc>
      </w:tr>
    </w:tbl>
    <w:p>
      <w:pPr>
        <w:adjustRightInd w:val="0"/>
        <w:snapToGrid w:val="0"/>
        <w:spacing w:line="360" w:lineRule="auto"/>
        <w:rPr>
          <w:color w:val="FF0000"/>
          <w:sz w:val="24"/>
        </w:rPr>
      </w:pPr>
    </w:p>
    <w:p>
      <w:pPr>
        <w:pStyle w:val="3"/>
        <w:adjustRightInd w:val="0"/>
        <w:snapToGrid w:val="0"/>
        <w:spacing w:before="312" w:beforeLines="100" w:after="312" w:afterLines="100" w:line="360" w:lineRule="auto"/>
        <w:jc w:val="center"/>
        <w:rPr>
          <w:rFonts w:ascii="Times New Roman" w:hAnsi="Times New Roman"/>
          <w:b w:val="0"/>
          <w:bCs w:val="0"/>
          <w:color w:val="FF0000"/>
          <w:sz w:val="30"/>
        </w:rPr>
        <w:sectPr>
          <w:pgSz w:w="16838" w:h="11906" w:orient="landscape"/>
          <w:pgMar w:top="1701" w:right="1588" w:bottom="1588" w:left="1474" w:header="851" w:footer="992" w:gutter="0"/>
          <w:cols w:space="425" w:num="1"/>
          <w:docGrid w:type="linesAndChars" w:linePitch="312" w:charSpace="0"/>
        </w:sectPr>
      </w:pPr>
      <w:bookmarkStart w:id="395" w:name="_Toc306734700"/>
      <w:bookmarkStart w:id="396" w:name="_Toc382472246"/>
    </w:p>
    <w:p>
      <w:pPr>
        <w:keepNext/>
        <w:keepLines/>
        <w:adjustRightInd w:val="0"/>
        <w:snapToGrid w:val="0"/>
        <w:spacing w:before="312" w:beforeLines="100" w:after="312" w:afterLines="100" w:line="360" w:lineRule="auto"/>
        <w:jc w:val="center"/>
        <w:outlineLvl w:val="1"/>
        <w:rPr>
          <w:b/>
          <w:bCs/>
          <w:sz w:val="32"/>
          <w:szCs w:val="36"/>
        </w:rPr>
      </w:pPr>
      <w:bookmarkStart w:id="397" w:name="_Toc432782574"/>
      <w:bookmarkStart w:id="398" w:name="_Toc95382521"/>
      <w:r>
        <w:rPr>
          <w:b/>
          <w:bCs/>
          <w:sz w:val="32"/>
          <w:szCs w:val="36"/>
        </w:rPr>
        <w:t>第三节 重大水资源配置工程</w:t>
      </w:r>
      <w:bookmarkEnd w:id="395"/>
      <w:bookmarkEnd w:id="396"/>
      <w:bookmarkEnd w:id="397"/>
      <w:bookmarkEnd w:id="398"/>
    </w:p>
    <w:p>
      <w:pPr>
        <w:pStyle w:val="4"/>
        <w:adjustRightInd w:val="0"/>
        <w:snapToGrid w:val="0"/>
        <w:spacing w:before="156" w:beforeLines="50" w:after="156" w:afterLines="50"/>
        <w:rPr>
          <w:sz w:val="28"/>
        </w:rPr>
      </w:pPr>
      <w:bookmarkStart w:id="399" w:name="_Toc306734701"/>
      <w:bookmarkStart w:id="400" w:name="_Toc382472247"/>
      <w:bookmarkStart w:id="401" w:name="_Toc432782575"/>
      <w:bookmarkStart w:id="402" w:name="_Toc95382522"/>
      <w:r>
        <w:rPr>
          <w:sz w:val="28"/>
        </w:rPr>
        <w:t>一、重点水源工程</w:t>
      </w:r>
      <w:bookmarkEnd w:id="399"/>
      <w:bookmarkEnd w:id="400"/>
      <w:bookmarkEnd w:id="401"/>
      <w:bookmarkEnd w:id="402"/>
    </w:p>
    <w:p>
      <w:pPr>
        <w:adjustRightInd w:val="0"/>
        <w:snapToGrid w:val="0"/>
        <w:spacing w:line="360" w:lineRule="auto"/>
        <w:rPr>
          <w:sz w:val="24"/>
        </w:rPr>
      </w:pPr>
      <w:r>
        <w:rPr>
          <w:b/>
          <w:sz w:val="24"/>
        </w:rPr>
        <w:t>（一）新建工程</w:t>
      </w:r>
    </w:p>
    <w:p>
      <w:pPr>
        <w:adjustRightInd w:val="0"/>
        <w:snapToGrid w:val="0"/>
        <w:spacing w:line="360" w:lineRule="auto"/>
        <w:ind w:firstLine="602" w:firstLineChars="250"/>
        <w:rPr>
          <w:b/>
          <w:sz w:val="24"/>
        </w:rPr>
      </w:pPr>
      <w:r>
        <w:rPr>
          <w:rFonts w:hint="eastAsia"/>
          <w:b/>
          <w:sz w:val="24"/>
        </w:rPr>
        <w:t>1、蓄水工程</w:t>
      </w:r>
    </w:p>
    <w:p>
      <w:pPr>
        <w:adjustRightInd w:val="0"/>
        <w:snapToGrid w:val="0"/>
        <w:spacing w:line="360" w:lineRule="auto"/>
        <w:ind w:firstLine="600" w:firstLineChars="250"/>
        <w:rPr>
          <w:sz w:val="24"/>
        </w:rPr>
      </w:pP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pPr>
        <w:adjustRightInd w:val="0"/>
        <w:snapToGrid w:val="0"/>
        <w:spacing w:line="360" w:lineRule="auto"/>
        <w:ind w:firstLine="602" w:firstLineChars="250"/>
        <w:rPr>
          <w:b/>
          <w:sz w:val="24"/>
        </w:rPr>
      </w:pPr>
      <w:r>
        <w:rPr>
          <w:rFonts w:hint="eastAsia"/>
          <w:b/>
          <w:sz w:val="24"/>
        </w:rPr>
        <w:t>2、引提水工程</w:t>
      </w:r>
    </w:p>
    <w:p>
      <w:pPr>
        <w:adjustRightInd w:val="0"/>
        <w:snapToGrid w:val="0"/>
        <w:spacing w:line="360" w:lineRule="auto"/>
        <w:ind w:firstLine="602" w:firstLineChars="250"/>
        <w:rPr>
          <w:sz w:val="24"/>
        </w:rPr>
      </w:pPr>
      <w:r>
        <w:rPr>
          <w:b/>
          <w:sz w:val="24"/>
        </w:rPr>
        <w:t>引水工程：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w:t>
      </w:r>
    </w:p>
    <w:p>
      <w:pPr>
        <w:adjustRightInd w:val="0"/>
        <w:snapToGrid w:val="0"/>
        <w:spacing w:line="360" w:lineRule="auto"/>
        <w:ind w:firstLine="602" w:firstLineChars="250"/>
        <w:rPr>
          <w:sz w:val="24"/>
        </w:rPr>
      </w:pPr>
      <w:r>
        <w:rPr>
          <w:rFonts w:hint="eastAsia"/>
          <w:b/>
          <w:sz w:val="24"/>
        </w:rPr>
        <w:t>提</w:t>
      </w:r>
      <w:r>
        <w:rPr>
          <w:b/>
          <w:sz w:val="24"/>
        </w:rPr>
        <w:t>水工程：</w:t>
      </w:r>
      <w:r>
        <w:rPr>
          <w:rFonts w:hint="eastAsia"/>
          <w:sz w:val="24"/>
        </w:rPr>
        <w:t>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座（裕安区分路口鲍家杠提水站工程、裕安区窦堰头一级站工程、裕安区窦堰头二级站工程、霍邱县陈村排灌站工程），设计提水流量6</w:t>
      </w:r>
      <w:r>
        <w:rPr>
          <w:sz w:val="24"/>
        </w:rPr>
        <w:t xml:space="preserve">7.6 </w:t>
      </w:r>
      <w:r>
        <w:rPr>
          <w:rFonts w:hint="eastAsia"/>
          <w:sz w:val="24"/>
        </w:rPr>
        <w:t>m</w:t>
      </w:r>
      <w:r>
        <w:rPr>
          <w:rFonts w:hint="eastAsia"/>
          <w:sz w:val="24"/>
          <w:vertAlign w:val="superscript"/>
        </w:rPr>
        <w:t>3</w:t>
      </w:r>
      <w:r>
        <w:rPr>
          <w:rFonts w:hint="eastAsia"/>
          <w:sz w:val="24"/>
        </w:rPr>
        <w:t>/s。</w:t>
      </w:r>
    </w:p>
    <w:p>
      <w:pPr>
        <w:adjustRightInd w:val="0"/>
        <w:snapToGrid w:val="0"/>
        <w:spacing w:line="360" w:lineRule="auto"/>
        <w:rPr>
          <w:sz w:val="24"/>
        </w:rPr>
      </w:pPr>
      <w:r>
        <w:rPr>
          <w:b/>
          <w:sz w:val="24"/>
        </w:rPr>
        <w:t>（二）</w:t>
      </w:r>
      <w:r>
        <w:rPr>
          <w:rFonts w:hint="eastAsia"/>
          <w:b/>
          <w:sz w:val="24"/>
        </w:rPr>
        <w:t>城乡集中供水</w:t>
      </w:r>
      <w:r>
        <w:rPr>
          <w:b/>
          <w:sz w:val="24"/>
        </w:rPr>
        <w:t>工程</w:t>
      </w:r>
    </w:p>
    <w:p>
      <w:pPr>
        <w:topLinePunct/>
        <w:adjustRightInd w:val="0"/>
        <w:snapToGrid w:val="0"/>
        <w:spacing w:line="360" w:lineRule="auto"/>
        <w:ind w:firstLine="480" w:firstLineChars="200"/>
        <w:rPr>
          <w:sz w:val="24"/>
        </w:rPr>
      </w:pPr>
      <w:r>
        <w:rPr>
          <w:rFonts w:hint="eastAsia"/>
          <w:sz w:val="24"/>
        </w:rPr>
        <w:t>按照城乡区域协调发展和乡村振兴战略部署，聚焦民生改善，积极推进农村供水工程规模化建设和升级改造，充分利用骨干水源、大水厂以及现有的供水设施和输配水管网，向周围农村和乡镇延伸。对于具备集中联网供水条件的地区，优先推进城乡一体化供水，现阶段不具备城乡一体化供水条件的，按照“以大带小、能并则并”的原则，参照城镇供水标准进行巩固提升，采取区域规模化供水。</w:t>
      </w:r>
    </w:p>
    <w:p>
      <w:pPr>
        <w:topLinePunct/>
        <w:adjustRightInd w:val="0"/>
        <w:snapToGrid w:val="0"/>
        <w:spacing w:line="360" w:lineRule="auto"/>
        <w:ind w:firstLine="480" w:firstLineChars="200"/>
        <w:rPr>
          <w:sz w:val="24"/>
        </w:rPr>
      </w:pPr>
      <w:r>
        <w:rPr>
          <w:rFonts w:hint="eastAsia"/>
          <w:sz w:val="24"/>
        </w:rPr>
        <w:t>至2</w:t>
      </w:r>
      <w:r>
        <w:rPr>
          <w:sz w:val="24"/>
        </w:rPr>
        <w:t>025</w:t>
      </w:r>
      <w:r>
        <w:rPr>
          <w:rFonts w:hint="eastAsia"/>
          <w:sz w:val="24"/>
        </w:rPr>
        <w:t>年，实施六安市城乡一体化供水工程，设计供水规模85.71万m</w:t>
      </w:r>
      <w:r>
        <w:rPr>
          <w:rFonts w:hint="eastAsia"/>
          <w:sz w:val="24"/>
          <w:vertAlign w:val="superscript"/>
        </w:rPr>
        <w:t>3</w:t>
      </w:r>
      <w:r>
        <w:rPr>
          <w:rFonts w:hint="eastAsia"/>
          <w:sz w:val="24"/>
        </w:rPr>
        <w:t>/d，设计供水人口389.9万人。</w:t>
      </w:r>
    </w:p>
    <w:p>
      <w:pPr>
        <w:pStyle w:val="4"/>
        <w:adjustRightInd w:val="0"/>
        <w:snapToGrid w:val="0"/>
        <w:spacing w:before="156" w:beforeLines="50" w:after="156" w:afterLines="50"/>
        <w:rPr>
          <w:sz w:val="28"/>
        </w:rPr>
      </w:pPr>
      <w:bookmarkStart w:id="403" w:name="_Toc95382523"/>
      <w:bookmarkStart w:id="404" w:name="_Toc432782576"/>
      <w:bookmarkStart w:id="405" w:name="_Toc382472248"/>
      <w:r>
        <w:rPr>
          <w:sz w:val="28"/>
        </w:rPr>
        <w:t>二、</w:t>
      </w:r>
      <w:r>
        <w:rPr>
          <w:rFonts w:hint="eastAsia"/>
          <w:sz w:val="28"/>
        </w:rPr>
        <w:t>水资源优化配置</w:t>
      </w:r>
      <w:r>
        <w:rPr>
          <w:sz w:val="28"/>
        </w:rPr>
        <w:t>工程</w:t>
      </w:r>
      <w:bookmarkEnd w:id="403"/>
      <w:bookmarkEnd w:id="404"/>
      <w:bookmarkEnd w:id="405"/>
    </w:p>
    <w:p>
      <w:pPr>
        <w:adjustRightInd w:val="0"/>
        <w:snapToGrid w:val="0"/>
        <w:spacing w:line="360" w:lineRule="auto"/>
        <w:ind w:firstLine="480" w:firstLineChars="200"/>
        <w:rPr>
          <w:sz w:val="24"/>
        </w:rPr>
      </w:pPr>
      <w:bookmarkStart w:id="406" w:name="_Hlk89027620"/>
      <w:r>
        <w:rPr>
          <w:sz w:val="24"/>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w:t>
      </w:r>
      <w:r>
        <w:rPr>
          <w:rFonts w:hint="eastAsia"/>
          <w:sz w:val="24"/>
        </w:rPr>
        <w:t>、龙河口引水工程</w:t>
      </w:r>
      <w:r>
        <w:rPr>
          <w:sz w:val="24"/>
        </w:rPr>
        <w:t>等工作，提升区域水资源配置及保障能力。</w:t>
      </w:r>
      <w:bookmarkEnd w:id="406"/>
    </w:p>
    <w:p>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一</w:t>
      </w:r>
      <w:r>
        <w:rPr>
          <w:rFonts w:eastAsia="宋体"/>
          <w:b/>
          <w:sz w:val="24"/>
          <w:szCs w:val="24"/>
        </w:rPr>
        <w:t>）临淮岗枢纽综合利用工程</w:t>
      </w:r>
    </w:p>
    <w:p>
      <w:pPr>
        <w:pStyle w:val="72"/>
        <w:spacing w:line="360" w:lineRule="auto"/>
        <w:ind w:firstLine="480" w:firstLineChars="200"/>
        <w:rPr>
          <w:rFonts w:eastAsia="宋体"/>
          <w:sz w:val="24"/>
          <w:szCs w:val="24"/>
        </w:rPr>
      </w:pPr>
      <w:r>
        <w:rPr>
          <w:rFonts w:hint="eastAsia" w:eastAsia="宋体"/>
          <w:sz w:val="24"/>
          <w:szCs w:val="24"/>
        </w:rPr>
        <w:t>临淮岗枢纽综合利用工程是提高淮河中游防洪标准的战略性骨干工程，兼有蓄水、供水、航运、水产等综合利用条件。通过实施本工程，抬高临淮岗工程蓄水位，对保障阜阳、颍上、阜南、霍邱等沿淮城市和重要园区的用水安全、缓解区域水资源供需矛盾有积极作用。同时扩大水面湿地，增加蓄水库容，有利于改善安徽淮河干流源头生态环境，有利于改善淮河中游生态基流调控，有利于增加淮河干流环境容量，对打造淮河上游生态湿地、保护淮河干流水质、构建淮河中游生态屏障、抑制中深层地下水超采均有积极的生态环境作用。项目规划蓄水位23.0m，多年平均综合供水量6.9亿m</w:t>
      </w:r>
      <w:r>
        <w:rPr>
          <w:rFonts w:hint="eastAsia" w:eastAsia="宋体"/>
          <w:sz w:val="24"/>
          <w:szCs w:val="24"/>
          <w:vertAlign w:val="superscript"/>
        </w:rPr>
        <w:t>3</w:t>
      </w:r>
      <w:r>
        <w:rPr>
          <w:rFonts w:hint="eastAsia" w:eastAsia="宋体"/>
          <w:sz w:val="24"/>
          <w:szCs w:val="24"/>
        </w:rPr>
        <w:t>。主要建设内容包括周边洼地排涝能力提升、临淮岗主体及相关工程影响处理、渍害影响处理，以及对滩地淹没、道路等专项设施影响进行分类补偿。工程总投资30亿元，估算十四五总投资5亿元。</w:t>
      </w:r>
    </w:p>
    <w:p>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二</w:t>
      </w:r>
      <w:r>
        <w:rPr>
          <w:rFonts w:eastAsia="宋体"/>
          <w:b/>
          <w:sz w:val="24"/>
          <w:szCs w:val="24"/>
        </w:rPr>
        <w:t>）江淮分水岭地区水资源优化配置工程</w:t>
      </w:r>
    </w:p>
    <w:p>
      <w:pPr>
        <w:pStyle w:val="72"/>
        <w:spacing w:line="360" w:lineRule="auto"/>
        <w:ind w:firstLine="480" w:firstLineChars="200"/>
        <w:rPr>
          <w:rFonts w:eastAsia="宋体"/>
          <w:sz w:val="24"/>
          <w:szCs w:val="24"/>
        </w:rPr>
      </w:pPr>
      <w:r>
        <w:rPr>
          <w:rFonts w:eastAsia="宋体"/>
          <w:sz w:val="24"/>
          <w:szCs w:val="24"/>
        </w:rPr>
        <w:t>项目包括以下规划建设内容：</w:t>
      </w:r>
      <w:r>
        <w:rPr>
          <w:rFonts w:hint="eastAsia" w:eastAsia="宋体"/>
          <w:sz w:val="24"/>
          <w:szCs w:val="24"/>
        </w:rPr>
        <w:t>（1）汲东干渠灌区抗旱水源（城东湖）保障工程：①建设冯瓴橡胶坝，蓄水水位22.5m，蓄水库容498万m</w:t>
      </w:r>
      <w:r>
        <w:rPr>
          <w:rFonts w:hint="eastAsia" w:eastAsia="宋体"/>
          <w:sz w:val="24"/>
          <w:szCs w:val="24"/>
          <w:vertAlign w:val="superscript"/>
        </w:rPr>
        <w:t>3</w:t>
      </w:r>
      <w:r>
        <w:rPr>
          <w:rFonts w:hint="eastAsia" w:eastAsia="宋体"/>
          <w:sz w:val="24"/>
          <w:szCs w:val="24"/>
        </w:rPr>
        <w:t>；②裕安第二自来水厂响洪甸水库引水水源工程，新建输水管道长27.4km，新建隧道1.5km；③拆除重建刘李电灌站，设计流量13m</w:t>
      </w:r>
      <w:r>
        <w:rPr>
          <w:rFonts w:hint="eastAsia" w:eastAsia="宋体"/>
          <w:sz w:val="24"/>
          <w:szCs w:val="24"/>
          <w:vertAlign w:val="superscript"/>
        </w:rPr>
        <w:t>3</w:t>
      </w:r>
      <w:r>
        <w:rPr>
          <w:rFonts w:hint="eastAsia" w:eastAsia="宋体"/>
          <w:sz w:val="24"/>
          <w:szCs w:val="24"/>
        </w:rPr>
        <w:t>/s。（2）沣西干渠灌区抗旱水源（城西湖）保障工程：规划新建邵岗电灌站，装机3台共2700kW、疏浚引渠长4.90km、新建PCCP输水管道长4.62km；扩建郑塔分干渠12km、新建泵站引水渠道5km、站后埋管4.7km，郑塔分干渠新建节制闸一座。（3）杭埠河灌区抗旱水源（巢湖）保障工程：规划新建杭北干渠补水站工程，抽水流量约7m</w:t>
      </w:r>
      <w:r>
        <w:rPr>
          <w:rFonts w:hint="eastAsia" w:eastAsia="宋体"/>
          <w:sz w:val="24"/>
          <w:szCs w:val="24"/>
          <w:vertAlign w:val="superscript"/>
        </w:rPr>
        <w:t>3</w:t>
      </w:r>
      <w:r>
        <w:rPr>
          <w:rFonts w:hint="eastAsia" w:eastAsia="宋体"/>
          <w:sz w:val="24"/>
          <w:szCs w:val="24"/>
        </w:rPr>
        <w:t>/s，灌溉补水面积约9万亩，年均可置换水量约4500万m</w:t>
      </w:r>
      <w:r>
        <w:rPr>
          <w:rFonts w:hint="eastAsia" w:eastAsia="宋体"/>
          <w:sz w:val="24"/>
          <w:szCs w:val="24"/>
          <w:vertAlign w:val="superscript"/>
        </w:rPr>
        <w:t>3</w:t>
      </w:r>
      <w:r>
        <w:rPr>
          <w:rFonts w:hint="eastAsia" w:eastAsia="宋体"/>
          <w:sz w:val="24"/>
          <w:szCs w:val="24"/>
        </w:rPr>
        <w:t>。（4）白莲崖水库与响洪甸水库连通工程：规划设计流量290m</w:t>
      </w:r>
      <w:r>
        <w:rPr>
          <w:rFonts w:hint="eastAsia" w:eastAsia="宋体"/>
          <w:sz w:val="24"/>
          <w:szCs w:val="24"/>
          <w:vertAlign w:val="superscript"/>
        </w:rPr>
        <w:t>3</w:t>
      </w:r>
      <w:r>
        <w:rPr>
          <w:rFonts w:hint="eastAsia" w:eastAsia="宋体"/>
          <w:sz w:val="24"/>
          <w:szCs w:val="24"/>
        </w:rPr>
        <w:t>/s，长度25km。（5）梅山水库与响洪甸水库连通工程：规划设计流量100m</w:t>
      </w:r>
      <w:r>
        <w:rPr>
          <w:rFonts w:hint="eastAsia" w:eastAsia="宋体"/>
          <w:sz w:val="24"/>
          <w:szCs w:val="24"/>
          <w:vertAlign w:val="superscript"/>
        </w:rPr>
        <w:t>3</w:t>
      </w:r>
      <w:r>
        <w:rPr>
          <w:rFonts w:hint="eastAsia" w:eastAsia="宋体"/>
          <w:sz w:val="24"/>
          <w:szCs w:val="24"/>
        </w:rPr>
        <w:t>/s，长度10km。（6）淠河总干渠清水廊道生态保护和修复工程：规划拟全面打造淠河总干渠清水廊道，实施渠系整治、堤顶道路提标及生态修复工程，新建隔离网等工程措施。工程总投资25.14亿元，估算十四五总投资5亿</w:t>
      </w:r>
      <w:r>
        <w:rPr>
          <w:rFonts w:eastAsia="宋体"/>
          <w:sz w:val="24"/>
          <w:szCs w:val="24"/>
        </w:rPr>
        <w:t>亿元。</w:t>
      </w:r>
    </w:p>
    <w:p>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三</w:t>
      </w:r>
      <w:r>
        <w:rPr>
          <w:rFonts w:eastAsia="宋体"/>
          <w:b/>
          <w:sz w:val="24"/>
          <w:szCs w:val="24"/>
        </w:rPr>
        <w:t>）淠河灌区和杭埠河灌区连通工程</w:t>
      </w:r>
    </w:p>
    <w:p>
      <w:pPr>
        <w:pStyle w:val="72"/>
        <w:spacing w:line="360" w:lineRule="auto"/>
        <w:ind w:firstLine="480" w:firstLineChars="200"/>
        <w:rPr>
          <w:rFonts w:eastAsia="宋体"/>
          <w:sz w:val="24"/>
          <w:szCs w:val="24"/>
        </w:rPr>
      </w:pPr>
      <w:r>
        <w:rPr>
          <w:rFonts w:hint="eastAsia" w:eastAsia="宋体"/>
          <w:sz w:val="24"/>
          <w:szCs w:val="24"/>
        </w:rPr>
        <w:t>杭埠河与淠河水系连通工程，计划从张家店提引杭埠河水向北输入淮河流域金安区施桥、椿树、张店等南片区域；横排头与汲东干渠水系连通工程，计划利用横排头直接补给汲东干渠，增加汲东干渠输水量，提高汲东灌区灌溉率；城东湖、汲河与淠河水系连通工程，在城东湖建站抽水入汲东干渠，灌溉汲东干渠下游。设计流量10m</w:t>
      </w:r>
      <w:r>
        <w:rPr>
          <w:rFonts w:hint="eastAsia" w:eastAsia="宋体"/>
          <w:sz w:val="24"/>
          <w:szCs w:val="24"/>
          <w:vertAlign w:val="superscript"/>
        </w:rPr>
        <w:t>3</w:t>
      </w:r>
      <w:r>
        <w:rPr>
          <w:rFonts w:hint="eastAsia" w:eastAsia="宋体"/>
          <w:sz w:val="24"/>
          <w:szCs w:val="24"/>
        </w:rPr>
        <w:t>/s，灌溉面积11.3万亩。工程总投资20亿元，估算十四五总投资0.6</w:t>
      </w:r>
      <w:r>
        <w:rPr>
          <w:rFonts w:eastAsia="宋体"/>
          <w:sz w:val="24"/>
          <w:szCs w:val="24"/>
        </w:rPr>
        <w:t>亿元。</w:t>
      </w:r>
    </w:p>
    <w:p>
      <w:pPr>
        <w:pStyle w:val="72"/>
        <w:spacing w:line="360" w:lineRule="auto"/>
        <w:ind w:firstLine="482" w:firstLineChars="200"/>
        <w:rPr>
          <w:rFonts w:eastAsia="宋体"/>
          <w:b/>
          <w:sz w:val="24"/>
          <w:szCs w:val="24"/>
        </w:rPr>
      </w:pPr>
      <w:r>
        <w:rPr>
          <w:rFonts w:eastAsia="宋体"/>
          <w:b/>
          <w:sz w:val="24"/>
          <w:szCs w:val="24"/>
        </w:rPr>
        <w:t>（</w:t>
      </w:r>
      <w:r>
        <w:rPr>
          <w:rFonts w:hint="eastAsia" w:eastAsia="宋体"/>
          <w:b/>
          <w:sz w:val="24"/>
          <w:szCs w:val="24"/>
        </w:rPr>
        <w:t>四</w:t>
      </w:r>
      <w:r>
        <w:rPr>
          <w:rFonts w:eastAsia="宋体"/>
          <w:b/>
          <w:sz w:val="24"/>
          <w:szCs w:val="24"/>
        </w:rPr>
        <w:t>）霍山县骨干抗旱应急水源工程</w:t>
      </w:r>
    </w:p>
    <w:p>
      <w:pPr>
        <w:pStyle w:val="72"/>
        <w:spacing w:line="360" w:lineRule="auto"/>
        <w:ind w:firstLine="480" w:firstLineChars="200"/>
        <w:rPr>
          <w:rFonts w:eastAsia="宋体"/>
          <w:sz w:val="24"/>
          <w:szCs w:val="24"/>
        </w:rPr>
      </w:pPr>
      <w:r>
        <w:rPr>
          <w:rFonts w:hint="eastAsia" w:eastAsia="宋体"/>
          <w:sz w:val="24"/>
          <w:szCs w:val="24"/>
        </w:rPr>
        <w:t>霍山县部分区域农田位于沿河两岸，地势较高，土质均为砂壤土，保水性差，常规水源是农田周边山塘和拦河坝取水，无应急水源，农田大部分靠天收。同时饮水也是从河内抽水，水质水量无保证，修建骨干抗旱应急水源工程十分必要。霍山县骨干抗旱应急水源工程主要有黑石渡、断山堰、但家庙、移洋湾、下符桥、上土市等6处。工程总投资1.48亿元，估算十四五总投资1.48</w:t>
      </w:r>
      <w:r>
        <w:rPr>
          <w:rFonts w:eastAsia="宋体"/>
          <w:sz w:val="24"/>
          <w:szCs w:val="24"/>
        </w:rPr>
        <w:t>亿元。</w:t>
      </w:r>
    </w:p>
    <w:p>
      <w:pPr>
        <w:pStyle w:val="72"/>
        <w:spacing w:line="360" w:lineRule="auto"/>
        <w:ind w:firstLine="482" w:firstLineChars="200"/>
        <w:rPr>
          <w:rFonts w:eastAsia="宋体"/>
          <w:sz w:val="24"/>
          <w:szCs w:val="24"/>
        </w:rPr>
      </w:pPr>
      <w:r>
        <w:rPr>
          <w:rFonts w:eastAsia="宋体"/>
          <w:b/>
          <w:sz w:val="24"/>
          <w:szCs w:val="24"/>
        </w:rPr>
        <w:t>（</w:t>
      </w:r>
      <w:r>
        <w:rPr>
          <w:rFonts w:hint="eastAsia" w:eastAsia="宋体"/>
          <w:b/>
          <w:sz w:val="24"/>
          <w:szCs w:val="24"/>
        </w:rPr>
        <w:t>五</w:t>
      </w:r>
      <w:r>
        <w:rPr>
          <w:rFonts w:eastAsia="宋体"/>
          <w:b/>
          <w:sz w:val="24"/>
          <w:szCs w:val="24"/>
        </w:rPr>
        <w:t>）霍山县引淠入杭水系连通工程</w:t>
      </w:r>
    </w:p>
    <w:p>
      <w:pPr>
        <w:pStyle w:val="72"/>
        <w:spacing w:line="360" w:lineRule="auto"/>
        <w:ind w:firstLine="480" w:firstLineChars="200"/>
        <w:rPr>
          <w:rFonts w:eastAsia="宋体"/>
          <w:color w:val="auto"/>
          <w:sz w:val="24"/>
          <w:szCs w:val="24"/>
        </w:rPr>
      </w:pPr>
      <w:r>
        <w:rPr>
          <w:rFonts w:hint="eastAsia" w:eastAsia="宋体"/>
          <w:color w:val="auto"/>
          <w:sz w:val="24"/>
          <w:szCs w:val="24"/>
        </w:rPr>
        <w:t>该工程包括：</w:t>
      </w:r>
      <w:r>
        <w:rPr>
          <w:rFonts w:eastAsia="宋体"/>
          <w:color w:val="auto"/>
          <w:sz w:val="24"/>
          <w:szCs w:val="24"/>
        </w:rPr>
        <w:t>河道疏浚5km</w:t>
      </w:r>
      <w:r>
        <w:rPr>
          <w:rFonts w:hint="eastAsia" w:eastAsia="宋体"/>
          <w:color w:val="auto"/>
          <w:sz w:val="24"/>
          <w:szCs w:val="24"/>
        </w:rPr>
        <w:t>，</w:t>
      </w:r>
      <w:r>
        <w:rPr>
          <w:rFonts w:eastAsia="宋体"/>
          <w:color w:val="auto"/>
          <w:sz w:val="24"/>
          <w:szCs w:val="24"/>
        </w:rPr>
        <w:t>新开渠道31km，沿途修建提水站、渡槽、倒虹吸、隧洞、涵闸等建筑物20座等。安装供水管道长度104.5km。工程总投资26亿元，估算十四五总投资0.1亿元。</w:t>
      </w:r>
    </w:p>
    <w:p>
      <w:pPr>
        <w:pStyle w:val="72"/>
        <w:spacing w:line="360" w:lineRule="auto"/>
        <w:ind w:firstLine="482" w:firstLineChars="200"/>
        <w:rPr>
          <w:rFonts w:eastAsia="宋体"/>
          <w:sz w:val="24"/>
          <w:szCs w:val="24"/>
        </w:rPr>
      </w:pPr>
      <w:r>
        <w:rPr>
          <w:rFonts w:eastAsia="宋体"/>
          <w:b/>
          <w:sz w:val="24"/>
          <w:szCs w:val="24"/>
        </w:rPr>
        <w:t>（</w:t>
      </w:r>
      <w:r>
        <w:rPr>
          <w:rFonts w:hint="eastAsia" w:eastAsia="宋体"/>
          <w:b/>
          <w:sz w:val="24"/>
          <w:szCs w:val="24"/>
        </w:rPr>
        <w:t>六</w:t>
      </w:r>
      <w:r>
        <w:rPr>
          <w:rFonts w:eastAsia="宋体"/>
          <w:b/>
          <w:sz w:val="24"/>
          <w:szCs w:val="24"/>
        </w:rPr>
        <w:t>）黑石渡水资源配置工程</w:t>
      </w:r>
    </w:p>
    <w:p>
      <w:pPr>
        <w:pStyle w:val="72"/>
        <w:spacing w:line="360" w:lineRule="auto"/>
        <w:ind w:firstLine="480" w:firstLineChars="200"/>
        <w:rPr>
          <w:rFonts w:eastAsia="宋体"/>
          <w:sz w:val="24"/>
          <w:szCs w:val="24"/>
        </w:rPr>
      </w:pPr>
      <w:r>
        <w:rPr>
          <w:rFonts w:hint="eastAsia" w:eastAsia="宋体"/>
          <w:sz w:val="24"/>
          <w:szCs w:val="24"/>
        </w:rPr>
        <w:t>霍山县东淠河</w:t>
      </w:r>
      <w:bookmarkStart w:id="407" w:name="_Hlk85655803"/>
      <w:r>
        <w:rPr>
          <w:rFonts w:eastAsia="宋体"/>
          <w:sz w:val="24"/>
          <w:szCs w:val="24"/>
        </w:rPr>
        <w:t>橡胶坝</w:t>
      </w:r>
      <w:bookmarkEnd w:id="407"/>
      <w:r>
        <w:rPr>
          <w:rFonts w:eastAsia="宋体"/>
          <w:sz w:val="24"/>
          <w:szCs w:val="24"/>
        </w:rPr>
        <w:t>挡水后可拦蓄水量约550万m</w:t>
      </w:r>
      <w:r>
        <w:rPr>
          <w:rFonts w:eastAsia="宋体"/>
          <w:sz w:val="24"/>
          <w:szCs w:val="24"/>
          <w:vertAlign w:val="superscript"/>
        </w:rPr>
        <w:t>3</w:t>
      </w:r>
      <w:r>
        <w:rPr>
          <w:rFonts w:eastAsia="宋体"/>
          <w:sz w:val="24"/>
          <w:szCs w:val="24"/>
        </w:rPr>
        <w:t>，形成水面面积约200万m</w:t>
      </w:r>
      <w:r>
        <w:rPr>
          <w:rFonts w:eastAsia="宋体"/>
          <w:sz w:val="24"/>
          <w:szCs w:val="24"/>
          <w:vertAlign w:val="superscript"/>
        </w:rPr>
        <w:t>2</w:t>
      </w:r>
      <w:r>
        <w:rPr>
          <w:rFonts w:eastAsia="宋体"/>
          <w:sz w:val="24"/>
          <w:szCs w:val="24"/>
        </w:rPr>
        <w:t>。规划</w:t>
      </w:r>
      <w:r>
        <w:rPr>
          <w:rFonts w:hint="eastAsia" w:eastAsia="宋体"/>
          <w:sz w:val="24"/>
          <w:szCs w:val="24"/>
        </w:rPr>
        <w:t>在橡胶坝附近</w:t>
      </w:r>
      <w:r>
        <w:rPr>
          <w:rFonts w:eastAsia="宋体"/>
          <w:sz w:val="24"/>
          <w:szCs w:val="24"/>
        </w:rPr>
        <w:t>新建</w:t>
      </w:r>
      <w:r>
        <w:rPr>
          <w:rFonts w:hint="eastAsia" w:eastAsia="宋体"/>
          <w:sz w:val="24"/>
          <w:szCs w:val="24"/>
        </w:rPr>
        <w:t>取水</w:t>
      </w:r>
      <w:r>
        <w:rPr>
          <w:rFonts w:eastAsia="宋体"/>
          <w:sz w:val="24"/>
          <w:szCs w:val="24"/>
        </w:rPr>
        <w:t>泵站，流量10m</w:t>
      </w:r>
      <w:r>
        <w:rPr>
          <w:rFonts w:eastAsia="宋体"/>
          <w:sz w:val="24"/>
          <w:szCs w:val="24"/>
          <w:vertAlign w:val="superscript"/>
        </w:rPr>
        <w:t>3</w:t>
      </w:r>
      <w:r>
        <w:rPr>
          <w:rFonts w:eastAsia="宋体"/>
          <w:sz w:val="24"/>
          <w:szCs w:val="24"/>
        </w:rPr>
        <w:t>/s。工程总投资1.5亿元，估算十四五总投资1.5亿元。</w:t>
      </w:r>
    </w:p>
    <w:p>
      <w:pPr>
        <w:pStyle w:val="72"/>
        <w:spacing w:line="360" w:lineRule="auto"/>
        <w:ind w:firstLine="482" w:firstLineChars="200"/>
        <w:rPr>
          <w:rFonts w:ascii="宋体" w:hAnsi="宋体" w:eastAsia="宋体"/>
          <w:b/>
          <w:sz w:val="24"/>
          <w:szCs w:val="24"/>
        </w:rPr>
      </w:pPr>
      <w:r>
        <w:rPr>
          <w:rFonts w:hint="eastAsia" w:ascii="宋体" w:hAnsi="宋体" w:eastAsia="宋体"/>
          <w:b/>
          <w:sz w:val="24"/>
          <w:szCs w:val="24"/>
        </w:rPr>
        <w:t>（七）舒城县活水引源工程一期上游引水水源蓄水工程</w:t>
      </w:r>
    </w:p>
    <w:p>
      <w:pPr>
        <w:adjustRightInd w:val="0"/>
        <w:snapToGrid w:val="0"/>
        <w:spacing w:line="360" w:lineRule="auto"/>
        <w:ind w:firstLine="480" w:firstLineChars="200"/>
        <w:rPr>
          <w:rFonts w:ascii="宋体" w:hAnsi="宋体"/>
          <w:sz w:val="24"/>
        </w:rPr>
      </w:pPr>
      <w:r>
        <w:rPr>
          <w:rFonts w:hint="eastAsia" w:ascii="宋体" w:hAnsi="宋体"/>
          <w:sz w:val="24"/>
        </w:rPr>
        <w:t>该工程位于舒城县七门堰枢纽处，利用七门堰引杭埠河水源。工程</w:t>
      </w:r>
      <w:r>
        <w:rPr>
          <w:rFonts w:ascii="宋体" w:hAnsi="宋体"/>
          <w:sz w:val="24"/>
        </w:rPr>
        <w:t>包括</w:t>
      </w:r>
      <w:r>
        <w:rPr>
          <w:rFonts w:hint="eastAsia" w:ascii="宋体" w:hAnsi="宋体"/>
          <w:sz w:val="24"/>
        </w:rPr>
        <w:t>堤防加固、七门堰枢纽建设、引水闸、冲砂闸、引水渠道加固、配套建筑物拆除重建等工程措施。工程总投资</w:t>
      </w:r>
      <w:r>
        <w:rPr>
          <w:rFonts w:ascii="宋体" w:hAnsi="宋体"/>
          <w:sz w:val="24"/>
        </w:rPr>
        <w:t>1.95亿元</w:t>
      </w:r>
      <w:r>
        <w:rPr>
          <w:rFonts w:hint="eastAsia" w:ascii="宋体" w:hAnsi="宋体"/>
          <w:sz w:val="24"/>
        </w:rPr>
        <w:t>，</w:t>
      </w:r>
      <w:r>
        <w:rPr>
          <w:rFonts w:ascii="宋体" w:hAnsi="宋体"/>
          <w:sz w:val="24"/>
        </w:rPr>
        <w:t>估算十四五总投资1.95亿元</w:t>
      </w:r>
      <w:r>
        <w:rPr>
          <w:rFonts w:hint="eastAsia" w:ascii="宋体" w:hAnsi="宋体"/>
          <w:sz w:val="24"/>
        </w:rPr>
        <w:t>。</w:t>
      </w:r>
    </w:p>
    <w:p>
      <w:pPr>
        <w:pStyle w:val="72"/>
        <w:spacing w:line="360" w:lineRule="auto"/>
        <w:ind w:firstLine="482" w:firstLineChars="200"/>
        <w:rPr>
          <w:rFonts w:ascii="宋体" w:hAnsi="宋体" w:eastAsia="宋体"/>
          <w:b/>
          <w:sz w:val="24"/>
          <w:szCs w:val="24"/>
        </w:rPr>
      </w:pPr>
      <w:r>
        <w:rPr>
          <w:rFonts w:hint="eastAsia" w:ascii="宋体" w:hAnsi="宋体" w:eastAsia="宋体"/>
          <w:b/>
          <w:sz w:val="24"/>
          <w:szCs w:val="24"/>
        </w:rPr>
        <w:t>（八）龙河口引水工程</w:t>
      </w:r>
    </w:p>
    <w:p>
      <w:pPr>
        <w:adjustRightInd w:val="0"/>
        <w:snapToGrid w:val="0"/>
        <w:spacing w:line="360" w:lineRule="auto"/>
        <w:ind w:firstLine="480" w:firstLineChars="200"/>
        <w:rPr>
          <w:sz w:val="24"/>
        </w:rPr>
      </w:pPr>
      <w:r>
        <w:rPr>
          <w:sz w:val="24"/>
        </w:rPr>
        <w:t>龙河口引水工程的供水范围及对象为合肥市、舒城县居民生活。设计年引水量14800万m</w:t>
      </w:r>
      <w:r>
        <w:rPr>
          <w:sz w:val="24"/>
          <w:vertAlign w:val="superscript"/>
        </w:rPr>
        <w:t>3</w:t>
      </w:r>
      <w:r>
        <w:rPr>
          <w:sz w:val="24"/>
        </w:rPr>
        <w:t>，其中向合肥市年供水量为12000万m</w:t>
      </w:r>
      <w:r>
        <w:rPr>
          <w:sz w:val="24"/>
          <w:vertAlign w:val="superscript"/>
        </w:rPr>
        <w:t>3</w:t>
      </w:r>
      <w:r>
        <w:rPr>
          <w:sz w:val="24"/>
        </w:rPr>
        <w:t>（45万m</w:t>
      </w:r>
      <w:r>
        <w:rPr>
          <w:sz w:val="24"/>
          <w:vertAlign w:val="superscript"/>
        </w:rPr>
        <w:t>3</w:t>
      </w:r>
      <w:r>
        <w:rPr>
          <w:sz w:val="24"/>
        </w:rPr>
        <w:t>/d），向舒城县年供水量为2800万m</w:t>
      </w:r>
      <w:r>
        <w:rPr>
          <w:sz w:val="24"/>
          <w:vertAlign w:val="superscript"/>
        </w:rPr>
        <w:t>3</w:t>
      </w:r>
      <w:r>
        <w:rPr>
          <w:sz w:val="24"/>
        </w:rPr>
        <w:t>（近期10万m</w:t>
      </w:r>
      <w:r>
        <w:rPr>
          <w:sz w:val="24"/>
          <w:vertAlign w:val="superscript"/>
        </w:rPr>
        <w:t>3</w:t>
      </w:r>
      <w:r>
        <w:rPr>
          <w:sz w:val="24"/>
        </w:rPr>
        <w:t>/d、远期15万m</w:t>
      </w:r>
      <w:r>
        <w:rPr>
          <w:sz w:val="24"/>
          <w:vertAlign w:val="superscript"/>
        </w:rPr>
        <w:t>3</w:t>
      </w:r>
      <w:r>
        <w:rPr>
          <w:sz w:val="24"/>
        </w:rPr>
        <w:t>/d）。该工程选择磨墩水库作为引水线路终端的调蓄水库，即以磨墩水库作为收水点。</w:t>
      </w:r>
    </w:p>
    <w:p>
      <w:pPr>
        <w:adjustRightInd w:val="0"/>
        <w:snapToGrid w:val="0"/>
        <w:spacing w:line="360" w:lineRule="auto"/>
        <w:ind w:firstLine="480" w:firstLineChars="200"/>
        <w:rPr>
          <w:sz w:val="24"/>
        </w:rPr>
      </w:pPr>
      <w:r>
        <w:rPr>
          <w:sz w:val="24"/>
        </w:rPr>
        <w:t>本工程全线采用以埋地压力管道输水为主的方式，主要建筑物由取水口、输水管道、加压泵站、出水口及交叉建筑物等组成。龙河口水库至磨墩水库输水管线全长52.66km，设计引水流量6.94m</w:t>
      </w:r>
      <w:r>
        <w:rPr>
          <w:sz w:val="24"/>
          <w:vertAlign w:val="superscript"/>
        </w:rPr>
        <w:t>3</w:t>
      </w:r>
      <w:r>
        <w:rPr>
          <w:sz w:val="24"/>
        </w:rPr>
        <w:t>/s，加压泵站设计流量5.208m</w:t>
      </w:r>
      <w:r>
        <w:rPr>
          <w:sz w:val="24"/>
          <w:vertAlign w:val="superscript"/>
        </w:rPr>
        <w:t>3</w:t>
      </w:r>
      <w:r>
        <w:rPr>
          <w:sz w:val="24"/>
        </w:rPr>
        <w:t>/s，总装机5000kW。输水管线全线采用单管输水，工程概算总投资15.41亿元。</w:t>
      </w:r>
    </w:p>
    <w:p>
      <w:pPr>
        <w:pStyle w:val="4"/>
        <w:adjustRightInd w:val="0"/>
        <w:snapToGrid w:val="0"/>
        <w:spacing w:before="156" w:beforeLines="50" w:after="156" w:afterLines="50"/>
        <w:rPr>
          <w:sz w:val="28"/>
        </w:rPr>
      </w:pPr>
      <w:bookmarkStart w:id="408" w:name="_Toc382472249"/>
      <w:bookmarkStart w:id="409" w:name="_Toc95382524"/>
      <w:bookmarkStart w:id="410" w:name="_Toc432782577"/>
      <w:r>
        <w:rPr>
          <w:rFonts w:hint="eastAsia"/>
          <w:sz w:val="28"/>
        </w:rPr>
        <w:t>三</w:t>
      </w:r>
      <w:r>
        <w:rPr>
          <w:sz w:val="28"/>
        </w:rPr>
        <w:t>、</w:t>
      </w:r>
      <w:r>
        <w:rPr>
          <w:rFonts w:hint="eastAsia"/>
          <w:sz w:val="28"/>
        </w:rPr>
        <w:t>新建灌区</w:t>
      </w:r>
      <w:bookmarkEnd w:id="408"/>
      <w:bookmarkEnd w:id="409"/>
      <w:bookmarkEnd w:id="410"/>
    </w:p>
    <w:p>
      <w:pPr>
        <w:adjustRightInd w:val="0"/>
        <w:snapToGrid w:val="0"/>
        <w:spacing w:line="360" w:lineRule="auto"/>
        <w:ind w:firstLine="480" w:firstLineChars="200"/>
        <w:rPr>
          <w:sz w:val="24"/>
        </w:rPr>
      </w:pPr>
      <w:r>
        <w:rPr>
          <w:rFonts w:hint="eastAsia"/>
          <w:sz w:val="24"/>
        </w:rPr>
        <w:t>规划至2</w:t>
      </w:r>
      <w:r>
        <w:rPr>
          <w:sz w:val="24"/>
        </w:rPr>
        <w:t>025</w:t>
      </w:r>
      <w:r>
        <w:rPr>
          <w:rFonts w:hint="eastAsia"/>
          <w:sz w:val="24"/>
        </w:rPr>
        <w:t>年，在横跨六安市金安区、裕安区和叶集区等江淮分水岭核心丘陵区域，新建一批中小水库和提水工程，建设渠道、进水闸、渡槽、倒虹吸等渠系建筑物，实施管道灌溉、喷灌、滴灌及微灌，建设灌区排水除涝、水量监测，智慧管理系统等。</w:t>
      </w:r>
    </w:p>
    <w:p>
      <w:pPr>
        <w:pStyle w:val="4"/>
        <w:adjustRightInd w:val="0"/>
        <w:snapToGrid w:val="0"/>
        <w:spacing w:before="156" w:beforeLines="50" w:after="156" w:afterLines="50"/>
        <w:rPr>
          <w:sz w:val="28"/>
        </w:rPr>
      </w:pPr>
      <w:bookmarkStart w:id="411" w:name="_Toc382472250"/>
      <w:bookmarkStart w:id="412" w:name="_Toc95382525"/>
      <w:bookmarkStart w:id="413" w:name="_Toc432782578"/>
      <w:r>
        <w:rPr>
          <w:rFonts w:hint="eastAsia"/>
          <w:sz w:val="28"/>
        </w:rPr>
        <w:t>四</w:t>
      </w:r>
      <w:r>
        <w:rPr>
          <w:sz w:val="28"/>
        </w:rPr>
        <w:t>、重点节水工程</w:t>
      </w:r>
      <w:bookmarkEnd w:id="411"/>
      <w:bookmarkEnd w:id="412"/>
      <w:bookmarkEnd w:id="413"/>
    </w:p>
    <w:p>
      <w:pPr>
        <w:adjustRightInd w:val="0"/>
        <w:snapToGrid w:val="0"/>
        <w:spacing w:line="360" w:lineRule="auto"/>
        <w:rPr>
          <w:b/>
          <w:sz w:val="24"/>
        </w:rPr>
      </w:pPr>
      <w:r>
        <w:rPr>
          <w:b/>
          <w:sz w:val="24"/>
        </w:rPr>
        <w:t>（一）大</w:t>
      </w:r>
      <w:r>
        <w:rPr>
          <w:rFonts w:hint="eastAsia"/>
          <w:b/>
          <w:sz w:val="24"/>
        </w:rPr>
        <w:t>中</w:t>
      </w:r>
      <w:r>
        <w:rPr>
          <w:b/>
          <w:sz w:val="24"/>
        </w:rPr>
        <w:t>型灌区续建配套及</w:t>
      </w:r>
      <w:r>
        <w:rPr>
          <w:rFonts w:hint="eastAsia"/>
          <w:b/>
          <w:sz w:val="24"/>
        </w:rPr>
        <w:t>现代化</w:t>
      </w:r>
      <w:r>
        <w:rPr>
          <w:b/>
          <w:sz w:val="24"/>
        </w:rPr>
        <w:t>改造工程</w:t>
      </w:r>
    </w:p>
    <w:p>
      <w:pPr>
        <w:adjustRightInd w:val="0"/>
        <w:snapToGrid w:val="0"/>
        <w:spacing w:line="360" w:lineRule="auto"/>
        <w:ind w:firstLine="480" w:firstLineChars="200"/>
        <w:rPr>
          <w:sz w:val="24"/>
        </w:rPr>
      </w:pPr>
      <w:r>
        <w:rPr>
          <w:rFonts w:hint="eastAsia"/>
          <w:sz w:val="24"/>
        </w:rPr>
        <w:t>开展灌排工程体系续建配套与现代化改造、水资源保护、水系连通及多水源联合调度、现代管理与优质服务、信息化、生态文明工程建设等，骨干灌排设施完好率达到90%以上、灌溉水利用系数达到0.55以上、灌区信息化覆盖率达到</w:t>
      </w:r>
      <w:r>
        <w:rPr>
          <w:sz w:val="24"/>
        </w:rPr>
        <w:t>31</w:t>
      </w:r>
      <w:r>
        <w:rPr>
          <w:rFonts w:hint="eastAsia"/>
          <w:sz w:val="24"/>
        </w:rPr>
        <w:t>%以上。改造支渠以上渠道，包括淠河总干渠、6条干渠、19条分干渠、300条支干渠，改造进水闸、渡槽、倒虹吸等渠系建筑物270座；田间工程，包括支渠以下渠道和田埂、灌水畦、灌水沟等田间改造；机耕道、生产路等基础设施提升；农业和生物技术节水措施推广等；排水除涝工程，包括泄水闸、排水泵站等建筑物混凝土碳化修复，机电设备、泵房更新改造；泄水渠清淤；部分渠道泄水闸及泄水通道建设等。</w:t>
      </w:r>
    </w:p>
    <w:p>
      <w:pPr>
        <w:adjustRightInd w:val="0"/>
        <w:snapToGrid w:val="0"/>
        <w:spacing w:line="360" w:lineRule="auto"/>
        <w:ind w:firstLine="480" w:firstLineChars="200"/>
        <w:rPr>
          <w:sz w:val="24"/>
        </w:rPr>
      </w:pPr>
      <w:r>
        <w:rPr>
          <w:rFonts w:hint="eastAsia"/>
          <w:sz w:val="24"/>
        </w:rPr>
        <w:t>加快金寨县、霍山县、淠史杭灌区淠源分干渠、高河灌区等中型灌区的续建配套改造，开展灌排工程体系续建配套与节水改造、水系连通及多水源联合调度，以及信息化工程建设。</w:t>
      </w:r>
    </w:p>
    <w:p>
      <w:pPr>
        <w:adjustRightInd w:val="0"/>
        <w:snapToGrid w:val="0"/>
        <w:spacing w:line="360" w:lineRule="auto"/>
        <w:rPr>
          <w:b/>
          <w:sz w:val="24"/>
        </w:rPr>
      </w:pPr>
      <w:r>
        <w:rPr>
          <w:b/>
          <w:sz w:val="24"/>
        </w:rPr>
        <w:t>（二）工业及城市生活节水工程</w:t>
      </w:r>
    </w:p>
    <w:p>
      <w:pPr>
        <w:adjustRightInd w:val="0"/>
        <w:snapToGrid w:val="0"/>
        <w:spacing w:line="360" w:lineRule="auto"/>
        <w:ind w:firstLine="480" w:firstLineChars="200"/>
        <w:rPr>
          <w:sz w:val="24"/>
        </w:rPr>
      </w:pPr>
      <w:r>
        <w:rPr>
          <w:sz w:val="24"/>
        </w:rPr>
        <w:t>在优化调整区域产业布局的基础上，鼓励工业企业对生产工艺进行节水改造，开发和完善高浓缩倍数工况下的循环冷却水处理技术。推广直流水改循环水、空冷、污水回用、凝结水回用等技术。推广供水、排水和水处理的在线监控技术。</w:t>
      </w:r>
    </w:p>
    <w:p>
      <w:pPr>
        <w:adjustRightInd w:val="0"/>
        <w:snapToGrid w:val="0"/>
        <w:spacing w:line="360" w:lineRule="auto"/>
        <w:ind w:firstLine="480" w:firstLineChars="200"/>
        <w:rPr>
          <w:sz w:val="24"/>
        </w:rPr>
      </w:pPr>
      <w:r>
        <w:rPr>
          <w:sz w:val="24"/>
        </w:rPr>
        <w:t>加快城市供水干、支管网系统的技术改造，降低输配水管网漏失率。全面推行节水型用水器具，发展“节水型住宅”，节水设施与主体工程同时设计、同时施工、同时投产。实施分质供水，推广中水回用。</w:t>
      </w:r>
    </w:p>
    <w:p>
      <w:pPr>
        <w:adjustRightInd w:val="0"/>
        <w:snapToGrid w:val="0"/>
        <w:spacing w:line="360" w:lineRule="auto"/>
        <w:ind w:firstLine="480" w:firstLineChars="200"/>
        <w:rPr>
          <w:sz w:val="24"/>
        </w:rPr>
      </w:pPr>
    </w:p>
    <w:p>
      <w:pPr>
        <w:adjustRightInd w:val="0"/>
        <w:snapToGrid w:val="0"/>
        <w:spacing w:line="360" w:lineRule="auto"/>
        <w:rPr>
          <w:b/>
          <w:sz w:val="24"/>
        </w:rPr>
      </w:pPr>
      <w:r>
        <w:rPr>
          <w:b/>
          <w:sz w:val="24"/>
        </w:rPr>
        <w:t>（</w:t>
      </w:r>
      <w:r>
        <w:rPr>
          <w:rFonts w:hint="eastAsia"/>
          <w:b/>
          <w:sz w:val="24"/>
        </w:rPr>
        <w:t>三）非常规水源利用工程</w:t>
      </w:r>
    </w:p>
    <w:p>
      <w:pPr>
        <w:autoSpaceDE w:val="0"/>
        <w:autoSpaceDN w:val="0"/>
        <w:adjustRightInd w:val="0"/>
        <w:spacing w:line="360" w:lineRule="auto"/>
        <w:ind w:firstLine="480" w:firstLineChars="200"/>
        <w:jc w:val="left"/>
        <w:rPr>
          <w:color w:val="00B050"/>
          <w:kern w:val="0"/>
          <w:sz w:val="24"/>
        </w:rPr>
      </w:pPr>
      <w:r>
        <w:rPr>
          <w:rFonts w:hint="eastAsia"/>
          <w:kern w:val="0"/>
          <w:sz w:val="24"/>
        </w:rPr>
        <w:t>规划至2</w:t>
      </w:r>
      <w:r>
        <w:rPr>
          <w:kern w:val="0"/>
          <w:sz w:val="24"/>
        </w:rPr>
        <w:t>025</w:t>
      </w:r>
      <w:r>
        <w:rPr>
          <w:rFonts w:hint="eastAsia"/>
          <w:kern w:val="0"/>
          <w:sz w:val="24"/>
        </w:rPr>
        <w:t>年，建设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p>
      <w:pPr>
        <w:adjustRightInd w:val="0"/>
        <w:snapToGrid w:val="0"/>
        <w:spacing w:line="360" w:lineRule="auto"/>
        <w:rPr>
          <w:color w:val="FF0000"/>
          <w:sz w:val="18"/>
          <w:szCs w:val="18"/>
        </w:rPr>
      </w:pPr>
    </w:p>
    <w:p>
      <w:pPr>
        <w:keepNext/>
        <w:keepLines/>
        <w:adjustRightInd w:val="0"/>
        <w:snapToGrid w:val="0"/>
        <w:spacing w:before="312" w:beforeLines="100" w:after="312" w:afterLines="100" w:line="360" w:lineRule="auto"/>
        <w:jc w:val="center"/>
        <w:outlineLvl w:val="0"/>
        <w:rPr>
          <w:rFonts w:ascii="黑体" w:hAnsi="黑体" w:eastAsia="黑体" w:cs="黑体"/>
          <w:bCs/>
          <w:kern w:val="44"/>
          <w:sz w:val="36"/>
          <w:szCs w:val="36"/>
        </w:rPr>
        <w:sectPr>
          <w:pgSz w:w="11906" w:h="16838"/>
          <w:pgMar w:top="1440" w:right="1797" w:bottom="1440" w:left="1797" w:header="851" w:footer="992" w:gutter="0"/>
          <w:cols w:space="425" w:num="1"/>
          <w:docGrid w:type="lines" w:linePitch="312" w:charSpace="0"/>
        </w:sectPr>
      </w:pPr>
      <w:bookmarkStart w:id="414" w:name="_Toc30867"/>
      <w:bookmarkStart w:id="415" w:name="_Toc4561"/>
      <w:bookmarkStart w:id="416" w:name="_Toc11062"/>
      <w:bookmarkStart w:id="417" w:name="_Toc6374"/>
      <w:bookmarkStart w:id="418" w:name="_Toc2297"/>
      <w:bookmarkStart w:id="419" w:name="_Toc17514"/>
      <w:bookmarkStart w:id="420" w:name="_Toc7897"/>
    </w:p>
    <w:p>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421" w:name="_Toc95382526"/>
      <w:r>
        <w:rPr>
          <w:rFonts w:ascii="黑体" w:hAnsi="黑体" w:eastAsia="黑体" w:cs="黑体"/>
          <w:bCs/>
          <w:kern w:val="44"/>
          <w:sz w:val="36"/>
          <w:szCs w:val="36"/>
        </w:rPr>
        <w:t>第七章 水资源保护</w:t>
      </w:r>
      <w:bookmarkEnd w:id="414"/>
      <w:bookmarkEnd w:id="415"/>
      <w:bookmarkEnd w:id="416"/>
      <w:bookmarkEnd w:id="417"/>
      <w:bookmarkEnd w:id="418"/>
      <w:bookmarkEnd w:id="419"/>
      <w:bookmarkEnd w:id="420"/>
      <w:bookmarkEnd w:id="421"/>
    </w:p>
    <w:p>
      <w:pPr>
        <w:keepNext/>
        <w:keepLines/>
        <w:adjustRightInd w:val="0"/>
        <w:snapToGrid w:val="0"/>
        <w:spacing w:before="240" w:beforeLines="100" w:after="240" w:afterLines="100" w:line="360" w:lineRule="auto"/>
        <w:jc w:val="center"/>
        <w:outlineLvl w:val="1"/>
        <w:rPr>
          <w:b/>
          <w:bCs/>
          <w:color w:val="00B050"/>
          <w:sz w:val="32"/>
          <w:szCs w:val="36"/>
        </w:rPr>
      </w:pPr>
      <w:bookmarkStart w:id="422" w:name="_Toc10043"/>
      <w:bookmarkStart w:id="423" w:name="_Toc27984"/>
      <w:bookmarkStart w:id="424" w:name="_Toc51330882"/>
      <w:bookmarkStart w:id="425" w:name="_Toc23215"/>
      <w:bookmarkStart w:id="426" w:name="_Toc95382527"/>
      <w:bookmarkStart w:id="427" w:name="_Toc9617"/>
      <w:bookmarkStart w:id="428" w:name="_Toc55839486"/>
      <w:r>
        <w:rPr>
          <w:b/>
          <w:bCs/>
          <w:sz w:val="32"/>
          <w:szCs w:val="36"/>
        </w:rPr>
        <w:t>第一节 水生态环境状况</w:t>
      </w:r>
      <w:bookmarkEnd w:id="422"/>
      <w:bookmarkEnd w:id="423"/>
      <w:bookmarkEnd w:id="424"/>
      <w:bookmarkEnd w:id="425"/>
      <w:bookmarkEnd w:id="426"/>
      <w:bookmarkEnd w:id="427"/>
      <w:bookmarkEnd w:id="428"/>
    </w:p>
    <w:p>
      <w:pPr>
        <w:pStyle w:val="4"/>
        <w:spacing w:before="120" w:beforeLines="50" w:after="0" w:line="240" w:lineRule="auto"/>
        <w:rPr>
          <w:sz w:val="28"/>
        </w:rPr>
      </w:pPr>
      <w:bookmarkStart w:id="429" w:name="_Toc95382528"/>
      <w:r>
        <w:rPr>
          <w:rFonts w:hint="eastAsia"/>
          <w:sz w:val="28"/>
        </w:rPr>
        <w:t>一、水环境质量状况</w:t>
      </w:r>
      <w:bookmarkEnd w:id="429"/>
    </w:p>
    <w:p>
      <w:pPr>
        <w:spacing w:line="360" w:lineRule="auto"/>
        <w:ind w:firstLine="482" w:firstLineChars="200"/>
        <w:rPr>
          <w:b/>
          <w:bCs/>
          <w:sz w:val="24"/>
          <w:szCs w:val="24"/>
        </w:rPr>
      </w:pPr>
      <w:r>
        <w:rPr>
          <w:b/>
          <w:bCs/>
          <w:sz w:val="24"/>
          <w:szCs w:val="24"/>
        </w:rPr>
        <w:t>（</w:t>
      </w:r>
      <w:r>
        <w:rPr>
          <w:rFonts w:hint="eastAsia"/>
          <w:b/>
          <w:bCs/>
          <w:sz w:val="24"/>
          <w:szCs w:val="24"/>
        </w:rPr>
        <w:t>一</w:t>
      </w:r>
      <w:r>
        <w:rPr>
          <w:b/>
          <w:bCs/>
          <w:sz w:val="24"/>
          <w:szCs w:val="24"/>
        </w:rPr>
        <w:t>）地表水水质状况</w:t>
      </w:r>
    </w:p>
    <w:p>
      <w:pPr>
        <w:spacing w:line="360" w:lineRule="auto"/>
        <w:ind w:firstLine="480" w:firstLineChars="200"/>
        <w:rPr>
          <w:sz w:val="24"/>
          <w:szCs w:val="24"/>
        </w:rPr>
      </w:pPr>
      <w:r>
        <w:rPr>
          <w:sz w:val="24"/>
          <w:szCs w:val="24"/>
        </w:rPr>
        <w:t>从水质总体情况看，2020年，六安市12个国控断面中，II类断面8个，占66.7%；III类断面4个，占33.3%。均满足断面水质目标标准。</w:t>
      </w:r>
    </w:p>
    <w:p>
      <w:pPr>
        <w:spacing w:line="360" w:lineRule="auto"/>
        <w:ind w:firstLine="480" w:firstLineChars="200"/>
        <w:rPr>
          <w:sz w:val="24"/>
          <w:szCs w:val="24"/>
        </w:rPr>
      </w:pPr>
      <w:r>
        <w:rPr>
          <w:sz w:val="24"/>
          <w:szCs w:val="24"/>
        </w:rPr>
        <w:t>从逐月水质情况看，2020年，</w:t>
      </w:r>
      <w:r>
        <w:rPr>
          <w:rFonts w:hint="eastAsia"/>
          <w:sz w:val="24"/>
          <w:szCs w:val="24"/>
        </w:rPr>
        <w:t>北闸渡口</w:t>
      </w:r>
      <w:r>
        <w:rPr>
          <w:sz w:val="24"/>
          <w:szCs w:val="24"/>
        </w:rPr>
        <w:t>、</w:t>
      </w:r>
      <w:r>
        <w:rPr>
          <w:rFonts w:hint="eastAsia"/>
          <w:sz w:val="24"/>
          <w:szCs w:val="24"/>
        </w:rPr>
        <w:t>大店岗、丁埠大桥、工农兵大桥、</w:t>
      </w:r>
      <w:r>
        <w:rPr>
          <w:sz w:val="24"/>
          <w:szCs w:val="24"/>
        </w:rPr>
        <w:t>三河镇大桥</w:t>
      </w:r>
      <w:r>
        <w:rPr>
          <w:rFonts w:hint="eastAsia"/>
          <w:sz w:val="24"/>
          <w:szCs w:val="24"/>
        </w:rPr>
        <w:t>、新安渡口</w:t>
      </w:r>
      <w:r>
        <w:rPr>
          <w:sz w:val="24"/>
          <w:szCs w:val="24"/>
        </w:rPr>
        <w:t>虽达到目标水质标准，但存在部分月份超标现象。</w:t>
      </w:r>
      <w:r>
        <w:rPr>
          <w:rFonts w:hint="eastAsia"/>
          <w:sz w:val="24"/>
          <w:szCs w:val="24"/>
        </w:rPr>
        <w:t>北闸渡口</w:t>
      </w:r>
      <w:r>
        <w:rPr>
          <w:sz w:val="24"/>
          <w:szCs w:val="24"/>
        </w:rPr>
        <w:t>存在2个月份水质超标现象</w:t>
      </w:r>
      <w:r>
        <w:rPr>
          <w:rFonts w:hint="eastAsia"/>
          <w:sz w:val="24"/>
          <w:szCs w:val="24"/>
        </w:rPr>
        <w:t>，</w:t>
      </w:r>
      <w:r>
        <w:rPr>
          <w:sz w:val="24"/>
          <w:szCs w:val="24"/>
        </w:rPr>
        <w:t>主要超标因子为</w:t>
      </w:r>
      <w:r>
        <w:rPr>
          <w:rFonts w:hint="eastAsia"/>
          <w:sz w:val="24"/>
          <w:szCs w:val="24"/>
        </w:rPr>
        <w:t>溶解氧、高锰酸钾指数和化学需氧量；大店岗</w:t>
      </w:r>
      <w:r>
        <w:rPr>
          <w:sz w:val="24"/>
          <w:szCs w:val="24"/>
        </w:rPr>
        <w:t>存在3个月份水质超标现象</w:t>
      </w:r>
      <w:r>
        <w:rPr>
          <w:rFonts w:hint="eastAsia"/>
          <w:sz w:val="24"/>
          <w:szCs w:val="24"/>
        </w:rPr>
        <w:t>，</w:t>
      </w:r>
      <w:r>
        <w:rPr>
          <w:sz w:val="24"/>
          <w:szCs w:val="24"/>
        </w:rPr>
        <w:t>主要超标因子为</w:t>
      </w:r>
      <w:r>
        <w:rPr>
          <w:rFonts w:hint="eastAsia"/>
          <w:sz w:val="24"/>
          <w:szCs w:val="24"/>
        </w:rPr>
        <w:t>高锰酸钾指数、化学需氧量和氨氮；丁埠大桥</w:t>
      </w:r>
      <w:r>
        <w:rPr>
          <w:sz w:val="24"/>
          <w:szCs w:val="24"/>
        </w:rPr>
        <w:t>存在1个月份水质超标现象</w:t>
      </w:r>
      <w:r>
        <w:rPr>
          <w:rFonts w:hint="eastAsia"/>
          <w:sz w:val="24"/>
          <w:szCs w:val="24"/>
        </w:rPr>
        <w:t>，</w:t>
      </w:r>
      <w:r>
        <w:rPr>
          <w:sz w:val="24"/>
          <w:szCs w:val="24"/>
        </w:rPr>
        <w:t>主要超标因子为</w:t>
      </w:r>
      <w:r>
        <w:rPr>
          <w:rFonts w:hint="eastAsia"/>
          <w:sz w:val="24"/>
          <w:szCs w:val="24"/>
        </w:rPr>
        <w:t>P</w:t>
      </w:r>
      <w:r>
        <w:rPr>
          <w:sz w:val="24"/>
          <w:szCs w:val="24"/>
        </w:rPr>
        <w:t>H</w:t>
      </w:r>
      <w:r>
        <w:rPr>
          <w:rFonts w:hint="eastAsia"/>
          <w:sz w:val="24"/>
          <w:szCs w:val="24"/>
        </w:rPr>
        <w:t>值；工农兵大桥</w:t>
      </w:r>
      <w:r>
        <w:rPr>
          <w:sz w:val="24"/>
          <w:szCs w:val="24"/>
        </w:rPr>
        <w:t>存在4个月份水质超标现象</w:t>
      </w:r>
      <w:r>
        <w:rPr>
          <w:rFonts w:hint="eastAsia"/>
          <w:sz w:val="24"/>
          <w:szCs w:val="24"/>
        </w:rPr>
        <w:t>，</w:t>
      </w:r>
      <w:r>
        <w:rPr>
          <w:sz w:val="24"/>
          <w:szCs w:val="24"/>
        </w:rPr>
        <w:t>主要超标因子为</w:t>
      </w:r>
      <w:r>
        <w:rPr>
          <w:rFonts w:hint="eastAsia"/>
          <w:sz w:val="24"/>
          <w:szCs w:val="24"/>
        </w:rPr>
        <w:t>溶解氧、高锰酸钾指数和化学需氧量；三河镇大桥</w:t>
      </w:r>
      <w:r>
        <w:rPr>
          <w:sz w:val="24"/>
          <w:szCs w:val="24"/>
        </w:rPr>
        <w:t>存在5个月份水质超标现象</w:t>
      </w:r>
      <w:r>
        <w:rPr>
          <w:rFonts w:hint="eastAsia"/>
          <w:sz w:val="24"/>
          <w:szCs w:val="24"/>
        </w:rPr>
        <w:t>，</w:t>
      </w:r>
      <w:r>
        <w:rPr>
          <w:sz w:val="24"/>
          <w:szCs w:val="24"/>
        </w:rPr>
        <w:t>主要超标因子为</w:t>
      </w:r>
      <w:r>
        <w:rPr>
          <w:rFonts w:hint="eastAsia"/>
          <w:sz w:val="24"/>
          <w:szCs w:val="24"/>
        </w:rPr>
        <w:t>溶解氧和化学需氧量；新安渡口</w:t>
      </w:r>
      <w:r>
        <w:rPr>
          <w:sz w:val="24"/>
          <w:szCs w:val="24"/>
        </w:rPr>
        <w:t>存在4个月份的水质超标现象，主要超标因子为</w:t>
      </w:r>
      <w:r>
        <w:rPr>
          <w:rFonts w:hint="eastAsia"/>
          <w:sz w:val="24"/>
          <w:szCs w:val="24"/>
        </w:rPr>
        <w:t>氨氮</w:t>
      </w:r>
      <w:r>
        <w:rPr>
          <w:sz w:val="24"/>
          <w:szCs w:val="24"/>
        </w:rPr>
        <w:t>。6个省控断面中，2个断面水质为V类水质，占33.3%。</w:t>
      </w:r>
    </w:p>
    <w:p>
      <w:pPr>
        <w:spacing w:line="360" w:lineRule="auto"/>
        <w:ind w:firstLine="482" w:firstLineChars="200"/>
        <w:rPr>
          <w:b/>
          <w:bCs/>
          <w:sz w:val="24"/>
          <w:szCs w:val="24"/>
        </w:rPr>
      </w:pPr>
      <w:r>
        <w:rPr>
          <w:b/>
          <w:bCs/>
          <w:sz w:val="24"/>
          <w:szCs w:val="24"/>
        </w:rPr>
        <w:t>（</w:t>
      </w:r>
      <w:r>
        <w:rPr>
          <w:rFonts w:hint="eastAsia"/>
          <w:b/>
          <w:bCs/>
          <w:sz w:val="24"/>
          <w:szCs w:val="24"/>
        </w:rPr>
        <w:t>二</w:t>
      </w:r>
      <w:r>
        <w:rPr>
          <w:b/>
          <w:bCs/>
          <w:sz w:val="24"/>
          <w:szCs w:val="24"/>
        </w:rPr>
        <w:t>）饮用水水质状况</w:t>
      </w:r>
    </w:p>
    <w:p>
      <w:pPr>
        <w:spacing w:line="360" w:lineRule="auto"/>
        <w:ind w:firstLine="480" w:firstLineChars="200"/>
        <w:jc w:val="left"/>
        <w:rPr>
          <w:kern w:val="0"/>
          <w:sz w:val="24"/>
          <w:szCs w:val="24"/>
        </w:rPr>
      </w:pPr>
      <w:r>
        <w:rPr>
          <w:kern w:val="0"/>
          <w:sz w:val="24"/>
          <w:szCs w:val="24"/>
        </w:rPr>
        <w:t>六安市县级以上水源地总共13处，其中六安市区水源地5处，分别为六安市一水厂水源地、二水厂</w:t>
      </w:r>
      <w:r>
        <w:rPr>
          <w:sz w:val="24"/>
          <w:szCs w:val="24"/>
        </w:rPr>
        <w:t>解放南路桥水源地、东城水厂取水口水源地、新城水厂水源地、大公堰备用水源地。霍山县水源地2处，分别是</w:t>
      </w:r>
      <w:r>
        <w:rPr>
          <w:kern w:val="0"/>
          <w:sz w:val="24"/>
          <w:szCs w:val="24"/>
        </w:rPr>
        <w:t>佛子岭水库水源地、前进水库水源地。舒城县水源地2处，分别为杭埠河水源地、舒城县备用水源地。金寨县水源地2处，分别为梅山水库水源地、响洪甸水库备用水源地。霍邱县水源地2处，分别为城东湖水源地，淮河备用水源地。六安市城镇集中饮用水源地2020年全年100%达标。</w:t>
      </w:r>
    </w:p>
    <w:p>
      <w:pPr>
        <w:spacing w:line="360" w:lineRule="auto"/>
        <w:ind w:firstLine="480" w:firstLineChars="200"/>
        <w:jc w:val="left"/>
        <w:rPr>
          <w:color w:val="FF0000"/>
          <w:kern w:val="0"/>
          <w:sz w:val="24"/>
          <w:szCs w:val="24"/>
        </w:rPr>
      </w:pPr>
    </w:p>
    <w:p>
      <w:pPr>
        <w:spacing w:line="360" w:lineRule="auto"/>
        <w:ind w:firstLine="480" w:firstLineChars="200"/>
        <w:jc w:val="left"/>
        <w:rPr>
          <w:color w:val="FF0000"/>
          <w:kern w:val="0"/>
          <w:sz w:val="24"/>
          <w:szCs w:val="24"/>
        </w:rPr>
      </w:pPr>
    </w:p>
    <w:p>
      <w:pPr>
        <w:spacing w:line="360" w:lineRule="auto"/>
        <w:ind w:firstLine="480" w:firstLineChars="200"/>
        <w:jc w:val="left"/>
        <w:rPr>
          <w:color w:val="FF0000"/>
          <w:kern w:val="0"/>
          <w:sz w:val="24"/>
          <w:szCs w:val="24"/>
        </w:rPr>
      </w:pPr>
    </w:p>
    <w:p>
      <w:pPr>
        <w:spacing w:line="360" w:lineRule="auto"/>
        <w:ind w:firstLine="480" w:firstLineChars="200"/>
        <w:jc w:val="left"/>
        <w:rPr>
          <w:color w:val="FF0000"/>
          <w:kern w:val="0"/>
          <w:sz w:val="24"/>
          <w:szCs w:val="24"/>
        </w:rPr>
      </w:pPr>
    </w:p>
    <w:p>
      <w:pPr>
        <w:spacing w:line="360" w:lineRule="auto"/>
        <w:ind w:firstLine="480" w:firstLineChars="200"/>
        <w:jc w:val="left"/>
        <w:rPr>
          <w:color w:val="FF0000"/>
          <w:kern w:val="0"/>
          <w:sz w:val="24"/>
          <w:szCs w:val="24"/>
        </w:rPr>
      </w:pPr>
    </w:p>
    <w:p>
      <w:pPr>
        <w:spacing w:line="360" w:lineRule="auto"/>
        <w:ind w:firstLine="480" w:firstLineChars="200"/>
        <w:jc w:val="left"/>
        <w:rPr>
          <w:color w:val="FF0000"/>
          <w:kern w:val="0"/>
          <w:sz w:val="24"/>
          <w:szCs w:val="24"/>
        </w:rPr>
      </w:pPr>
    </w:p>
    <w:p>
      <w:pPr>
        <w:spacing w:line="360" w:lineRule="auto"/>
        <w:jc w:val="left"/>
        <w:rPr>
          <w:sz w:val="21"/>
          <w:szCs w:val="22"/>
        </w:rPr>
      </w:pPr>
      <w:r>
        <w:drawing>
          <wp:inline distT="0" distB="0" distL="0" distR="0">
            <wp:extent cx="5269230" cy="1979930"/>
            <wp:effectExtent l="0" t="0" r="7620" b="127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line="360" w:lineRule="auto"/>
        <w:rPr>
          <w:sz w:val="21"/>
          <w:szCs w:val="22"/>
        </w:rPr>
      </w:pPr>
      <w:r>
        <w:drawing>
          <wp:inline distT="0" distB="0" distL="0" distR="0">
            <wp:extent cx="5269230" cy="1979930"/>
            <wp:effectExtent l="0" t="0" r="7620" b="127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line="360" w:lineRule="auto"/>
        <w:rPr>
          <w:sz w:val="21"/>
          <w:szCs w:val="22"/>
        </w:rPr>
      </w:pPr>
      <w:r>
        <w:drawing>
          <wp:inline distT="0" distB="0" distL="0" distR="0">
            <wp:extent cx="5269230" cy="1979930"/>
            <wp:effectExtent l="0" t="0" r="7620" b="12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line="360" w:lineRule="auto"/>
        <w:rPr>
          <w:sz w:val="21"/>
          <w:szCs w:val="22"/>
        </w:rPr>
      </w:pPr>
      <w:r>
        <w:drawing>
          <wp:inline distT="0" distB="0" distL="0" distR="0">
            <wp:extent cx="5269230" cy="1979930"/>
            <wp:effectExtent l="0" t="0" r="7620" b="127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line="360" w:lineRule="auto"/>
        <w:ind w:firstLine="482" w:firstLineChars="200"/>
        <w:jc w:val="center"/>
        <w:rPr>
          <w:b/>
          <w:bCs/>
          <w:sz w:val="24"/>
          <w:szCs w:val="24"/>
        </w:rPr>
      </w:pPr>
      <w:r>
        <w:rPr>
          <w:b/>
          <w:bCs/>
          <w:sz w:val="24"/>
          <w:szCs w:val="24"/>
        </w:rPr>
        <w:t>图</w:t>
      </w:r>
      <w:r>
        <w:rPr>
          <w:rFonts w:hint="eastAsia"/>
          <w:b/>
          <w:bCs/>
          <w:sz w:val="24"/>
          <w:szCs w:val="24"/>
        </w:rPr>
        <w:t>7.1.1</w:t>
      </w:r>
      <w:r>
        <w:rPr>
          <w:b/>
          <w:bCs/>
          <w:sz w:val="24"/>
          <w:szCs w:val="24"/>
        </w:rPr>
        <w:t xml:space="preserve">  2020年主要国控断面污染超标因子</w:t>
      </w:r>
    </w:p>
    <w:p>
      <w:pPr>
        <w:pStyle w:val="4"/>
        <w:spacing w:before="120" w:beforeLines="50" w:after="120" w:afterLines="50"/>
        <w:rPr>
          <w:sz w:val="28"/>
        </w:rPr>
      </w:pPr>
      <w:bookmarkStart w:id="430" w:name="_Toc95382529"/>
      <w:r>
        <w:rPr>
          <w:rFonts w:hint="eastAsia"/>
          <w:sz w:val="28"/>
        </w:rPr>
        <w:t>二、污染物排放状况</w:t>
      </w:r>
      <w:bookmarkEnd w:id="430"/>
    </w:p>
    <w:p>
      <w:pPr>
        <w:spacing w:line="360" w:lineRule="auto"/>
        <w:ind w:firstLine="482" w:firstLineChars="200"/>
        <w:rPr>
          <w:b/>
          <w:bCs/>
          <w:sz w:val="24"/>
          <w:szCs w:val="24"/>
        </w:rPr>
      </w:pPr>
      <w:bookmarkStart w:id="431" w:name="_Toc495156112"/>
      <w:bookmarkStart w:id="432" w:name="_Toc470872776"/>
      <w:r>
        <w:rPr>
          <w:rFonts w:hint="eastAsia"/>
          <w:b/>
          <w:bCs/>
          <w:sz w:val="24"/>
          <w:szCs w:val="24"/>
        </w:rPr>
        <w:t>（一）</w:t>
      </w:r>
      <w:r>
        <w:rPr>
          <w:b/>
          <w:bCs/>
          <w:sz w:val="24"/>
          <w:szCs w:val="24"/>
        </w:rPr>
        <w:t>工业污染</w:t>
      </w:r>
    </w:p>
    <w:p>
      <w:pPr>
        <w:spacing w:line="360" w:lineRule="auto"/>
        <w:ind w:firstLine="482" w:firstLineChars="200"/>
        <w:rPr>
          <w:b/>
          <w:bCs/>
          <w:sz w:val="24"/>
          <w:szCs w:val="24"/>
        </w:rPr>
      </w:pPr>
      <w:r>
        <w:rPr>
          <w:b/>
          <w:bCs/>
          <w:sz w:val="24"/>
          <w:szCs w:val="24"/>
        </w:rPr>
        <w:t>（1）2016</w:t>
      </w:r>
      <w:r>
        <w:rPr>
          <w:rFonts w:hint="eastAsia" w:ascii="宋体" w:hAnsi="宋体"/>
          <w:b/>
          <w:bCs/>
          <w:sz w:val="24"/>
          <w:szCs w:val="24"/>
        </w:rPr>
        <w:t>～</w:t>
      </w:r>
      <w:r>
        <w:rPr>
          <w:b/>
          <w:bCs/>
          <w:sz w:val="24"/>
          <w:szCs w:val="24"/>
        </w:rPr>
        <w:t>2019年工业废水排放量对比分析</w:t>
      </w:r>
    </w:p>
    <w:p>
      <w:pPr>
        <w:spacing w:line="360" w:lineRule="auto"/>
        <w:ind w:firstLine="480" w:firstLineChars="200"/>
        <w:rPr>
          <w:sz w:val="24"/>
          <w:szCs w:val="24"/>
        </w:rPr>
      </w:pPr>
      <w:r>
        <w:rPr>
          <w:sz w:val="24"/>
          <w:szCs w:val="24"/>
        </w:rPr>
        <w:t>2016年排放总量为809.78万吨，2017年排放总量为686.15万吨，2018年排放总量为572.56万吨，2019年排放总量为620.89万吨。由图7.1.2可知，2016</w:t>
      </w:r>
      <w:r>
        <w:rPr>
          <w:rFonts w:hint="eastAsia" w:ascii="宋体" w:hAnsi="宋体"/>
          <w:sz w:val="24"/>
          <w:szCs w:val="24"/>
        </w:rPr>
        <w:t>～</w:t>
      </w:r>
      <w:r>
        <w:rPr>
          <w:sz w:val="24"/>
          <w:szCs w:val="24"/>
        </w:rPr>
        <w:t>2018年年排放总量逐渐降低，2019年年排放总量略有上升。</w:t>
      </w:r>
    </w:p>
    <w:p>
      <w:pPr>
        <w:spacing w:line="360" w:lineRule="auto"/>
        <w:jc w:val="center"/>
        <w:rPr>
          <w:sz w:val="24"/>
          <w:szCs w:val="24"/>
        </w:rPr>
      </w:pPr>
      <w:r>
        <w:drawing>
          <wp:inline distT="0" distB="0" distL="0" distR="0">
            <wp:extent cx="5039995" cy="2339975"/>
            <wp:effectExtent l="0" t="0" r="8255" b="317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line="360" w:lineRule="auto"/>
        <w:jc w:val="center"/>
        <w:rPr>
          <w:b/>
          <w:sz w:val="24"/>
          <w:szCs w:val="24"/>
        </w:rPr>
      </w:pPr>
      <w:r>
        <w:rPr>
          <w:b/>
          <w:sz w:val="24"/>
          <w:szCs w:val="24"/>
        </w:rPr>
        <w:t>图</w:t>
      </w:r>
      <w:r>
        <w:rPr>
          <w:rFonts w:hint="eastAsia"/>
          <w:b/>
          <w:sz w:val="24"/>
          <w:szCs w:val="24"/>
        </w:rPr>
        <w:t>7.1</w:t>
      </w:r>
      <w:r>
        <w:rPr>
          <w:b/>
          <w:sz w:val="24"/>
          <w:szCs w:val="24"/>
        </w:rPr>
        <w:t>.2  2016-2019年工业废水年排放总量对比图</w:t>
      </w:r>
    </w:p>
    <w:p>
      <w:pPr>
        <w:spacing w:line="360" w:lineRule="auto"/>
        <w:ind w:firstLine="482" w:firstLineChars="200"/>
        <w:rPr>
          <w:b/>
          <w:bCs/>
          <w:sz w:val="24"/>
          <w:szCs w:val="24"/>
        </w:rPr>
      </w:pPr>
      <w:r>
        <w:rPr>
          <w:b/>
          <w:bCs/>
          <w:sz w:val="24"/>
          <w:szCs w:val="24"/>
        </w:rPr>
        <w:t>（2）2016</w:t>
      </w:r>
      <w:r>
        <w:rPr>
          <w:rFonts w:hint="eastAsia" w:ascii="宋体" w:hAnsi="宋体"/>
          <w:b/>
          <w:bCs/>
          <w:sz w:val="24"/>
          <w:szCs w:val="24"/>
        </w:rPr>
        <w:t>～</w:t>
      </w:r>
      <w:r>
        <w:rPr>
          <w:b/>
          <w:bCs/>
          <w:sz w:val="24"/>
          <w:szCs w:val="24"/>
        </w:rPr>
        <w:t>2019年工业COD排放量对比分析</w:t>
      </w:r>
    </w:p>
    <w:p>
      <w:pPr>
        <w:spacing w:line="360" w:lineRule="auto"/>
        <w:ind w:firstLine="480" w:firstLineChars="200"/>
        <w:rPr>
          <w:sz w:val="24"/>
          <w:szCs w:val="24"/>
        </w:rPr>
      </w:pPr>
      <w:r>
        <w:rPr>
          <w:sz w:val="24"/>
          <w:szCs w:val="24"/>
        </w:rPr>
        <w:t>2016年排放总量为819.71吨，2017年排放总量为651.49吨，2018年排放总量为548.69吨，2019年排放总量为422.08吨。由图7.1.3可知，2016</w:t>
      </w:r>
      <w:r>
        <w:rPr>
          <w:rFonts w:hint="eastAsia" w:ascii="宋体" w:hAnsi="宋体"/>
          <w:sz w:val="24"/>
          <w:szCs w:val="24"/>
        </w:rPr>
        <w:t>～</w:t>
      </w:r>
      <w:r>
        <w:rPr>
          <w:sz w:val="24"/>
          <w:szCs w:val="24"/>
        </w:rPr>
        <w:t>2019年年排放总量逐渐降低。</w:t>
      </w:r>
    </w:p>
    <w:p>
      <w:pPr>
        <w:spacing w:line="360" w:lineRule="auto"/>
        <w:jc w:val="center"/>
        <w:rPr>
          <w:sz w:val="24"/>
          <w:szCs w:val="24"/>
        </w:rPr>
      </w:pPr>
      <w:r>
        <w:drawing>
          <wp:inline distT="0" distB="0" distL="0" distR="0">
            <wp:extent cx="5039995" cy="2339975"/>
            <wp:effectExtent l="0" t="0" r="8255" b="317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line="360" w:lineRule="auto"/>
        <w:jc w:val="center"/>
        <w:rPr>
          <w:b/>
          <w:sz w:val="24"/>
          <w:szCs w:val="24"/>
        </w:rPr>
      </w:pPr>
      <w:r>
        <w:rPr>
          <w:b/>
          <w:sz w:val="24"/>
          <w:szCs w:val="24"/>
        </w:rPr>
        <w:t>图</w:t>
      </w:r>
      <w:r>
        <w:rPr>
          <w:rFonts w:hint="eastAsia"/>
          <w:b/>
          <w:sz w:val="24"/>
          <w:szCs w:val="24"/>
        </w:rPr>
        <w:t>7.1</w:t>
      </w:r>
      <w:r>
        <w:rPr>
          <w:b/>
          <w:sz w:val="24"/>
          <w:szCs w:val="24"/>
        </w:rPr>
        <w:t>.3  2016-2019年工业COD年排放总量对比图</w:t>
      </w:r>
    </w:p>
    <w:p>
      <w:pPr>
        <w:spacing w:line="360" w:lineRule="auto"/>
        <w:jc w:val="center"/>
        <w:rPr>
          <w:b/>
          <w:sz w:val="24"/>
          <w:szCs w:val="24"/>
        </w:rPr>
      </w:pPr>
    </w:p>
    <w:p>
      <w:pPr>
        <w:spacing w:line="360" w:lineRule="auto"/>
        <w:ind w:firstLine="482" w:firstLineChars="200"/>
        <w:rPr>
          <w:b/>
          <w:bCs/>
          <w:sz w:val="24"/>
          <w:szCs w:val="24"/>
        </w:rPr>
      </w:pPr>
      <w:r>
        <w:rPr>
          <w:b/>
          <w:bCs/>
          <w:sz w:val="24"/>
          <w:szCs w:val="24"/>
        </w:rPr>
        <w:t>（3）2016</w:t>
      </w:r>
      <w:r>
        <w:rPr>
          <w:rFonts w:hint="eastAsia" w:ascii="宋体" w:hAnsi="宋体"/>
          <w:b/>
          <w:bCs/>
          <w:sz w:val="24"/>
          <w:szCs w:val="24"/>
        </w:rPr>
        <w:t>～</w:t>
      </w:r>
      <w:r>
        <w:rPr>
          <w:b/>
          <w:bCs/>
          <w:sz w:val="24"/>
          <w:szCs w:val="24"/>
        </w:rPr>
        <w:t>2019年工业氨氮排放量对比分析</w:t>
      </w:r>
    </w:p>
    <w:p>
      <w:pPr>
        <w:spacing w:line="360" w:lineRule="auto"/>
        <w:ind w:firstLine="480" w:firstLineChars="200"/>
        <w:rPr>
          <w:sz w:val="24"/>
          <w:szCs w:val="24"/>
        </w:rPr>
      </w:pPr>
      <w:r>
        <w:rPr>
          <w:sz w:val="24"/>
          <w:szCs w:val="24"/>
        </w:rPr>
        <w:t>2016年排放总量为92.79吨，2017年排放总量为72.31吨，2018年排放总量为55.02吨，2019年排放总量为50.3吨。由图7.1.4可知，2016</w:t>
      </w:r>
      <w:r>
        <w:rPr>
          <w:rFonts w:hint="eastAsia" w:ascii="宋体" w:hAnsi="宋体"/>
          <w:sz w:val="24"/>
          <w:szCs w:val="24"/>
        </w:rPr>
        <w:t>～</w:t>
      </w:r>
      <w:r>
        <w:rPr>
          <w:sz w:val="24"/>
          <w:szCs w:val="24"/>
        </w:rPr>
        <w:t>2019年年排放总量逐渐降低。</w:t>
      </w:r>
    </w:p>
    <w:p>
      <w:pPr>
        <w:spacing w:line="360" w:lineRule="auto"/>
        <w:jc w:val="center"/>
        <w:rPr>
          <w:sz w:val="24"/>
          <w:szCs w:val="24"/>
        </w:rPr>
      </w:pPr>
      <w:r>
        <w:drawing>
          <wp:inline distT="0" distB="0" distL="0" distR="0">
            <wp:extent cx="5039995" cy="2339975"/>
            <wp:effectExtent l="0" t="0" r="8255" b="317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line="360" w:lineRule="auto"/>
        <w:jc w:val="center"/>
        <w:rPr>
          <w:b/>
          <w:sz w:val="24"/>
          <w:szCs w:val="24"/>
        </w:rPr>
      </w:pPr>
      <w:r>
        <w:rPr>
          <w:b/>
          <w:sz w:val="24"/>
          <w:szCs w:val="24"/>
        </w:rPr>
        <w:t>图7.1.4  2016-2019年工业氨氮年排放总量对比图</w:t>
      </w:r>
    </w:p>
    <w:p>
      <w:pPr>
        <w:spacing w:line="360" w:lineRule="auto"/>
        <w:ind w:firstLine="482" w:firstLineChars="200"/>
        <w:rPr>
          <w:b/>
          <w:bCs/>
          <w:sz w:val="24"/>
          <w:szCs w:val="24"/>
        </w:rPr>
      </w:pPr>
      <w:r>
        <w:rPr>
          <w:rFonts w:hint="eastAsia"/>
          <w:b/>
          <w:bCs/>
          <w:sz w:val="24"/>
          <w:szCs w:val="24"/>
        </w:rPr>
        <w:t>（二）</w:t>
      </w:r>
      <w:r>
        <w:rPr>
          <w:b/>
          <w:bCs/>
          <w:sz w:val="24"/>
          <w:szCs w:val="24"/>
        </w:rPr>
        <w:t>城镇生活污染</w:t>
      </w:r>
    </w:p>
    <w:p>
      <w:pPr>
        <w:spacing w:line="360" w:lineRule="auto"/>
        <w:ind w:firstLine="482" w:firstLineChars="200"/>
        <w:rPr>
          <w:b/>
          <w:bCs/>
          <w:sz w:val="24"/>
          <w:szCs w:val="24"/>
        </w:rPr>
      </w:pPr>
      <w:r>
        <w:rPr>
          <w:b/>
          <w:bCs/>
          <w:sz w:val="24"/>
          <w:szCs w:val="24"/>
        </w:rPr>
        <w:t>（1）2016</w:t>
      </w:r>
      <w:r>
        <w:rPr>
          <w:rFonts w:hint="eastAsia" w:ascii="宋体" w:hAnsi="宋体"/>
          <w:b/>
          <w:bCs/>
          <w:sz w:val="24"/>
          <w:szCs w:val="24"/>
        </w:rPr>
        <w:t>～</w:t>
      </w:r>
      <w:r>
        <w:rPr>
          <w:b/>
          <w:bCs/>
          <w:sz w:val="24"/>
          <w:szCs w:val="24"/>
        </w:rPr>
        <w:t>2019年城镇生活废水排放量对比分析</w:t>
      </w:r>
    </w:p>
    <w:p>
      <w:pPr>
        <w:spacing w:line="360" w:lineRule="auto"/>
        <w:ind w:firstLine="480" w:firstLineChars="200"/>
        <w:rPr>
          <w:sz w:val="24"/>
          <w:szCs w:val="24"/>
        </w:rPr>
      </w:pPr>
      <w:r>
        <w:rPr>
          <w:sz w:val="24"/>
          <w:szCs w:val="24"/>
        </w:rPr>
        <w:t>2016年排放总量为8968.29万吨，2017年排放总量为9074.19万吨，2018年排放总量为10250.13万吨，2019年排放总量为11356.11万吨。由图7.1.5可知，2016年年排放总量大幅降低，2017</w:t>
      </w:r>
      <w:r>
        <w:rPr>
          <w:rFonts w:hint="eastAsia" w:ascii="宋体" w:hAnsi="宋体"/>
          <w:sz w:val="24"/>
          <w:szCs w:val="24"/>
        </w:rPr>
        <w:t>～</w:t>
      </w:r>
      <w:r>
        <w:rPr>
          <w:sz w:val="24"/>
          <w:szCs w:val="24"/>
        </w:rPr>
        <w:t>2019年年排放总量逐渐增大。</w:t>
      </w:r>
    </w:p>
    <w:p>
      <w:pPr>
        <w:spacing w:line="360" w:lineRule="auto"/>
        <w:jc w:val="center"/>
        <w:rPr>
          <w:sz w:val="24"/>
          <w:szCs w:val="24"/>
        </w:rPr>
      </w:pPr>
      <w:r>
        <w:drawing>
          <wp:inline distT="0" distB="0" distL="0" distR="0">
            <wp:extent cx="5039995" cy="2339975"/>
            <wp:effectExtent l="0" t="0" r="8255" b="317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line="360" w:lineRule="auto"/>
        <w:ind w:firstLine="482" w:firstLineChars="200"/>
        <w:jc w:val="center"/>
        <w:rPr>
          <w:b/>
          <w:bCs/>
          <w:sz w:val="24"/>
          <w:szCs w:val="24"/>
        </w:rPr>
      </w:pPr>
      <w:r>
        <w:rPr>
          <w:b/>
          <w:sz w:val="24"/>
          <w:szCs w:val="24"/>
        </w:rPr>
        <w:t>图</w:t>
      </w:r>
      <w:r>
        <w:rPr>
          <w:rFonts w:hint="eastAsia"/>
          <w:b/>
          <w:sz w:val="24"/>
          <w:szCs w:val="24"/>
        </w:rPr>
        <w:t>7.1</w:t>
      </w:r>
      <w:r>
        <w:rPr>
          <w:b/>
          <w:sz w:val="24"/>
          <w:szCs w:val="24"/>
        </w:rPr>
        <w:t xml:space="preserve">.5  </w:t>
      </w:r>
      <w:r>
        <w:rPr>
          <w:b/>
          <w:bCs/>
          <w:sz w:val="24"/>
          <w:szCs w:val="24"/>
        </w:rPr>
        <w:t>2016-2019年城镇生活废水排放总量对比图</w:t>
      </w:r>
    </w:p>
    <w:p>
      <w:pPr>
        <w:spacing w:line="360" w:lineRule="auto"/>
        <w:ind w:firstLine="482" w:firstLineChars="200"/>
        <w:rPr>
          <w:b/>
          <w:bCs/>
          <w:sz w:val="24"/>
          <w:szCs w:val="24"/>
        </w:rPr>
      </w:pPr>
      <w:r>
        <w:rPr>
          <w:b/>
          <w:bCs/>
          <w:sz w:val="24"/>
          <w:szCs w:val="24"/>
        </w:rPr>
        <w:t>（2）2016</w:t>
      </w:r>
      <w:r>
        <w:rPr>
          <w:rFonts w:hint="eastAsia" w:ascii="宋体" w:hAnsi="宋体"/>
          <w:b/>
          <w:bCs/>
          <w:sz w:val="24"/>
          <w:szCs w:val="24"/>
        </w:rPr>
        <w:t>～</w:t>
      </w:r>
      <w:r>
        <w:rPr>
          <w:b/>
          <w:bCs/>
          <w:sz w:val="24"/>
          <w:szCs w:val="24"/>
        </w:rPr>
        <w:t>2019年城镇生活COD排放量对比分析</w:t>
      </w:r>
    </w:p>
    <w:p>
      <w:pPr>
        <w:spacing w:line="360" w:lineRule="auto"/>
        <w:ind w:firstLine="480" w:firstLineChars="200"/>
        <w:rPr>
          <w:sz w:val="24"/>
          <w:szCs w:val="24"/>
        </w:rPr>
      </w:pPr>
      <w:r>
        <w:rPr>
          <w:sz w:val="24"/>
          <w:szCs w:val="24"/>
        </w:rPr>
        <w:t>2016年排放总量为8968.29吨，2017年排放总量为9074.19吨，2018年排放总量为10250.13吨，2019年排放总量为11356.11吨。由图7.1.6可知，2016</w:t>
      </w:r>
      <w:r>
        <w:rPr>
          <w:rFonts w:hint="eastAsia" w:ascii="宋体" w:hAnsi="宋体"/>
          <w:sz w:val="24"/>
          <w:szCs w:val="24"/>
        </w:rPr>
        <w:t>～</w:t>
      </w:r>
      <w:r>
        <w:rPr>
          <w:sz w:val="24"/>
          <w:szCs w:val="24"/>
        </w:rPr>
        <w:t>2019年年排放总量逐渐增大。</w:t>
      </w:r>
    </w:p>
    <w:p>
      <w:pPr>
        <w:spacing w:line="360" w:lineRule="auto"/>
        <w:jc w:val="center"/>
        <w:rPr>
          <w:sz w:val="24"/>
          <w:szCs w:val="24"/>
        </w:rPr>
      </w:pPr>
      <w:r>
        <w:drawing>
          <wp:inline distT="0" distB="0" distL="0" distR="0">
            <wp:extent cx="5039995" cy="2339975"/>
            <wp:effectExtent l="0" t="0" r="8255" b="317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line="360" w:lineRule="auto"/>
        <w:jc w:val="center"/>
        <w:rPr>
          <w:sz w:val="24"/>
          <w:szCs w:val="24"/>
        </w:rPr>
      </w:pPr>
      <w:r>
        <w:rPr>
          <w:b/>
          <w:bCs/>
          <w:sz w:val="24"/>
          <w:szCs w:val="24"/>
        </w:rPr>
        <w:t>图</w:t>
      </w:r>
      <w:r>
        <w:rPr>
          <w:rFonts w:hint="eastAsia"/>
          <w:b/>
          <w:bCs/>
          <w:sz w:val="24"/>
          <w:szCs w:val="24"/>
        </w:rPr>
        <w:t>7.1</w:t>
      </w:r>
      <w:r>
        <w:rPr>
          <w:b/>
          <w:bCs/>
          <w:sz w:val="24"/>
          <w:szCs w:val="24"/>
        </w:rPr>
        <w:t>.6  2016-2019年城镇生活COD排放总量对比图</w:t>
      </w:r>
    </w:p>
    <w:p>
      <w:pPr>
        <w:spacing w:line="360" w:lineRule="auto"/>
        <w:ind w:firstLine="482" w:firstLineChars="200"/>
        <w:rPr>
          <w:b/>
          <w:bCs/>
          <w:sz w:val="24"/>
          <w:szCs w:val="24"/>
        </w:rPr>
      </w:pPr>
      <w:r>
        <w:rPr>
          <w:b/>
          <w:bCs/>
          <w:sz w:val="24"/>
          <w:szCs w:val="24"/>
        </w:rPr>
        <w:t>（3）2016</w:t>
      </w:r>
      <w:r>
        <w:rPr>
          <w:rFonts w:hint="eastAsia" w:ascii="宋体" w:hAnsi="宋体"/>
          <w:b/>
          <w:bCs/>
          <w:sz w:val="24"/>
          <w:szCs w:val="24"/>
        </w:rPr>
        <w:t>～</w:t>
      </w:r>
      <w:r>
        <w:rPr>
          <w:b/>
          <w:bCs/>
          <w:sz w:val="24"/>
          <w:szCs w:val="24"/>
        </w:rPr>
        <w:t>2019年城镇生活氨氮排放量对比分析</w:t>
      </w:r>
    </w:p>
    <w:p>
      <w:pPr>
        <w:spacing w:line="360" w:lineRule="auto"/>
        <w:ind w:firstLine="480" w:firstLineChars="200"/>
        <w:rPr>
          <w:sz w:val="24"/>
          <w:szCs w:val="24"/>
        </w:rPr>
      </w:pPr>
      <w:r>
        <w:rPr>
          <w:sz w:val="24"/>
          <w:szCs w:val="24"/>
        </w:rPr>
        <w:t>2016年排放总量为3943.32吨，2017年排放总量为4003.25吨，2018年排放总量为4003.72吨，2019年排放总量为3993.94吨。由图7.1.7可知，2016</w:t>
      </w:r>
      <w:r>
        <w:rPr>
          <w:rFonts w:hint="eastAsia" w:ascii="宋体" w:hAnsi="宋体"/>
          <w:sz w:val="24"/>
          <w:szCs w:val="24"/>
        </w:rPr>
        <w:t>～</w:t>
      </w:r>
      <w:r>
        <w:rPr>
          <w:sz w:val="24"/>
          <w:szCs w:val="24"/>
        </w:rPr>
        <w:t>2019年年排放总量逐渐增大。</w:t>
      </w:r>
    </w:p>
    <w:p>
      <w:pPr>
        <w:spacing w:line="360" w:lineRule="auto"/>
        <w:jc w:val="center"/>
        <w:rPr>
          <w:sz w:val="24"/>
          <w:szCs w:val="24"/>
        </w:rPr>
      </w:pPr>
      <w:r>
        <w:drawing>
          <wp:inline distT="0" distB="0" distL="0" distR="0">
            <wp:extent cx="5039995" cy="2339975"/>
            <wp:effectExtent l="0" t="0" r="8255" b="317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pacing w:line="360" w:lineRule="auto"/>
        <w:jc w:val="center"/>
        <w:rPr>
          <w:b/>
          <w:sz w:val="24"/>
          <w:szCs w:val="24"/>
        </w:rPr>
      </w:pPr>
      <w:r>
        <w:rPr>
          <w:b/>
          <w:sz w:val="24"/>
          <w:szCs w:val="24"/>
        </w:rPr>
        <w:t>图</w:t>
      </w:r>
      <w:r>
        <w:rPr>
          <w:rFonts w:hint="eastAsia"/>
          <w:b/>
          <w:sz w:val="24"/>
          <w:szCs w:val="24"/>
        </w:rPr>
        <w:t>7.1</w:t>
      </w:r>
      <w:r>
        <w:rPr>
          <w:b/>
          <w:sz w:val="24"/>
          <w:szCs w:val="24"/>
        </w:rPr>
        <w:t>.7  2016-2019年</w:t>
      </w:r>
      <w:r>
        <w:rPr>
          <w:rFonts w:hint="eastAsia"/>
          <w:b/>
          <w:sz w:val="24"/>
          <w:szCs w:val="24"/>
        </w:rPr>
        <w:t>城镇生活</w:t>
      </w:r>
      <w:r>
        <w:rPr>
          <w:b/>
          <w:sz w:val="24"/>
          <w:szCs w:val="24"/>
        </w:rPr>
        <w:t>氨氮排放总量对比图</w:t>
      </w:r>
    </w:p>
    <w:p>
      <w:pPr>
        <w:spacing w:line="360" w:lineRule="auto"/>
        <w:jc w:val="center"/>
        <w:rPr>
          <w:b/>
          <w:sz w:val="24"/>
          <w:szCs w:val="24"/>
        </w:rPr>
      </w:pPr>
    </w:p>
    <w:p>
      <w:pPr>
        <w:spacing w:line="360" w:lineRule="auto"/>
        <w:jc w:val="center"/>
        <w:rPr>
          <w:sz w:val="24"/>
          <w:szCs w:val="24"/>
        </w:rPr>
      </w:pPr>
    </w:p>
    <w:bookmarkEnd w:id="431"/>
    <w:bookmarkEnd w:id="432"/>
    <w:p>
      <w:pPr>
        <w:keepNext/>
        <w:keepLines/>
        <w:adjustRightInd w:val="0"/>
        <w:snapToGrid w:val="0"/>
        <w:spacing w:before="240" w:beforeLines="100" w:after="240" w:afterLines="100" w:line="360" w:lineRule="auto"/>
        <w:jc w:val="center"/>
        <w:outlineLvl w:val="1"/>
        <w:rPr>
          <w:b/>
          <w:bCs/>
          <w:sz w:val="32"/>
          <w:szCs w:val="36"/>
        </w:rPr>
      </w:pPr>
      <w:bookmarkStart w:id="433" w:name="_Toc16301"/>
      <w:bookmarkStart w:id="434" w:name="_Toc25638"/>
      <w:bookmarkStart w:id="435" w:name="_Toc55839490"/>
      <w:bookmarkStart w:id="436" w:name="_Toc30033"/>
      <w:bookmarkStart w:id="437" w:name="_Toc95382530"/>
      <w:bookmarkStart w:id="438" w:name="_Toc24046"/>
      <w:bookmarkStart w:id="439" w:name="_Toc51330886"/>
      <w:r>
        <w:rPr>
          <w:b/>
          <w:bCs/>
          <w:sz w:val="32"/>
          <w:szCs w:val="36"/>
        </w:rPr>
        <w:t xml:space="preserve">第二节 </w:t>
      </w:r>
      <w:r>
        <w:rPr>
          <w:rFonts w:hint="eastAsia"/>
          <w:b/>
          <w:bCs/>
          <w:sz w:val="32"/>
          <w:szCs w:val="36"/>
        </w:rPr>
        <w:t>水资源保护工作</w:t>
      </w:r>
      <w:r>
        <w:rPr>
          <w:b/>
          <w:bCs/>
          <w:sz w:val="32"/>
          <w:szCs w:val="36"/>
        </w:rPr>
        <w:t>成效、经验与问题</w:t>
      </w:r>
      <w:bookmarkEnd w:id="433"/>
      <w:bookmarkEnd w:id="434"/>
      <w:bookmarkEnd w:id="435"/>
      <w:bookmarkEnd w:id="436"/>
      <w:bookmarkEnd w:id="437"/>
      <w:bookmarkEnd w:id="438"/>
      <w:bookmarkEnd w:id="439"/>
    </w:p>
    <w:p>
      <w:pPr>
        <w:pStyle w:val="4"/>
        <w:spacing w:before="120" w:beforeLines="50" w:after="120" w:afterLines="50"/>
        <w:rPr>
          <w:sz w:val="28"/>
        </w:rPr>
      </w:pPr>
      <w:bookmarkStart w:id="440" w:name="_Toc51330887"/>
      <w:bookmarkStart w:id="441" w:name="_Toc95382531"/>
      <w:bookmarkStart w:id="442" w:name="_Toc50818096"/>
      <w:bookmarkStart w:id="443" w:name="_Toc55839491"/>
      <w:r>
        <w:rPr>
          <w:rFonts w:hint="eastAsia"/>
          <w:sz w:val="28"/>
        </w:rPr>
        <w:t>一、工作成效</w:t>
      </w:r>
      <w:bookmarkEnd w:id="440"/>
      <w:bookmarkEnd w:id="441"/>
      <w:bookmarkEnd w:id="442"/>
      <w:bookmarkEnd w:id="443"/>
    </w:p>
    <w:p>
      <w:pPr>
        <w:spacing w:line="360" w:lineRule="auto"/>
        <w:ind w:firstLine="480" w:firstLineChars="200"/>
        <w:rPr>
          <w:sz w:val="24"/>
          <w:szCs w:val="24"/>
        </w:rPr>
      </w:pPr>
      <w:r>
        <w:rPr>
          <w:sz w:val="24"/>
          <w:szCs w:val="24"/>
        </w:rPr>
        <w:t>十三五期间，六安市以贯彻落实“水十条”为抓手，持续实施地表水断面生态补偿，水污染防治工作取得了明显成效。</w:t>
      </w:r>
    </w:p>
    <w:p>
      <w:pPr>
        <w:spacing w:line="360" w:lineRule="auto"/>
        <w:ind w:firstLine="480" w:firstLineChars="200"/>
        <w:rPr>
          <w:sz w:val="24"/>
          <w:szCs w:val="24"/>
        </w:rPr>
      </w:pPr>
      <w:r>
        <w:rPr>
          <w:sz w:val="24"/>
          <w:szCs w:val="24"/>
        </w:rPr>
        <w:t>六安市六大水库水质保持良好，市县两级集中式饮用水水源地水质达标率100%，全市11个地表水国控考核断面水质优良比例100%，达标率100%。</w:t>
      </w:r>
    </w:p>
    <w:p>
      <w:pPr>
        <w:spacing w:line="360" w:lineRule="auto"/>
        <w:ind w:firstLine="480" w:firstLineChars="200"/>
        <w:rPr>
          <w:sz w:val="24"/>
          <w:szCs w:val="24"/>
        </w:rPr>
      </w:pPr>
      <w:r>
        <w:rPr>
          <w:rFonts w:hint="eastAsia"/>
          <w:sz w:val="24"/>
          <w:szCs w:val="24"/>
        </w:rPr>
        <w:t>截止2</w:t>
      </w:r>
      <w:r>
        <w:rPr>
          <w:sz w:val="24"/>
          <w:szCs w:val="24"/>
        </w:rPr>
        <w:t>020</w:t>
      </w:r>
      <w:r>
        <w:rPr>
          <w:rFonts w:hint="eastAsia"/>
          <w:sz w:val="24"/>
          <w:szCs w:val="24"/>
        </w:rPr>
        <w:t>年1</w:t>
      </w:r>
      <w:r>
        <w:rPr>
          <w:sz w:val="24"/>
          <w:szCs w:val="24"/>
        </w:rPr>
        <w:t>2</w:t>
      </w:r>
      <w:r>
        <w:rPr>
          <w:rFonts w:hint="eastAsia"/>
          <w:sz w:val="24"/>
          <w:szCs w:val="24"/>
        </w:rPr>
        <w:t>月，六安市建成区1</w:t>
      </w:r>
      <w:r>
        <w:rPr>
          <w:sz w:val="24"/>
          <w:szCs w:val="24"/>
        </w:rPr>
        <w:t>3</w:t>
      </w:r>
      <w:r>
        <w:rPr>
          <w:rFonts w:hint="eastAsia"/>
          <w:sz w:val="24"/>
          <w:szCs w:val="24"/>
        </w:rPr>
        <w:t>条黑臭水体已全部整治达到“初见成效”标准，实现黑臭水体消除比例达到1</w:t>
      </w:r>
      <w:r>
        <w:rPr>
          <w:sz w:val="24"/>
          <w:szCs w:val="24"/>
        </w:rPr>
        <w:t>00</w:t>
      </w:r>
      <w:r>
        <w:rPr>
          <w:rFonts w:hint="eastAsia"/>
          <w:sz w:val="24"/>
          <w:szCs w:val="24"/>
        </w:rPr>
        <w:t>%目标</w:t>
      </w:r>
      <w:r>
        <w:rPr>
          <w:sz w:val="24"/>
          <w:szCs w:val="24"/>
        </w:rPr>
        <w:t>。</w:t>
      </w:r>
    </w:p>
    <w:p>
      <w:pPr>
        <w:pStyle w:val="4"/>
        <w:spacing w:before="120" w:beforeLines="50" w:after="120" w:afterLines="50"/>
        <w:rPr>
          <w:sz w:val="28"/>
        </w:rPr>
      </w:pPr>
      <w:bookmarkStart w:id="444" w:name="_Toc51330888"/>
      <w:bookmarkStart w:id="445" w:name="_Toc50818097"/>
      <w:bookmarkStart w:id="446" w:name="_Toc55839492"/>
      <w:bookmarkStart w:id="447" w:name="_Toc95382532"/>
      <w:r>
        <w:rPr>
          <w:rFonts w:hint="eastAsia"/>
          <w:sz w:val="28"/>
        </w:rPr>
        <w:t>二、经验总结</w:t>
      </w:r>
      <w:bookmarkEnd w:id="444"/>
      <w:bookmarkEnd w:id="445"/>
      <w:bookmarkEnd w:id="446"/>
      <w:bookmarkEnd w:id="447"/>
    </w:p>
    <w:p>
      <w:pPr>
        <w:spacing w:line="360" w:lineRule="auto"/>
        <w:ind w:firstLine="480" w:firstLineChars="200"/>
        <w:rPr>
          <w:sz w:val="24"/>
          <w:szCs w:val="24"/>
        </w:rPr>
      </w:pPr>
      <w:r>
        <w:rPr>
          <w:sz w:val="24"/>
          <w:szCs w:val="24"/>
        </w:rPr>
        <w:t>一是高度重视，科学施治。六安市委、市政府成立了六安市水污染防治工作领导小组，市委书记任组长，并设立7个专项工作组，更加细化工作职责。同时，修订了《六安市水污染防治工作方案》</w:t>
      </w:r>
      <w:r>
        <w:rPr>
          <w:rFonts w:hint="eastAsia"/>
          <w:sz w:val="24"/>
          <w:szCs w:val="24"/>
        </w:rPr>
        <w:t>等水环境文件</w:t>
      </w:r>
      <w:r>
        <w:rPr>
          <w:sz w:val="24"/>
          <w:szCs w:val="24"/>
        </w:rPr>
        <w:t>，更加科学和精准指导全市开展水污染防治工作。</w:t>
      </w:r>
    </w:p>
    <w:p>
      <w:pPr>
        <w:spacing w:line="360" w:lineRule="auto"/>
        <w:ind w:firstLine="480" w:firstLineChars="200"/>
        <w:rPr>
          <w:sz w:val="24"/>
          <w:szCs w:val="24"/>
        </w:rPr>
      </w:pPr>
      <w:r>
        <w:rPr>
          <w:sz w:val="24"/>
          <w:szCs w:val="24"/>
        </w:rPr>
        <w:t>二是持续推进，强化建设。2016年以来，新改扩建生活污水处理厂17座，同时积极对接长江经济带发展规划，全面提升污水处理标准，各县（市、区）新建污水处理厂全部执行污水排放A类标准，大幅提升了全市污水处理水平。</w:t>
      </w:r>
    </w:p>
    <w:p>
      <w:pPr>
        <w:spacing w:line="360" w:lineRule="auto"/>
        <w:ind w:firstLine="480" w:firstLineChars="200"/>
        <w:rPr>
          <w:sz w:val="24"/>
          <w:szCs w:val="24"/>
        </w:rPr>
      </w:pPr>
      <w:r>
        <w:rPr>
          <w:sz w:val="24"/>
          <w:szCs w:val="24"/>
        </w:rPr>
        <w:t>三是依托工程，精细治理。六安市依据各条河流水体达标方案，全面实施水环境综合治理工程。2016年以来，实施了</w:t>
      </w:r>
      <w:r>
        <w:rPr>
          <w:rFonts w:hint="eastAsia"/>
          <w:sz w:val="24"/>
          <w:szCs w:val="24"/>
        </w:rPr>
        <w:t>六安市城区黑臭水体整治工程P</w:t>
      </w:r>
      <w:r>
        <w:rPr>
          <w:sz w:val="24"/>
          <w:szCs w:val="24"/>
        </w:rPr>
        <w:t>PP</w:t>
      </w:r>
      <w:r>
        <w:rPr>
          <w:rFonts w:hint="eastAsia"/>
          <w:sz w:val="24"/>
          <w:szCs w:val="24"/>
        </w:rPr>
        <w:t>项目六安市城区水环境（厂-网-河）一体化综合治理一期P</w:t>
      </w:r>
      <w:r>
        <w:rPr>
          <w:sz w:val="24"/>
          <w:szCs w:val="24"/>
        </w:rPr>
        <w:t>PP</w:t>
      </w:r>
      <w:r>
        <w:rPr>
          <w:rFonts w:hint="eastAsia"/>
          <w:sz w:val="24"/>
          <w:szCs w:val="24"/>
        </w:rPr>
        <w:t>项目等工程。</w:t>
      </w:r>
    </w:p>
    <w:p>
      <w:pPr>
        <w:spacing w:line="360" w:lineRule="auto"/>
        <w:ind w:firstLine="480" w:firstLineChars="200"/>
        <w:rPr>
          <w:sz w:val="24"/>
          <w:szCs w:val="24"/>
        </w:rPr>
      </w:pPr>
      <w:r>
        <w:rPr>
          <w:sz w:val="24"/>
          <w:szCs w:val="24"/>
        </w:rPr>
        <w:t>四是智能管理，强化监控。六安市充分利用现有数据，构建全市水环境管理平台，实现生态环境数据平台化、智能化管理。同时投资完成了3座水质自动站建设工作，实现了对重点河流、重要节点的实时监控，能够全面掌握水质变化情况，为科学治水提供数据支撑。</w:t>
      </w:r>
    </w:p>
    <w:p>
      <w:pPr>
        <w:spacing w:line="360" w:lineRule="auto"/>
        <w:ind w:firstLine="480" w:firstLineChars="200"/>
        <w:rPr>
          <w:sz w:val="24"/>
          <w:szCs w:val="24"/>
        </w:rPr>
      </w:pPr>
      <w:r>
        <w:rPr>
          <w:sz w:val="24"/>
          <w:szCs w:val="24"/>
        </w:rPr>
        <w:t>五是规范制度、严格奖惩。六安市严格执行《六安市大别山区水环境生态补偿实施方案》，大别山区水环境生态补偿资金由省财政、合肥市和六安市三方出资组成，试点实施以来，补偿资金累计达12.36亿元，其中六安市获得11.94亿元。同时，获得省财政、生态环境等部门通过生态功能区转移支付、省级生态补偿、水污染防治等生态环保专项资金。五年共获得环保专项资金11亿元，均用于对大别山区生态良好地区的补偿。全面落实《六安市水功能区水质达标红、黄牌管理办法》，对水质恶化或超标的地区组织多次约谈，并依据约谈结果下达督办通知，有力推动了各项水污染防治工作。</w:t>
      </w:r>
    </w:p>
    <w:p>
      <w:pPr>
        <w:pStyle w:val="4"/>
        <w:spacing w:before="120" w:beforeLines="50" w:after="120" w:afterLines="50"/>
        <w:rPr>
          <w:sz w:val="28"/>
        </w:rPr>
      </w:pPr>
      <w:bookmarkStart w:id="448" w:name="_Toc50818098"/>
      <w:bookmarkStart w:id="449" w:name="_Toc51330889"/>
      <w:bookmarkStart w:id="450" w:name="_Toc95382533"/>
      <w:bookmarkStart w:id="451" w:name="_Toc55839493"/>
      <w:r>
        <w:rPr>
          <w:rFonts w:hint="eastAsia"/>
          <w:sz w:val="28"/>
        </w:rPr>
        <w:t>三、现状主要问题</w:t>
      </w:r>
      <w:bookmarkEnd w:id="448"/>
      <w:bookmarkEnd w:id="449"/>
      <w:bookmarkEnd w:id="450"/>
      <w:bookmarkEnd w:id="451"/>
    </w:p>
    <w:p>
      <w:pPr>
        <w:numPr>
          <w:ilvl w:val="255"/>
          <w:numId w:val="0"/>
        </w:numPr>
        <w:autoSpaceDE w:val="0"/>
        <w:autoSpaceDN w:val="0"/>
        <w:adjustRightInd w:val="0"/>
        <w:snapToGrid w:val="0"/>
        <w:spacing w:line="360" w:lineRule="auto"/>
        <w:ind w:firstLine="480" w:firstLineChars="200"/>
        <w:rPr>
          <w:kern w:val="1"/>
          <w:sz w:val="24"/>
          <w:szCs w:val="24"/>
        </w:rPr>
      </w:pPr>
      <w:r>
        <w:rPr>
          <w:rFonts w:hint="eastAsia"/>
          <w:kern w:val="1"/>
          <w:sz w:val="24"/>
          <w:szCs w:val="24"/>
        </w:rPr>
        <w:t>（一）水环境问题</w:t>
      </w:r>
    </w:p>
    <w:p>
      <w:pPr>
        <w:spacing w:line="360" w:lineRule="auto"/>
        <w:ind w:firstLine="480" w:firstLineChars="200"/>
        <w:rPr>
          <w:sz w:val="24"/>
          <w:szCs w:val="24"/>
        </w:rPr>
      </w:pPr>
      <w:r>
        <w:rPr>
          <w:rFonts w:hint="eastAsia"/>
          <w:sz w:val="24"/>
          <w:szCs w:val="24"/>
        </w:rPr>
        <w:t>从水环境的调查分析结果看，目前六安市水环境主要存在以下问题：</w:t>
      </w:r>
    </w:p>
    <w:p>
      <w:pPr>
        <w:spacing w:line="360" w:lineRule="auto"/>
        <w:ind w:firstLine="482" w:firstLineChars="200"/>
        <w:rPr>
          <w:sz w:val="24"/>
          <w:szCs w:val="24"/>
        </w:rPr>
      </w:pPr>
      <w:r>
        <w:rPr>
          <w:b/>
          <w:bCs/>
          <w:sz w:val="24"/>
          <w:szCs w:val="24"/>
        </w:rPr>
        <w:t>1、重点河流水质不能稳定达标。</w:t>
      </w:r>
      <w:r>
        <w:rPr>
          <w:sz w:val="24"/>
          <w:szCs w:val="24"/>
        </w:rPr>
        <w:t>工农兵大桥、东湖闸、新安渡口等断面水质存在部分月份超标现象。</w:t>
      </w:r>
    </w:p>
    <w:p>
      <w:pPr>
        <w:spacing w:line="360" w:lineRule="auto"/>
        <w:ind w:firstLine="482" w:firstLineChars="200"/>
        <w:rPr>
          <w:sz w:val="24"/>
          <w:szCs w:val="24"/>
        </w:rPr>
      </w:pPr>
      <w:r>
        <w:rPr>
          <w:b/>
          <w:bCs/>
          <w:sz w:val="24"/>
          <w:szCs w:val="24"/>
        </w:rPr>
        <w:t>2、存在劣V类水体。</w:t>
      </w:r>
      <w:r>
        <w:rPr>
          <w:sz w:val="24"/>
          <w:szCs w:val="24"/>
        </w:rPr>
        <w:t>六安市各县区仍存在劣V类水体，如叶集区西小河等。</w:t>
      </w:r>
    </w:p>
    <w:p>
      <w:pPr>
        <w:spacing w:line="360" w:lineRule="auto"/>
        <w:ind w:firstLine="480" w:firstLineChars="200"/>
        <w:rPr>
          <w:sz w:val="24"/>
          <w:szCs w:val="24"/>
        </w:rPr>
      </w:pPr>
      <w:r>
        <w:rPr>
          <w:sz w:val="24"/>
          <w:szCs w:val="24"/>
        </w:rPr>
        <w:t>主要成因有以下几点：</w:t>
      </w:r>
      <w:r>
        <w:rPr>
          <w:b/>
          <w:bCs/>
          <w:sz w:val="24"/>
          <w:szCs w:val="24"/>
        </w:rPr>
        <w:t>一是水质受城市污水排放影响。</w:t>
      </w:r>
      <w:r>
        <w:rPr>
          <w:sz w:val="24"/>
          <w:szCs w:val="24"/>
        </w:rPr>
        <w:t>淠河、淠东干渠承接六安城区段大量的城市尾水，占用河流水环境容量，对河流水质影响较大。二</w:t>
      </w:r>
      <w:r>
        <w:rPr>
          <w:b/>
          <w:bCs/>
          <w:sz w:val="24"/>
          <w:szCs w:val="24"/>
        </w:rPr>
        <w:t>是城镇污水收集和处理设施存在短板。</w:t>
      </w:r>
      <w:r>
        <w:rPr>
          <w:sz w:val="24"/>
          <w:szCs w:val="24"/>
        </w:rPr>
        <w:t>目前，六安市污水总处理能力达到30万吨/日，总体上满足现阶段需求，但仍存在着污水处理能力不均衡的现象，个别污水处理厂处理能力欠缺，城镇污水管网不完善，雨污分流不全面、城市污水溢流等问题仍然存在。三</w:t>
      </w:r>
      <w:r>
        <w:rPr>
          <w:b/>
          <w:bCs/>
          <w:sz w:val="24"/>
          <w:szCs w:val="24"/>
        </w:rPr>
        <w:t>是农业面源污染威胁河流水质。</w:t>
      </w:r>
      <w:r>
        <w:rPr>
          <w:bCs/>
          <w:sz w:val="24"/>
          <w:szCs w:val="24"/>
        </w:rPr>
        <w:t>六安市主要河流大部分河段处于郊区或乡村段，农田弃水、农村畜禽及生活污水通过雨水径流进入河流，对河流水质威胁较大。</w:t>
      </w:r>
    </w:p>
    <w:p>
      <w:pPr>
        <w:numPr>
          <w:ilvl w:val="255"/>
          <w:numId w:val="0"/>
        </w:numPr>
        <w:spacing w:line="360" w:lineRule="auto"/>
        <w:ind w:firstLine="482" w:firstLineChars="200"/>
        <w:rPr>
          <w:b/>
          <w:bCs/>
          <w:sz w:val="24"/>
          <w:szCs w:val="24"/>
        </w:rPr>
      </w:pPr>
      <w:r>
        <w:rPr>
          <w:rFonts w:hint="eastAsia"/>
          <w:b/>
          <w:bCs/>
          <w:sz w:val="24"/>
          <w:szCs w:val="24"/>
        </w:rPr>
        <w:t>（二）水生态问题</w:t>
      </w:r>
    </w:p>
    <w:p>
      <w:pPr>
        <w:spacing w:line="360" w:lineRule="auto"/>
        <w:ind w:firstLine="480" w:firstLineChars="200"/>
        <w:rPr>
          <w:sz w:val="24"/>
          <w:szCs w:val="24"/>
        </w:rPr>
      </w:pPr>
      <w:r>
        <w:rPr>
          <w:rFonts w:hint="eastAsia"/>
          <w:sz w:val="24"/>
          <w:szCs w:val="24"/>
        </w:rPr>
        <w:t>六安市在水生态方面存在</w:t>
      </w:r>
      <w:r>
        <w:rPr>
          <w:sz w:val="24"/>
          <w:szCs w:val="24"/>
        </w:rPr>
        <w:t>的主要问题是，城镇段河流生态缓冲带被破坏，生物完整性指数下降，河流自净能力降低，淠河部分河段由于淤积堵塞出现富营养化现象。</w:t>
      </w:r>
    </w:p>
    <w:p>
      <w:pPr>
        <w:spacing w:line="360" w:lineRule="auto"/>
        <w:ind w:firstLine="480" w:firstLineChars="200"/>
        <w:rPr>
          <w:sz w:val="24"/>
          <w:szCs w:val="24"/>
        </w:rPr>
      </w:pPr>
      <w:r>
        <w:rPr>
          <w:sz w:val="24"/>
          <w:szCs w:val="24"/>
        </w:rPr>
        <w:t>主要成因：一是淠河上游横排头水利枢纽将上游来水汇入淠河总干渠，导致淠河水体不流动，进入夏季后出现富营养化现象，严重影响河流水生态系统。二是沣河、淠河水质主要指标已达到地表水Ⅳ类标准，水体中土著水生植物及动物已经出现，水生态系统得到了一定修复，但进入夏季后，由于河流中水生植物进行强烈的光合作用，导致水体酸碱失衡，水质呈现碱性，PH值超出标准范围，影响生态系统稳定性。三是人类活动侵占河流生态缓冲带等敏感生态空间，导致缓冲带内生态用地占比不足70%，威胁河湖水生态系统健康。</w:t>
      </w:r>
    </w:p>
    <w:p>
      <w:pPr>
        <w:numPr>
          <w:ilvl w:val="255"/>
          <w:numId w:val="0"/>
        </w:numPr>
        <w:spacing w:line="360" w:lineRule="auto"/>
        <w:ind w:firstLine="482" w:firstLineChars="200"/>
        <w:rPr>
          <w:b/>
          <w:bCs/>
          <w:sz w:val="24"/>
          <w:szCs w:val="24"/>
        </w:rPr>
      </w:pPr>
      <w:r>
        <w:rPr>
          <w:rFonts w:hint="eastAsia"/>
          <w:b/>
          <w:bCs/>
          <w:sz w:val="24"/>
          <w:szCs w:val="24"/>
        </w:rPr>
        <w:t>（三）水环境风险</w:t>
      </w:r>
    </w:p>
    <w:p>
      <w:pPr>
        <w:spacing w:line="360" w:lineRule="auto"/>
        <w:ind w:firstLine="480" w:firstLineChars="200"/>
        <w:rPr>
          <w:sz w:val="24"/>
          <w:szCs w:val="24"/>
        </w:rPr>
      </w:pPr>
      <w:r>
        <w:rPr>
          <w:sz w:val="24"/>
          <w:szCs w:val="24"/>
        </w:rPr>
        <w:t>六安市饮用水源地保护规范，水质安全，工业等点源污染控制严格，目前尚未发现水环境风险。十四五期间将进一步提高监管能力。</w:t>
      </w:r>
    </w:p>
    <w:p>
      <w:pPr>
        <w:keepNext/>
        <w:keepLines/>
        <w:adjustRightInd w:val="0"/>
        <w:snapToGrid w:val="0"/>
        <w:spacing w:before="240" w:beforeLines="100" w:after="240" w:afterLines="100" w:line="360" w:lineRule="auto"/>
        <w:jc w:val="center"/>
        <w:outlineLvl w:val="1"/>
        <w:rPr>
          <w:b/>
          <w:bCs/>
          <w:sz w:val="32"/>
          <w:szCs w:val="36"/>
        </w:rPr>
      </w:pPr>
      <w:bookmarkStart w:id="452" w:name="_Toc55839494"/>
      <w:bookmarkStart w:id="453" w:name="_Toc28904"/>
      <w:bookmarkStart w:id="454" w:name="_Toc95382534"/>
      <w:bookmarkStart w:id="455" w:name="_Toc21257"/>
      <w:bookmarkStart w:id="456" w:name="_Toc29480"/>
      <w:bookmarkStart w:id="457" w:name="_Toc18332"/>
      <w:r>
        <w:rPr>
          <w:b/>
          <w:bCs/>
          <w:sz w:val="32"/>
          <w:szCs w:val="36"/>
        </w:rPr>
        <w:t>第三节 总体</w:t>
      </w:r>
      <w:bookmarkEnd w:id="452"/>
      <w:r>
        <w:rPr>
          <w:b/>
          <w:bCs/>
          <w:sz w:val="32"/>
          <w:szCs w:val="36"/>
        </w:rPr>
        <w:t>思路</w:t>
      </w:r>
      <w:bookmarkEnd w:id="453"/>
      <w:bookmarkEnd w:id="454"/>
      <w:bookmarkEnd w:id="455"/>
      <w:bookmarkEnd w:id="456"/>
      <w:bookmarkEnd w:id="457"/>
    </w:p>
    <w:p>
      <w:pPr>
        <w:pStyle w:val="4"/>
        <w:spacing w:before="120" w:beforeLines="50" w:after="120" w:afterLines="50"/>
        <w:rPr>
          <w:sz w:val="28"/>
        </w:rPr>
      </w:pPr>
      <w:bookmarkStart w:id="458" w:name="_Toc51330891"/>
      <w:bookmarkStart w:id="459" w:name="_Toc55839495"/>
      <w:bookmarkStart w:id="460" w:name="_Toc95382535"/>
      <w:r>
        <w:rPr>
          <w:rFonts w:hint="eastAsia"/>
          <w:sz w:val="28"/>
        </w:rPr>
        <w:t>一、基本定位</w:t>
      </w:r>
      <w:bookmarkEnd w:id="458"/>
      <w:bookmarkEnd w:id="459"/>
      <w:bookmarkEnd w:id="460"/>
    </w:p>
    <w:p>
      <w:pPr>
        <w:spacing w:line="360" w:lineRule="auto"/>
        <w:ind w:firstLine="480" w:firstLineChars="200"/>
        <w:rPr>
          <w:sz w:val="24"/>
          <w:szCs w:val="24"/>
        </w:rPr>
      </w:pPr>
      <w:r>
        <w:rPr>
          <w:sz w:val="24"/>
          <w:szCs w:val="24"/>
        </w:rPr>
        <w:t>“十四五”处于“两个一百年”奋斗目标的历史交汇期，是在全面建成小康社会基础上，向美丽中国目标迈进的第一个五年。六安市“十四五”水生态环境保护要点编制要以习近平新时代中国特色社会主义思想为指导，深入贯彻习近平生态文明思想和习近平总书记系列重要讲话精神，全面落实党中央、国务院决策部署和部党组工作要求，坚持绿水青山就是金山银山，坚持以人民为中心，坚持山水林田湖草系统治理，坚持精准治污、科学治污、依法治污，以改善水生态环境质量为核心，充分衔接国民经济和社会发展规划、国土空间规划和相关专项规划，推动实现“清水绿岸、鱼翔浅底”美丽中国阶段目标，努力开创水生态环境保护新局面。</w:t>
      </w:r>
    </w:p>
    <w:p>
      <w:pPr>
        <w:pStyle w:val="4"/>
        <w:spacing w:before="120" w:beforeLines="50" w:after="120" w:afterLines="50"/>
        <w:rPr>
          <w:sz w:val="28"/>
        </w:rPr>
      </w:pPr>
      <w:bookmarkStart w:id="461" w:name="_Toc95382536"/>
      <w:bookmarkStart w:id="462" w:name="_Toc55839496"/>
      <w:bookmarkStart w:id="463" w:name="_Toc51330892"/>
      <w:r>
        <w:rPr>
          <w:rFonts w:hint="eastAsia"/>
          <w:sz w:val="28"/>
        </w:rPr>
        <w:t>二、规划目标</w:t>
      </w:r>
      <w:bookmarkEnd w:id="461"/>
      <w:bookmarkEnd w:id="462"/>
      <w:bookmarkEnd w:id="463"/>
    </w:p>
    <w:p>
      <w:pPr>
        <w:numPr>
          <w:ilvl w:val="255"/>
          <w:numId w:val="0"/>
        </w:numPr>
        <w:autoSpaceDE w:val="0"/>
        <w:autoSpaceDN w:val="0"/>
        <w:adjustRightInd w:val="0"/>
        <w:snapToGrid w:val="0"/>
        <w:spacing w:line="360" w:lineRule="auto"/>
        <w:ind w:firstLine="482" w:firstLineChars="200"/>
        <w:rPr>
          <w:b/>
          <w:bCs/>
          <w:kern w:val="1"/>
          <w:sz w:val="24"/>
          <w:szCs w:val="24"/>
        </w:rPr>
      </w:pPr>
      <w:bookmarkStart w:id="464" w:name="_Toc55839497"/>
      <w:r>
        <w:rPr>
          <w:rFonts w:hint="eastAsia"/>
          <w:b/>
          <w:bCs/>
          <w:kern w:val="1"/>
          <w:sz w:val="24"/>
          <w:szCs w:val="24"/>
        </w:rPr>
        <w:t>（一）总体目标</w:t>
      </w:r>
      <w:bookmarkEnd w:id="464"/>
    </w:p>
    <w:p>
      <w:pPr>
        <w:spacing w:line="360" w:lineRule="auto"/>
        <w:ind w:firstLine="480" w:firstLineChars="200"/>
        <w:rPr>
          <w:sz w:val="24"/>
          <w:szCs w:val="24"/>
        </w:rPr>
      </w:pPr>
      <w:r>
        <w:rPr>
          <w:sz w:val="24"/>
          <w:szCs w:val="24"/>
        </w:rPr>
        <w:t>“十四五”期间，六安市按照目标导向，突出水资源、水生态、水环境“三水”统筹，以实现“有河有水、有鱼有草、人水和谐”为总体目标开展水生态环境保护工作。</w:t>
      </w:r>
    </w:p>
    <w:p>
      <w:pPr>
        <w:spacing w:line="360" w:lineRule="auto"/>
        <w:ind w:firstLine="480" w:firstLineChars="200"/>
        <w:rPr>
          <w:sz w:val="24"/>
          <w:szCs w:val="24"/>
        </w:rPr>
      </w:pPr>
      <w:r>
        <w:rPr>
          <w:sz w:val="24"/>
          <w:szCs w:val="24"/>
        </w:rPr>
        <w:t>水环境方面：在十三五工作成果的基础上，根据城镇发展规划，十四五期间完善城镇污水处理厂建设及管网延伸。保证城镇供水水源地水质全面达标，国控断面稳定达标，主要水体“有水、有草、有鱼”。</w:t>
      </w:r>
      <w:r>
        <w:rPr>
          <w:kern w:val="0"/>
          <w:sz w:val="24"/>
          <w:szCs w:val="24"/>
        </w:rPr>
        <w:t>地表水优良(达到或优于Ⅲ类)比例达到86.4%，彻底消除地表水劣Ⅴ类水体，城市集中式饮用水水源达到或优于Ⅲ类的比例达到100%。</w:t>
      </w:r>
    </w:p>
    <w:p>
      <w:pPr>
        <w:spacing w:line="360" w:lineRule="auto"/>
        <w:ind w:firstLine="480" w:firstLineChars="200"/>
        <w:rPr>
          <w:sz w:val="24"/>
          <w:szCs w:val="24"/>
        </w:rPr>
      </w:pPr>
      <w:r>
        <w:rPr>
          <w:sz w:val="24"/>
          <w:szCs w:val="24"/>
        </w:rPr>
        <w:t>水资源方面：生态流量保障能力稳步提升，推进有关水资源的跨区域协调工作工作，</w:t>
      </w:r>
      <w:r>
        <w:rPr>
          <w:rFonts w:hint="eastAsia"/>
          <w:sz w:val="24"/>
          <w:szCs w:val="24"/>
        </w:rPr>
        <w:t>确保重要河流</w:t>
      </w:r>
      <w:r>
        <w:rPr>
          <w:sz w:val="24"/>
          <w:szCs w:val="24"/>
        </w:rPr>
        <w:t>生态流量</w:t>
      </w:r>
      <w:r>
        <w:rPr>
          <w:rFonts w:hint="eastAsia"/>
          <w:sz w:val="24"/>
          <w:szCs w:val="24"/>
        </w:rPr>
        <w:t>达到管控目标</w:t>
      </w:r>
      <w:r>
        <w:rPr>
          <w:sz w:val="24"/>
          <w:szCs w:val="24"/>
        </w:rPr>
        <w:t>要求，基本建成水资源保护和河湖健康保障体系。</w:t>
      </w:r>
    </w:p>
    <w:p>
      <w:pPr>
        <w:spacing w:line="360" w:lineRule="auto"/>
        <w:ind w:firstLine="480" w:firstLineChars="200"/>
        <w:rPr>
          <w:sz w:val="24"/>
          <w:szCs w:val="24"/>
        </w:rPr>
      </w:pPr>
      <w:r>
        <w:rPr>
          <w:sz w:val="24"/>
          <w:szCs w:val="24"/>
        </w:rPr>
        <w:t>水生态方面：六大水库、城东湖、城西湖等湖泊水生态系统得到良好保护，水生态整体进一步修复，重要生态保护区、水源涵养区、江河源头区和湿地得到有效保护；河流湖泊水生态恶化的趋势得到遏制，推进重要生境维护、重要湿地保护、生态敏感区保护与修复及水生态监测等水生态保护与修复措施，力争“十四五”期间，维持全市（含县区）主要河流水质不下降，不再出现黑臭水体。</w:t>
      </w:r>
    </w:p>
    <w:p>
      <w:pPr>
        <w:autoSpaceDE w:val="0"/>
        <w:autoSpaceDN w:val="0"/>
        <w:adjustRightInd w:val="0"/>
        <w:snapToGrid w:val="0"/>
        <w:spacing w:before="120" w:beforeLines="50" w:line="360" w:lineRule="auto"/>
        <w:ind w:firstLine="482" w:firstLineChars="200"/>
        <w:rPr>
          <w:b/>
          <w:bCs/>
          <w:kern w:val="1"/>
          <w:sz w:val="24"/>
          <w:szCs w:val="24"/>
        </w:rPr>
      </w:pPr>
      <w:bookmarkStart w:id="465" w:name="_Toc55839499"/>
      <w:bookmarkStart w:id="466" w:name="_Toc51330893"/>
      <w:r>
        <w:rPr>
          <w:rFonts w:hint="eastAsia"/>
          <w:b/>
          <w:bCs/>
          <w:kern w:val="1"/>
          <w:sz w:val="24"/>
          <w:szCs w:val="24"/>
        </w:rPr>
        <w:t>（二）空间布局</w:t>
      </w:r>
      <w:bookmarkEnd w:id="465"/>
      <w:bookmarkEnd w:id="466"/>
    </w:p>
    <w:p>
      <w:pPr>
        <w:spacing w:line="360" w:lineRule="auto"/>
        <w:ind w:firstLine="480" w:firstLineChars="200"/>
        <w:rPr>
          <w:sz w:val="24"/>
          <w:szCs w:val="24"/>
        </w:rPr>
      </w:pPr>
      <w:r>
        <w:rPr>
          <w:sz w:val="24"/>
          <w:szCs w:val="24"/>
        </w:rPr>
        <w:t>南部：以金寨、霍山、舒城三县河流水系为主，实施水源地保护与涵养，对接合肥市、淮南市的发展，六大水库水质稳定达到Ⅱ类，争取下游生态水量目标，保障水生态物种比例、数量不减少。</w:t>
      </w:r>
    </w:p>
    <w:p>
      <w:pPr>
        <w:spacing w:line="360" w:lineRule="auto"/>
        <w:ind w:firstLine="480" w:firstLineChars="200"/>
        <w:rPr>
          <w:sz w:val="24"/>
          <w:szCs w:val="24"/>
        </w:rPr>
      </w:pPr>
      <w:r>
        <w:rPr>
          <w:sz w:val="24"/>
          <w:szCs w:val="24"/>
        </w:rPr>
        <w:t>中部：对接淠淮经济带及六安市城市建设，并保障生态水量目标，淠河消除干涸现象，实现有河有水，主要河流淠河、史河、杭埠河等河流实现生态水量目标。</w:t>
      </w:r>
    </w:p>
    <w:p>
      <w:pPr>
        <w:autoSpaceDE w:val="0"/>
        <w:autoSpaceDN w:val="0"/>
        <w:adjustRightInd w:val="0"/>
        <w:snapToGrid w:val="0"/>
        <w:spacing w:line="360" w:lineRule="auto"/>
        <w:ind w:firstLine="480" w:firstLineChars="200"/>
        <w:rPr>
          <w:sz w:val="24"/>
          <w:szCs w:val="24"/>
        </w:rPr>
      </w:pPr>
      <w:r>
        <w:rPr>
          <w:sz w:val="24"/>
          <w:szCs w:val="24"/>
        </w:rPr>
        <w:t>北部：对接叶集、霍邱县水系保护，城西湖</w:t>
      </w:r>
      <w:r>
        <w:rPr>
          <w:rFonts w:hint="eastAsia"/>
          <w:sz w:val="24"/>
          <w:szCs w:val="24"/>
        </w:rPr>
        <w:t>和</w:t>
      </w:r>
      <w:r>
        <w:rPr>
          <w:sz w:val="24"/>
          <w:szCs w:val="24"/>
        </w:rPr>
        <w:t>城东湖</w:t>
      </w:r>
      <w:r>
        <w:rPr>
          <w:rFonts w:hint="eastAsia"/>
          <w:sz w:val="24"/>
          <w:szCs w:val="24"/>
        </w:rPr>
        <w:t>水质稳定达标</w:t>
      </w:r>
      <w:r>
        <w:rPr>
          <w:sz w:val="24"/>
          <w:szCs w:val="24"/>
        </w:rPr>
        <w:t>，保障生态水量目标，保护两湖生态多样性结构，做到不减少。</w:t>
      </w:r>
    </w:p>
    <w:p>
      <w:pPr>
        <w:keepNext/>
        <w:keepLines/>
        <w:adjustRightInd w:val="0"/>
        <w:snapToGrid w:val="0"/>
        <w:spacing w:before="240" w:beforeLines="100" w:after="240" w:afterLines="100" w:line="360" w:lineRule="auto"/>
        <w:jc w:val="center"/>
        <w:outlineLvl w:val="1"/>
        <w:rPr>
          <w:b/>
          <w:bCs/>
          <w:sz w:val="32"/>
          <w:szCs w:val="36"/>
        </w:rPr>
      </w:pPr>
      <w:bookmarkStart w:id="467" w:name="_Toc16440"/>
      <w:bookmarkStart w:id="468" w:name="_Toc32095"/>
      <w:bookmarkStart w:id="469" w:name="_Toc95382537"/>
      <w:bookmarkStart w:id="470" w:name="_Toc16417"/>
      <w:bookmarkStart w:id="471" w:name="_Toc241"/>
      <w:bookmarkStart w:id="472" w:name="_Toc25844"/>
      <w:bookmarkStart w:id="473" w:name="_Toc3462"/>
      <w:bookmarkStart w:id="474" w:name="_Toc3665"/>
      <w:bookmarkStart w:id="475" w:name="_Toc11664727"/>
      <w:r>
        <w:rPr>
          <w:rFonts w:hint="eastAsia"/>
          <w:b/>
          <w:bCs/>
          <w:sz w:val="32"/>
          <w:szCs w:val="36"/>
        </w:rPr>
        <w:t>第四节 主要河流生态流量</w:t>
      </w:r>
      <w:r>
        <w:rPr>
          <w:b/>
          <w:bCs/>
          <w:sz w:val="32"/>
          <w:szCs w:val="36"/>
        </w:rPr>
        <w:t>管控</w:t>
      </w:r>
      <w:bookmarkEnd w:id="467"/>
      <w:bookmarkEnd w:id="468"/>
      <w:bookmarkEnd w:id="469"/>
      <w:bookmarkEnd w:id="470"/>
      <w:bookmarkEnd w:id="471"/>
      <w:bookmarkEnd w:id="472"/>
      <w:bookmarkEnd w:id="473"/>
      <w:bookmarkEnd w:id="474"/>
    </w:p>
    <w:p>
      <w:pPr>
        <w:pStyle w:val="4"/>
        <w:spacing w:before="120" w:beforeLines="50" w:after="120" w:afterLines="50"/>
        <w:rPr>
          <w:sz w:val="28"/>
        </w:rPr>
      </w:pPr>
      <w:bookmarkStart w:id="476" w:name="_Toc15999695"/>
      <w:bookmarkStart w:id="477" w:name="_Toc95382538"/>
      <w:r>
        <w:rPr>
          <w:rFonts w:hint="eastAsia"/>
          <w:sz w:val="28"/>
        </w:rPr>
        <w:t>一、</w:t>
      </w:r>
      <w:bookmarkEnd w:id="476"/>
      <w:r>
        <w:rPr>
          <w:rFonts w:hint="eastAsia"/>
          <w:sz w:val="28"/>
        </w:rPr>
        <w:t>史灌河生态流量管控</w:t>
      </w:r>
      <w:bookmarkEnd w:id="477"/>
    </w:p>
    <w:bookmarkEnd w:id="475"/>
    <w:p>
      <w:pPr>
        <w:autoSpaceDE w:val="0"/>
        <w:autoSpaceDN w:val="0"/>
        <w:adjustRightInd w:val="0"/>
        <w:spacing w:line="360" w:lineRule="auto"/>
        <w:ind w:firstLine="482" w:firstLineChars="200"/>
        <w:rPr>
          <w:b/>
          <w:bCs/>
          <w:kern w:val="1"/>
          <w:sz w:val="24"/>
          <w:szCs w:val="24"/>
        </w:rPr>
      </w:pPr>
      <w:bookmarkStart w:id="478" w:name="_Toc15999702"/>
      <w:r>
        <w:rPr>
          <w:rFonts w:hint="eastAsia"/>
          <w:b/>
          <w:bCs/>
          <w:kern w:val="1"/>
          <w:sz w:val="24"/>
          <w:szCs w:val="24"/>
        </w:rPr>
        <w:t>（一）主要控制断面</w:t>
      </w:r>
      <w:bookmarkEnd w:id="478"/>
    </w:p>
    <w:p>
      <w:pPr>
        <w:spacing w:line="360" w:lineRule="auto"/>
        <w:ind w:firstLine="480" w:firstLineChars="200"/>
        <w:rPr>
          <w:sz w:val="24"/>
          <w:szCs w:val="24"/>
        </w:rPr>
      </w:pPr>
      <w:r>
        <w:rPr>
          <w:sz w:val="24"/>
          <w:szCs w:val="24"/>
        </w:rPr>
        <w:t>史灌河生态流量主要控制断面2处，其中考核断面1处，为蒋家集断面；管理断面1处，为叶集断面。</w:t>
      </w:r>
    </w:p>
    <w:p>
      <w:pPr>
        <w:spacing w:line="360" w:lineRule="auto"/>
        <w:ind w:firstLine="480" w:firstLineChars="200"/>
        <w:rPr>
          <w:sz w:val="24"/>
          <w:szCs w:val="24"/>
        </w:rPr>
      </w:pPr>
      <w:r>
        <w:rPr>
          <w:rFonts w:hint="eastAsia"/>
          <w:sz w:val="24"/>
          <w:szCs w:val="24"/>
        </w:rPr>
        <w:t>蒋家集断面位于河南省信阳市，即蒋家集</w:t>
      </w:r>
      <w:r>
        <w:rPr>
          <w:sz w:val="24"/>
          <w:szCs w:val="24"/>
        </w:rPr>
        <w:t>水文站监测断面</w:t>
      </w:r>
      <w:r>
        <w:rPr>
          <w:rFonts w:hint="eastAsia"/>
          <w:sz w:val="24"/>
          <w:szCs w:val="24"/>
        </w:rPr>
        <w:t>；</w:t>
      </w:r>
      <w:r>
        <w:rPr>
          <w:sz w:val="24"/>
          <w:szCs w:val="24"/>
        </w:rPr>
        <w:t>叶集断面位于安徽省六安市，即叶集水文站监测断面，为史灌河干流安徽省出境断面，史灌河叶集以上集水面积2330km</w:t>
      </w:r>
      <w:r>
        <w:rPr>
          <w:sz w:val="24"/>
          <w:szCs w:val="24"/>
          <w:vertAlign w:val="superscript"/>
        </w:rPr>
        <w:t>2</w:t>
      </w:r>
      <w:r>
        <w:rPr>
          <w:sz w:val="24"/>
          <w:szCs w:val="24"/>
        </w:rPr>
        <w:t>。</w:t>
      </w:r>
    </w:p>
    <w:p>
      <w:pPr>
        <w:widowControl/>
        <w:numPr>
          <w:ilvl w:val="255"/>
          <w:numId w:val="0"/>
        </w:numPr>
        <w:autoSpaceDE w:val="0"/>
        <w:autoSpaceDN w:val="0"/>
        <w:adjustRightInd w:val="0"/>
        <w:spacing w:line="360" w:lineRule="auto"/>
        <w:ind w:firstLine="482" w:firstLineChars="200"/>
        <w:jc w:val="left"/>
        <w:rPr>
          <w:b/>
          <w:bCs/>
          <w:sz w:val="24"/>
          <w:szCs w:val="24"/>
        </w:rPr>
      </w:pPr>
      <w:bookmarkStart w:id="479" w:name="_Toc15999709"/>
      <w:r>
        <w:rPr>
          <w:rFonts w:hint="eastAsia"/>
          <w:b/>
          <w:bCs/>
          <w:sz w:val="24"/>
          <w:szCs w:val="24"/>
        </w:rPr>
        <w:t>（二）</w:t>
      </w:r>
      <w:r>
        <w:rPr>
          <w:b/>
          <w:bCs/>
          <w:sz w:val="24"/>
          <w:szCs w:val="24"/>
        </w:rPr>
        <w:t>主要控制断面生态流量目标确定</w:t>
      </w:r>
      <w:bookmarkEnd w:id="479"/>
    </w:p>
    <w:p>
      <w:pPr>
        <w:spacing w:line="360" w:lineRule="auto"/>
        <w:ind w:firstLine="480" w:firstLineChars="200"/>
        <w:rPr>
          <w:bCs/>
          <w:sz w:val="24"/>
          <w:szCs w:val="24"/>
        </w:rPr>
      </w:pPr>
      <w:r>
        <w:rPr>
          <w:bCs/>
          <w:sz w:val="24"/>
          <w:szCs w:val="24"/>
        </w:rPr>
        <w:t>1、考核断面生态流量目标确定</w:t>
      </w:r>
    </w:p>
    <w:p>
      <w:pPr>
        <w:spacing w:line="360" w:lineRule="auto"/>
        <w:ind w:firstLine="480" w:firstLineChars="200"/>
        <w:rPr>
          <w:sz w:val="24"/>
          <w:szCs w:val="24"/>
        </w:rPr>
      </w:pPr>
      <w:r>
        <w:rPr>
          <w:bCs/>
          <w:sz w:val="24"/>
          <w:szCs w:val="24"/>
        </w:rPr>
        <w:t>本次采用Q</w:t>
      </w:r>
      <w:r>
        <w:rPr>
          <w:bCs/>
          <w:sz w:val="24"/>
          <w:szCs w:val="24"/>
          <w:vertAlign w:val="subscript"/>
        </w:rPr>
        <w:t>90</w:t>
      </w:r>
      <w:r>
        <w:rPr>
          <w:bCs/>
          <w:sz w:val="24"/>
          <w:szCs w:val="24"/>
        </w:rPr>
        <w:t>法、Tennant法对确定的史灌河考核断面生态流量目标进行复</w:t>
      </w:r>
      <w:r>
        <w:rPr>
          <w:sz w:val="24"/>
          <w:szCs w:val="24"/>
        </w:rPr>
        <w:t>核计算。</w:t>
      </w:r>
    </w:p>
    <w:p>
      <w:pPr>
        <w:spacing w:line="360" w:lineRule="auto"/>
        <w:ind w:firstLine="480" w:firstLineChars="200"/>
        <w:rPr>
          <w:sz w:val="24"/>
          <w:szCs w:val="24"/>
        </w:rPr>
      </w:pPr>
      <w:r>
        <w:rPr>
          <w:sz w:val="24"/>
          <w:szCs w:val="24"/>
        </w:rPr>
        <w:t>通过对比分析1956-2000年与1980-2016年两个系列径流变化情况，复核淮河流域水资源保护规划，史灌河流域水量分配方案等已有成果的合理性，并考虑与流域最新规划成果相协调，便于流域水资源管理的开展，确定史灌河考核断面生态流量成果，详见表7.4.1。</w:t>
      </w:r>
      <w:r>
        <w:rPr>
          <w:rFonts w:hint="eastAsia"/>
          <w:sz w:val="24"/>
          <w:szCs w:val="24"/>
        </w:rPr>
        <w:t>史灌河生态流量考核断面生态基流设计保证率为90%。</w:t>
      </w:r>
    </w:p>
    <w:p>
      <w:pPr>
        <w:spacing w:line="360" w:lineRule="auto"/>
        <w:jc w:val="center"/>
        <w:rPr>
          <w:b/>
          <w:bCs/>
          <w:color w:val="000000"/>
          <w:sz w:val="24"/>
          <w:szCs w:val="24"/>
        </w:rPr>
      </w:pPr>
      <w:r>
        <w:rPr>
          <w:b/>
          <w:bCs/>
          <w:color w:val="000000"/>
          <w:sz w:val="24"/>
          <w:szCs w:val="24"/>
        </w:rPr>
        <w:t>表7.4.1  史灌河考核断面生态流量目标成果表  单位：m³/s</w:t>
      </w:r>
    </w:p>
    <w:tbl>
      <w:tblPr>
        <w:tblStyle w:val="36"/>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82"/>
        <w:gridCol w:w="1765"/>
        <w:gridCol w:w="1965"/>
        <w:gridCol w:w="1253"/>
        <w:gridCol w:w="97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Merge w:val="restart"/>
            <w:vAlign w:val="center"/>
          </w:tcPr>
          <w:p>
            <w:pPr>
              <w:jc w:val="center"/>
              <w:rPr>
                <w:bCs/>
                <w:sz w:val="18"/>
                <w:szCs w:val="18"/>
              </w:rPr>
            </w:pPr>
            <w:r>
              <w:rPr>
                <w:bCs/>
                <w:sz w:val="18"/>
                <w:szCs w:val="18"/>
              </w:rPr>
              <w:t>断面类别</w:t>
            </w:r>
          </w:p>
        </w:tc>
        <w:tc>
          <w:tcPr>
            <w:tcW w:w="1765" w:type="dxa"/>
            <w:vMerge w:val="restart"/>
            <w:shd w:val="clear" w:color="auto" w:fill="auto"/>
            <w:vAlign w:val="center"/>
          </w:tcPr>
          <w:p>
            <w:pPr>
              <w:jc w:val="center"/>
              <w:rPr>
                <w:bCs/>
                <w:sz w:val="18"/>
                <w:szCs w:val="18"/>
              </w:rPr>
            </w:pPr>
            <w:r>
              <w:rPr>
                <w:bCs/>
                <w:sz w:val="18"/>
                <w:szCs w:val="18"/>
              </w:rPr>
              <w:t>控制断面名称</w:t>
            </w:r>
          </w:p>
        </w:tc>
        <w:tc>
          <w:tcPr>
            <w:tcW w:w="1965" w:type="dxa"/>
            <w:vMerge w:val="restart"/>
            <w:vAlign w:val="center"/>
          </w:tcPr>
          <w:p>
            <w:pPr>
              <w:jc w:val="center"/>
              <w:rPr>
                <w:bCs/>
                <w:sz w:val="18"/>
                <w:szCs w:val="18"/>
              </w:rPr>
            </w:pPr>
            <w:r>
              <w:rPr>
                <w:bCs/>
                <w:sz w:val="18"/>
                <w:szCs w:val="18"/>
              </w:rPr>
              <w:t>生态基流</w:t>
            </w:r>
          </w:p>
        </w:tc>
        <w:tc>
          <w:tcPr>
            <w:tcW w:w="3250" w:type="dxa"/>
            <w:gridSpan w:val="3"/>
            <w:shd w:val="clear" w:color="auto" w:fill="auto"/>
            <w:vAlign w:val="center"/>
          </w:tcPr>
          <w:p>
            <w:pPr>
              <w:jc w:val="center"/>
              <w:rPr>
                <w:bCs/>
                <w:sz w:val="18"/>
                <w:szCs w:val="18"/>
              </w:rPr>
            </w:pPr>
            <w:r>
              <w:rPr>
                <w:bCs/>
                <w:sz w:val="18"/>
                <w:szCs w:val="18"/>
              </w:rPr>
              <w:t>不同时段生态流量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Merge w:val="continue"/>
            <w:vAlign w:val="center"/>
          </w:tcPr>
          <w:p>
            <w:pPr>
              <w:jc w:val="center"/>
              <w:rPr>
                <w:bCs/>
                <w:sz w:val="18"/>
                <w:szCs w:val="18"/>
              </w:rPr>
            </w:pPr>
          </w:p>
        </w:tc>
        <w:tc>
          <w:tcPr>
            <w:tcW w:w="1765" w:type="dxa"/>
            <w:vMerge w:val="continue"/>
            <w:vAlign w:val="center"/>
          </w:tcPr>
          <w:p>
            <w:pPr>
              <w:jc w:val="center"/>
              <w:rPr>
                <w:bCs/>
                <w:sz w:val="18"/>
                <w:szCs w:val="18"/>
              </w:rPr>
            </w:pPr>
          </w:p>
        </w:tc>
        <w:tc>
          <w:tcPr>
            <w:tcW w:w="1965" w:type="dxa"/>
            <w:vMerge w:val="continue"/>
            <w:vAlign w:val="center"/>
          </w:tcPr>
          <w:p>
            <w:pPr>
              <w:jc w:val="center"/>
              <w:rPr>
                <w:bCs/>
                <w:sz w:val="18"/>
                <w:szCs w:val="18"/>
              </w:rPr>
            </w:pPr>
          </w:p>
        </w:tc>
        <w:tc>
          <w:tcPr>
            <w:tcW w:w="1253" w:type="dxa"/>
            <w:shd w:val="clear" w:color="auto" w:fill="auto"/>
            <w:vAlign w:val="center"/>
          </w:tcPr>
          <w:p>
            <w:pPr>
              <w:jc w:val="center"/>
              <w:rPr>
                <w:bCs/>
                <w:sz w:val="18"/>
                <w:szCs w:val="18"/>
              </w:rPr>
            </w:pPr>
            <w:r>
              <w:rPr>
                <w:bCs/>
                <w:sz w:val="18"/>
                <w:szCs w:val="18"/>
              </w:rPr>
              <w:t>10～3月</w:t>
            </w:r>
          </w:p>
        </w:tc>
        <w:tc>
          <w:tcPr>
            <w:tcW w:w="973" w:type="dxa"/>
            <w:shd w:val="clear" w:color="auto" w:fill="auto"/>
            <w:vAlign w:val="center"/>
          </w:tcPr>
          <w:p>
            <w:pPr>
              <w:jc w:val="center"/>
              <w:rPr>
                <w:bCs/>
                <w:sz w:val="18"/>
                <w:szCs w:val="18"/>
              </w:rPr>
            </w:pPr>
            <w:r>
              <w:rPr>
                <w:bCs/>
                <w:sz w:val="18"/>
                <w:szCs w:val="18"/>
              </w:rPr>
              <w:t>4～5月</w:t>
            </w:r>
          </w:p>
        </w:tc>
        <w:tc>
          <w:tcPr>
            <w:tcW w:w="1024" w:type="dxa"/>
            <w:shd w:val="clear" w:color="auto" w:fill="auto"/>
            <w:vAlign w:val="center"/>
          </w:tcPr>
          <w:p>
            <w:pPr>
              <w:jc w:val="center"/>
              <w:rPr>
                <w:bCs/>
                <w:sz w:val="18"/>
                <w:szCs w:val="18"/>
              </w:rPr>
            </w:pPr>
            <w:r>
              <w:rPr>
                <w:bCs/>
                <w:sz w:val="18"/>
                <w:szCs w:val="18"/>
              </w:rPr>
              <w:t>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382" w:type="dxa"/>
            <w:vAlign w:val="center"/>
          </w:tcPr>
          <w:p>
            <w:pPr>
              <w:jc w:val="center"/>
              <w:rPr>
                <w:bCs/>
                <w:sz w:val="18"/>
                <w:szCs w:val="18"/>
              </w:rPr>
            </w:pPr>
            <w:r>
              <w:rPr>
                <w:bCs/>
                <w:sz w:val="18"/>
                <w:szCs w:val="18"/>
              </w:rPr>
              <w:t>考核断面</w:t>
            </w:r>
          </w:p>
        </w:tc>
        <w:tc>
          <w:tcPr>
            <w:tcW w:w="1765" w:type="dxa"/>
            <w:shd w:val="clear" w:color="auto" w:fill="auto"/>
            <w:vAlign w:val="center"/>
          </w:tcPr>
          <w:p>
            <w:pPr>
              <w:jc w:val="center"/>
              <w:rPr>
                <w:bCs/>
                <w:sz w:val="18"/>
                <w:szCs w:val="18"/>
              </w:rPr>
            </w:pPr>
            <w:r>
              <w:rPr>
                <w:bCs/>
                <w:sz w:val="18"/>
                <w:szCs w:val="18"/>
              </w:rPr>
              <w:t>蒋家集</w:t>
            </w:r>
          </w:p>
        </w:tc>
        <w:tc>
          <w:tcPr>
            <w:tcW w:w="1965" w:type="dxa"/>
            <w:vAlign w:val="center"/>
          </w:tcPr>
          <w:p>
            <w:pPr>
              <w:jc w:val="center"/>
              <w:rPr>
                <w:bCs/>
                <w:sz w:val="18"/>
                <w:szCs w:val="18"/>
              </w:rPr>
            </w:pPr>
            <w:r>
              <w:rPr>
                <w:bCs/>
                <w:sz w:val="18"/>
                <w:szCs w:val="18"/>
              </w:rPr>
              <w:t>4.3</w:t>
            </w:r>
          </w:p>
        </w:tc>
        <w:tc>
          <w:tcPr>
            <w:tcW w:w="1253" w:type="dxa"/>
            <w:shd w:val="clear" w:color="auto" w:fill="auto"/>
            <w:vAlign w:val="center"/>
          </w:tcPr>
          <w:p>
            <w:pPr>
              <w:jc w:val="center"/>
              <w:rPr>
                <w:bCs/>
                <w:sz w:val="18"/>
                <w:szCs w:val="18"/>
              </w:rPr>
            </w:pPr>
            <w:r>
              <w:rPr>
                <w:bCs/>
                <w:sz w:val="18"/>
                <w:szCs w:val="18"/>
              </w:rPr>
              <w:t>4.3</w:t>
            </w:r>
          </w:p>
        </w:tc>
        <w:tc>
          <w:tcPr>
            <w:tcW w:w="973" w:type="dxa"/>
            <w:shd w:val="clear" w:color="auto" w:fill="auto"/>
            <w:vAlign w:val="center"/>
          </w:tcPr>
          <w:p>
            <w:pPr>
              <w:jc w:val="center"/>
              <w:rPr>
                <w:bCs/>
                <w:sz w:val="18"/>
                <w:szCs w:val="18"/>
              </w:rPr>
            </w:pPr>
            <w:r>
              <w:rPr>
                <w:bCs/>
                <w:sz w:val="18"/>
                <w:szCs w:val="18"/>
              </w:rPr>
              <w:t>9.3</w:t>
            </w:r>
          </w:p>
        </w:tc>
        <w:tc>
          <w:tcPr>
            <w:tcW w:w="1024" w:type="dxa"/>
            <w:shd w:val="clear" w:color="auto" w:fill="auto"/>
            <w:vAlign w:val="center"/>
          </w:tcPr>
          <w:p>
            <w:pPr>
              <w:jc w:val="center"/>
              <w:rPr>
                <w:bCs/>
                <w:sz w:val="18"/>
                <w:szCs w:val="18"/>
              </w:rPr>
            </w:pPr>
            <w:r>
              <w:rPr>
                <w:bCs/>
                <w:sz w:val="18"/>
                <w:szCs w:val="18"/>
              </w:rPr>
              <w:t>15.8</w:t>
            </w:r>
          </w:p>
        </w:tc>
      </w:tr>
    </w:tbl>
    <w:p>
      <w:pPr>
        <w:spacing w:line="360" w:lineRule="auto"/>
        <w:ind w:firstLine="480" w:firstLineChars="200"/>
        <w:rPr>
          <w:bCs/>
          <w:sz w:val="24"/>
          <w:szCs w:val="24"/>
        </w:rPr>
      </w:pPr>
      <w:r>
        <w:rPr>
          <w:bCs/>
          <w:sz w:val="24"/>
          <w:szCs w:val="24"/>
        </w:rPr>
        <w:t>2、管理断面生态流量目标确定</w:t>
      </w:r>
    </w:p>
    <w:p>
      <w:pPr>
        <w:spacing w:line="360" w:lineRule="auto"/>
        <w:ind w:firstLine="480" w:firstLineChars="200"/>
        <w:rPr>
          <w:sz w:val="24"/>
          <w:szCs w:val="24"/>
        </w:rPr>
      </w:pPr>
      <w:r>
        <w:rPr>
          <w:sz w:val="24"/>
          <w:szCs w:val="24"/>
        </w:rPr>
        <w:t>管理断面在已批复的史灌河流域水量分配方案中计算了最小下泄水量，因此本方案管理断面生态流量目标按照水量分配方案的要求确定</w:t>
      </w:r>
      <w:r>
        <w:rPr>
          <w:rFonts w:hint="eastAsia"/>
          <w:sz w:val="24"/>
          <w:szCs w:val="24"/>
        </w:rPr>
        <w:t>。</w:t>
      </w:r>
    </w:p>
    <w:p>
      <w:pPr>
        <w:spacing w:line="360" w:lineRule="auto"/>
        <w:jc w:val="center"/>
        <w:rPr>
          <w:b/>
          <w:bCs/>
          <w:color w:val="000000"/>
          <w:sz w:val="24"/>
          <w:szCs w:val="24"/>
        </w:rPr>
      </w:pPr>
      <w:r>
        <w:rPr>
          <w:b/>
          <w:bCs/>
          <w:color w:val="000000"/>
          <w:sz w:val="24"/>
          <w:szCs w:val="24"/>
        </w:rPr>
        <w:t>表7.4.2  史灌河管理断面生态流量目标表   单位：m³/s</w:t>
      </w:r>
    </w:p>
    <w:tbl>
      <w:tblPr>
        <w:tblStyle w:val="36"/>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55"/>
        <w:gridCol w:w="1388"/>
        <w:gridCol w:w="2109"/>
        <w:gridCol w:w="1130"/>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1355" w:type="dxa"/>
            <w:vAlign w:val="center"/>
          </w:tcPr>
          <w:p>
            <w:pPr>
              <w:jc w:val="center"/>
              <w:rPr>
                <w:bCs/>
                <w:sz w:val="18"/>
                <w:szCs w:val="18"/>
              </w:rPr>
            </w:pPr>
            <w:bookmarkStart w:id="480" w:name="_Toc11664731"/>
            <w:r>
              <w:rPr>
                <w:bCs/>
                <w:sz w:val="18"/>
                <w:szCs w:val="18"/>
              </w:rPr>
              <w:t>断面类别</w:t>
            </w:r>
          </w:p>
        </w:tc>
        <w:tc>
          <w:tcPr>
            <w:tcW w:w="1388" w:type="dxa"/>
            <w:shd w:val="clear" w:color="auto" w:fill="auto"/>
            <w:vAlign w:val="center"/>
          </w:tcPr>
          <w:p>
            <w:pPr>
              <w:jc w:val="center"/>
              <w:rPr>
                <w:bCs/>
                <w:sz w:val="18"/>
                <w:szCs w:val="18"/>
              </w:rPr>
            </w:pPr>
            <w:r>
              <w:rPr>
                <w:bCs/>
                <w:sz w:val="18"/>
                <w:szCs w:val="18"/>
              </w:rPr>
              <w:t>控制断面名称</w:t>
            </w:r>
          </w:p>
        </w:tc>
        <w:tc>
          <w:tcPr>
            <w:tcW w:w="2109" w:type="dxa"/>
            <w:vAlign w:val="center"/>
          </w:tcPr>
          <w:p>
            <w:pPr>
              <w:jc w:val="center"/>
              <w:rPr>
                <w:bCs/>
                <w:sz w:val="18"/>
                <w:szCs w:val="18"/>
              </w:rPr>
            </w:pPr>
            <w:r>
              <w:rPr>
                <w:bCs/>
                <w:sz w:val="18"/>
                <w:szCs w:val="18"/>
              </w:rPr>
              <w:t>断面性质</w:t>
            </w:r>
          </w:p>
        </w:tc>
        <w:tc>
          <w:tcPr>
            <w:tcW w:w="1130" w:type="dxa"/>
            <w:vAlign w:val="center"/>
          </w:tcPr>
          <w:p>
            <w:pPr>
              <w:jc w:val="center"/>
              <w:rPr>
                <w:bCs/>
                <w:sz w:val="18"/>
                <w:szCs w:val="18"/>
              </w:rPr>
            </w:pPr>
            <w:r>
              <w:rPr>
                <w:bCs/>
                <w:sz w:val="18"/>
                <w:szCs w:val="18"/>
              </w:rPr>
              <w:t>生态基流（m³/s）</w:t>
            </w:r>
          </w:p>
        </w:tc>
        <w:tc>
          <w:tcPr>
            <w:tcW w:w="2484" w:type="dxa"/>
            <w:shd w:val="clear" w:color="auto" w:fill="auto"/>
            <w:vAlign w:val="center"/>
          </w:tcPr>
          <w:p>
            <w:pPr>
              <w:jc w:val="center"/>
              <w:rPr>
                <w:bCs/>
                <w:sz w:val="18"/>
                <w:szCs w:val="18"/>
              </w:rPr>
            </w:pPr>
            <w:r>
              <w:rPr>
                <w:bCs/>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355" w:type="dxa"/>
            <w:vAlign w:val="center"/>
          </w:tcPr>
          <w:p>
            <w:pPr>
              <w:jc w:val="center"/>
              <w:rPr>
                <w:bCs/>
                <w:sz w:val="18"/>
                <w:szCs w:val="18"/>
              </w:rPr>
            </w:pPr>
            <w:r>
              <w:rPr>
                <w:bCs/>
                <w:sz w:val="18"/>
                <w:szCs w:val="18"/>
              </w:rPr>
              <w:t>管理断面</w:t>
            </w:r>
          </w:p>
        </w:tc>
        <w:tc>
          <w:tcPr>
            <w:tcW w:w="1388" w:type="dxa"/>
            <w:shd w:val="clear" w:color="auto" w:fill="auto"/>
            <w:vAlign w:val="center"/>
          </w:tcPr>
          <w:p>
            <w:pPr>
              <w:widowControl/>
              <w:jc w:val="center"/>
              <w:rPr>
                <w:bCs/>
                <w:color w:val="000000"/>
                <w:kern w:val="0"/>
                <w:sz w:val="18"/>
                <w:szCs w:val="18"/>
              </w:rPr>
            </w:pPr>
            <w:r>
              <w:rPr>
                <w:bCs/>
                <w:color w:val="000000"/>
                <w:kern w:val="0"/>
                <w:sz w:val="18"/>
                <w:szCs w:val="18"/>
              </w:rPr>
              <w:t>叶集</w:t>
            </w:r>
          </w:p>
        </w:tc>
        <w:tc>
          <w:tcPr>
            <w:tcW w:w="2109" w:type="dxa"/>
            <w:vAlign w:val="center"/>
          </w:tcPr>
          <w:p>
            <w:pPr>
              <w:widowControl/>
              <w:jc w:val="center"/>
              <w:rPr>
                <w:bCs/>
                <w:color w:val="000000"/>
                <w:kern w:val="0"/>
                <w:sz w:val="18"/>
                <w:szCs w:val="18"/>
              </w:rPr>
            </w:pPr>
            <w:r>
              <w:rPr>
                <w:bCs/>
                <w:color w:val="000000"/>
                <w:kern w:val="0"/>
                <w:sz w:val="18"/>
                <w:szCs w:val="18"/>
              </w:rPr>
              <w:t>史灌河皖豫省界/水文站</w:t>
            </w:r>
          </w:p>
        </w:tc>
        <w:tc>
          <w:tcPr>
            <w:tcW w:w="1130" w:type="dxa"/>
            <w:vAlign w:val="center"/>
          </w:tcPr>
          <w:p>
            <w:pPr>
              <w:widowControl/>
              <w:jc w:val="center"/>
              <w:rPr>
                <w:bCs/>
                <w:color w:val="000000"/>
                <w:kern w:val="0"/>
                <w:sz w:val="18"/>
                <w:szCs w:val="18"/>
              </w:rPr>
            </w:pPr>
            <w:r>
              <w:rPr>
                <w:bCs/>
                <w:color w:val="000000"/>
                <w:kern w:val="0"/>
                <w:sz w:val="18"/>
                <w:szCs w:val="18"/>
              </w:rPr>
              <w:t>0.6</w:t>
            </w:r>
          </w:p>
        </w:tc>
        <w:tc>
          <w:tcPr>
            <w:tcW w:w="2484" w:type="dxa"/>
            <w:shd w:val="clear" w:color="auto" w:fill="auto"/>
            <w:vAlign w:val="center"/>
          </w:tcPr>
          <w:p>
            <w:pPr>
              <w:widowControl/>
              <w:jc w:val="center"/>
              <w:rPr>
                <w:bCs/>
                <w:color w:val="000000"/>
                <w:kern w:val="0"/>
                <w:sz w:val="18"/>
                <w:szCs w:val="18"/>
              </w:rPr>
            </w:pPr>
            <w:r>
              <w:rPr>
                <w:bCs/>
                <w:color w:val="000000"/>
                <w:kern w:val="0"/>
                <w:sz w:val="18"/>
                <w:szCs w:val="18"/>
              </w:rPr>
              <w:t>史灌河流域水量分配方案</w:t>
            </w:r>
          </w:p>
        </w:tc>
      </w:tr>
      <w:bookmarkEnd w:id="480"/>
    </w:tbl>
    <w:p>
      <w:pPr>
        <w:pStyle w:val="4"/>
        <w:spacing w:before="120" w:beforeLines="50" w:after="120" w:afterLines="50"/>
        <w:rPr>
          <w:sz w:val="28"/>
        </w:rPr>
      </w:pPr>
      <w:bookmarkStart w:id="481" w:name="_Toc95382539"/>
      <w:bookmarkStart w:id="482" w:name="_Hlk9973579"/>
      <w:r>
        <w:rPr>
          <w:rFonts w:hint="eastAsia"/>
          <w:sz w:val="28"/>
        </w:rPr>
        <w:t>二、淠河生态流量管控</w:t>
      </w:r>
      <w:bookmarkEnd w:id="481"/>
    </w:p>
    <w:p>
      <w:pPr>
        <w:autoSpaceDE w:val="0"/>
        <w:autoSpaceDN w:val="0"/>
        <w:adjustRightInd w:val="0"/>
        <w:spacing w:line="360" w:lineRule="auto"/>
        <w:ind w:firstLine="482" w:firstLineChars="200"/>
        <w:rPr>
          <w:b/>
          <w:bCs/>
          <w:kern w:val="1"/>
          <w:sz w:val="24"/>
          <w:szCs w:val="24"/>
        </w:rPr>
      </w:pPr>
      <w:r>
        <w:rPr>
          <w:rFonts w:hint="eastAsia"/>
          <w:b/>
          <w:bCs/>
          <w:kern w:val="1"/>
          <w:sz w:val="24"/>
          <w:szCs w:val="24"/>
        </w:rPr>
        <w:t>（一）主要控制断面</w:t>
      </w:r>
    </w:p>
    <w:p>
      <w:pPr>
        <w:spacing w:line="360" w:lineRule="auto"/>
        <w:ind w:firstLine="480" w:firstLineChars="200"/>
        <w:rPr>
          <w:kern w:val="24"/>
          <w:sz w:val="24"/>
          <w:szCs w:val="24"/>
        </w:rPr>
      </w:pPr>
      <w:r>
        <w:rPr>
          <w:kern w:val="24"/>
          <w:sz w:val="24"/>
          <w:szCs w:val="24"/>
        </w:rPr>
        <w:t>根据淠河河道主要控制节点，结合现有及规划水文站点分布情况，确定佛子岭水库（坝下）、响洪甸水库下库（坝下）</w:t>
      </w:r>
      <w:r>
        <w:rPr>
          <w:rFonts w:hint="eastAsia"/>
          <w:kern w:val="24"/>
          <w:sz w:val="24"/>
          <w:szCs w:val="24"/>
        </w:rPr>
        <w:t>2</w:t>
      </w:r>
      <w:r>
        <w:rPr>
          <w:kern w:val="24"/>
          <w:sz w:val="24"/>
          <w:szCs w:val="24"/>
        </w:rPr>
        <w:t>个重要节点为生态流量控制断面。</w:t>
      </w:r>
    </w:p>
    <w:p>
      <w:pPr>
        <w:spacing w:line="360" w:lineRule="auto"/>
        <w:ind w:firstLine="480" w:firstLineChars="200"/>
        <w:rPr>
          <w:bCs/>
          <w:kern w:val="24"/>
          <w:sz w:val="24"/>
          <w:szCs w:val="24"/>
        </w:rPr>
      </w:pPr>
      <w:r>
        <w:rPr>
          <w:bCs/>
          <w:kern w:val="24"/>
          <w:sz w:val="24"/>
          <w:szCs w:val="24"/>
        </w:rPr>
        <w:t>1、佛子岭水库（坝下）</w:t>
      </w:r>
    </w:p>
    <w:p>
      <w:pPr>
        <w:spacing w:line="360" w:lineRule="auto"/>
        <w:ind w:firstLine="480" w:firstLineChars="200"/>
        <w:rPr>
          <w:bCs/>
          <w:kern w:val="24"/>
          <w:sz w:val="24"/>
          <w:szCs w:val="24"/>
        </w:rPr>
      </w:pPr>
      <w:r>
        <w:rPr>
          <w:bCs/>
          <w:kern w:val="24"/>
          <w:sz w:val="24"/>
          <w:szCs w:val="24"/>
        </w:rPr>
        <w:t>佛子岭水库（坝下）断面布设在霍山县佛子岭水库坝下970m，位于水文站基本水尺断面下游84m。佛子岭水文站测验河段比较顺直，顺直长度约200m，河床由砂石、卵石组成。测验断面内无漫滩、无回水、无水生植物。测流断面下游400m处有一急弯。</w:t>
      </w:r>
    </w:p>
    <w:p>
      <w:pPr>
        <w:spacing w:line="360" w:lineRule="auto"/>
        <w:ind w:firstLine="480" w:firstLineChars="200"/>
        <w:rPr>
          <w:bCs/>
          <w:kern w:val="24"/>
          <w:sz w:val="24"/>
          <w:szCs w:val="24"/>
        </w:rPr>
      </w:pPr>
      <w:r>
        <w:rPr>
          <w:bCs/>
          <w:kern w:val="24"/>
          <w:sz w:val="24"/>
          <w:szCs w:val="24"/>
        </w:rPr>
        <w:t>佛子岭水库泄流设备有发电钢管、泄洪洞和溢洪道，上述泄流设备下泄的全部流量均由佛子岭水文站测流断面控制。新电厂为小水电机组，全年基本保证持续运行，兼作生态流量放水孔。</w:t>
      </w:r>
    </w:p>
    <w:p>
      <w:pPr>
        <w:spacing w:line="360" w:lineRule="auto"/>
        <w:ind w:firstLine="480" w:firstLineChars="200"/>
        <w:rPr>
          <w:bCs/>
          <w:kern w:val="24"/>
          <w:sz w:val="24"/>
          <w:szCs w:val="24"/>
        </w:rPr>
      </w:pPr>
      <w:r>
        <w:rPr>
          <w:bCs/>
          <w:kern w:val="24"/>
          <w:sz w:val="24"/>
          <w:szCs w:val="24"/>
        </w:rPr>
        <w:t>2、响洪甸水库下库（坝下）</w:t>
      </w:r>
    </w:p>
    <w:p>
      <w:pPr>
        <w:spacing w:line="360" w:lineRule="auto"/>
        <w:ind w:firstLine="480" w:firstLineChars="200"/>
        <w:rPr>
          <w:bCs/>
          <w:kern w:val="24"/>
          <w:sz w:val="24"/>
          <w:szCs w:val="24"/>
        </w:rPr>
      </w:pPr>
      <w:r>
        <w:rPr>
          <w:bCs/>
          <w:kern w:val="24"/>
          <w:sz w:val="24"/>
          <w:szCs w:val="24"/>
        </w:rPr>
        <w:t>断面布设在金寨县响洪甸抽水蓄能水库坝下游600m处,测验河段顺直长度约为200m，河床由砂卵石组成，河道主槽在左岸，右岸滩地上长有草皮。断面较为稳定，洪水时稍有冲淤变化。</w:t>
      </w:r>
    </w:p>
    <w:p>
      <w:pPr>
        <w:spacing w:line="360" w:lineRule="auto"/>
        <w:ind w:firstLine="480" w:firstLineChars="200"/>
        <w:rPr>
          <w:bCs/>
          <w:kern w:val="24"/>
          <w:sz w:val="24"/>
          <w:szCs w:val="24"/>
        </w:rPr>
      </w:pPr>
      <w:r>
        <w:rPr>
          <w:bCs/>
          <w:kern w:val="24"/>
          <w:sz w:val="24"/>
          <w:szCs w:val="24"/>
        </w:rPr>
        <w:t>响洪甸抽水蓄能水库拦河坝为混凝土重力坝，由非溢流坝段、溢流坝段和放水孔等组成。发电厂房为小水电，全年基本保证持续运行，兼作生态流量放水孔。</w:t>
      </w:r>
    </w:p>
    <w:p>
      <w:pPr>
        <w:autoSpaceDE w:val="0"/>
        <w:autoSpaceDN w:val="0"/>
        <w:adjustRightInd w:val="0"/>
        <w:spacing w:line="360" w:lineRule="auto"/>
        <w:ind w:firstLine="482" w:firstLineChars="200"/>
        <w:rPr>
          <w:b/>
          <w:bCs/>
          <w:kern w:val="1"/>
          <w:sz w:val="24"/>
          <w:szCs w:val="24"/>
        </w:rPr>
      </w:pPr>
      <w:r>
        <w:rPr>
          <w:rFonts w:hint="eastAsia"/>
          <w:b/>
          <w:bCs/>
          <w:kern w:val="1"/>
          <w:sz w:val="24"/>
          <w:szCs w:val="24"/>
        </w:rPr>
        <w:t>（二）控制断面生态流量的确定</w:t>
      </w:r>
    </w:p>
    <w:p>
      <w:pPr>
        <w:spacing w:line="360" w:lineRule="auto"/>
        <w:ind w:firstLine="480" w:firstLineChars="200"/>
        <w:rPr>
          <w:sz w:val="24"/>
          <w:szCs w:val="24"/>
        </w:rPr>
      </w:pPr>
      <w:r>
        <w:rPr>
          <w:kern w:val="24"/>
          <w:sz w:val="24"/>
          <w:szCs w:val="24"/>
        </w:rPr>
        <w:t>通过蒙大拿法、</w:t>
      </w:r>
      <w:r>
        <w:rPr>
          <w:sz w:val="24"/>
          <w:szCs w:val="24"/>
        </w:rPr>
        <w:t>90%保证率最枯月平均流量法和湿周法三种计算成果综合比较，最终确定淠河3个控制节点断面的生态流量采用蒙大拿法。</w:t>
      </w:r>
    </w:p>
    <w:p>
      <w:pPr>
        <w:spacing w:line="360" w:lineRule="auto"/>
        <w:ind w:firstLine="480" w:firstLineChars="200"/>
        <w:rPr>
          <w:kern w:val="24"/>
          <w:sz w:val="24"/>
          <w:szCs w:val="24"/>
        </w:rPr>
      </w:pPr>
      <w:r>
        <w:rPr>
          <w:kern w:val="24"/>
          <w:sz w:val="24"/>
          <w:szCs w:val="24"/>
        </w:rPr>
        <w:t>根据淠河河道及水利工程运行调度现状和专家评审意见，最终确定采用非汛期多年平均流量的10%作为各监控断面的生态流量：即佛子岭水库（坝下）2.11 m</w:t>
      </w:r>
      <w:r>
        <w:rPr>
          <w:kern w:val="24"/>
          <w:sz w:val="24"/>
          <w:szCs w:val="24"/>
          <w:vertAlign w:val="superscript"/>
        </w:rPr>
        <w:t>3</w:t>
      </w:r>
      <w:r>
        <w:rPr>
          <w:kern w:val="24"/>
          <w:sz w:val="24"/>
          <w:szCs w:val="24"/>
        </w:rPr>
        <w:t>/s，响洪甸水库下库（坝下）1.46 m</w:t>
      </w:r>
      <w:r>
        <w:rPr>
          <w:kern w:val="24"/>
          <w:sz w:val="24"/>
          <w:szCs w:val="24"/>
          <w:vertAlign w:val="superscript"/>
        </w:rPr>
        <w:t>3</w:t>
      </w:r>
      <w:r>
        <w:rPr>
          <w:kern w:val="24"/>
          <w:sz w:val="24"/>
          <w:szCs w:val="24"/>
        </w:rPr>
        <w:t>/s。</w:t>
      </w:r>
    </w:p>
    <w:p>
      <w:pPr>
        <w:spacing w:line="360" w:lineRule="auto"/>
        <w:jc w:val="center"/>
        <w:rPr>
          <w:b/>
          <w:kern w:val="24"/>
          <w:sz w:val="24"/>
          <w:szCs w:val="24"/>
        </w:rPr>
      </w:pPr>
      <w:r>
        <w:rPr>
          <w:b/>
          <w:kern w:val="24"/>
          <w:sz w:val="24"/>
          <w:szCs w:val="24"/>
        </w:rPr>
        <w:t xml:space="preserve">表7.4.4  淠河生态流量蒙大拿法计算成果表     </w:t>
      </w:r>
      <w:r>
        <w:rPr>
          <w:kern w:val="24"/>
          <w:sz w:val="21"/>
          <w:szCs w:val="21"/>
        </w:rPr>
        <w:t>单位m</w:t>
      </w:r>
      <w:r>
        <w:rPr>
          <w:kern w:val="24"/>
          <w:sz w:val="21"/>
          <w:szCs w:val="21"/>
          <w:vertAlign w:val="superscript"/>
        </w:rPr>
        <w:t>3</w:t>
      </w:r>
      <w:r>
        <w:rPr>
          <w:kern w:val="24"/>
          <w:sz w:val="21"/>
          <w:szCs w:val="21"/>
        </w:rPr>
        <w:t>/s</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856"/>
        <w:gridCol w:w="1696"/>
        <w:gridCol w:w="1561"/>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restart"/>
            <w:vAlign w:val="center"/>
          </w:tcPr>
          <w:p>
            <w:pPr>
              <w:spacing w:line="240" w:lineRule="exact"/>
              <w:jc w:val="center"/>
              <w:rPr>
                <w:kern w:val="0"/>
              </w:rPr>
            </w:pPr>
            <w:r>
              <w:rPr>
                <w:kern w:val="0"/>
              </w:rPr>
              <w:t>序号</w:t>
            </w:r>
          </w:p>
        </w:tc>
        <w:tc>
          <w:tcPr>
            <w:tcW w:w="1674" w:type="pct"/>
            <w:vMerge w:val="restart"/>
            <w:vAlign w:val="center"/>
          </w:tcPr>
          <w:p>
            <w:pPr>
              <w:spacing w:line="240" w:lineRule="exact"/>
              <w:jc w:val="center"/>
              <w:rPr>
                <w:kern w:val="0"/>
              </w:rPr>
            </w:pPr>
            <w:r>
              <w:rPr>
                <w:kern w:val="0"/>
              </w:rPr>
              <w:t>断面名称</w:t>
            </w:r>
          </w:p>
        </w:tc>
        <w:tc>
          <w:tcPr>
            <w:tcW w:w="2844" w:type="pct"/>
            <w:gridSpan w:val="3"/>
            <w:vAlign w:val="center"/>
          </w:tcPr>
          <w:p>
            <w:pPr>
              <w:spacing w:line="240" w:lineRule="exact"/>
              <w:jc w:val="center"/>
              <w:rPr>
                <w:kern w:val="0"/>
              </w:rPr>
            </w:pPr>
            <w:r>
              <w:rPr>
                <w:kern w:val="0"/>
              </w:rPr>
              <w:t>多年平均流量的10%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continue"/>
            <w:vAlign w:val="center"/>
          </w:tcPr>
          <w:p>
            <w:pPr>
              <w:spacing w:line="240" w:lineRule="exact"/>
              <w:jc w:val="center"/>
              <w:rPr>
                <w:kern w:val="0"/>
              </w:rPr>
            </w:pPr>
          </w:p>
        </w:tc>
        <w:tc>
          <w:tcPr>
            <w:tcW w:w="1674" w:type="pct"/>
            <w:vMerge w:val="continue"/>
            <w:vAlign w:val="center"/>
          </w:tcPr>
          <w:p>
            <w:pPr>
              <w:spacing w:line="240" w:lineRule="exact"/>
              <w:jc w:val="center"/>
              <w:rPr>
                <w:kern w:val="0"/>
              </w:rPr>
            </w:pPr>
          </w:p>
        </w:tc>
        <w:tc>
          <w:tcPr>
            <w:tcW w:w="994" w:type="pct"/>
            <w:vAlign w:val="center"/>
          </w:tcPr>
          <w:p>
            <w:pPr>
              <w:spacing w:line="240" w:lineRule="exact"/>
              <w:jc w:val="center"/>
              <w:rPr>
                <w:kern w:val="0"/>
              </w:rPr>
            </w:pPr>
            <w:r>
              <w:rPr>
                <w:kern w:val="0"/>
              </w:rPr>
              <w:t>全年</w:t>
            </w:r>
          </w:p>
        </w:tc>
        <w:tc>
          <w:tcPr>
            <w:tcW w:w="915" w:type="pct"/>
            <w:vAlign w:val="center"/>
          </w:tcPr>
          <w:p>
            <w:pPr>
              <w:spacing w:line="240" w:lineRule="exact"/>
              <w:jc w:val="center"/>
              <w:rPr>
                <w:kern w:val="0"/>
              </w:rPr>
            </w:pPr>
            <w:r>
              <w:rPr>
                <w:kern w:val="0"/>
              </w:rPr>
              <w:t>汛期</w:t>
            </w:r>
          </w:p>
        </w:tc>
        <w:tc>
          <w:tcPr>
            <w:tcW w:w="935" w:type="pct"/>
            <w:vAlign w:val="center"/>
          </w:tcPr>
          <w:p>
            <w:pPr>
              <w:spacing w:line="240" w:lineRule="exact"/>
              <w:jc w:val="center"/>
              <w:rPr>
                <w:kern w:val="0"/>
              </w:rPr>
            </w:pPr>
            <w:r>
              <w:rPr>
                <w:kern w:val="0"/>
              </w:rPr>
              <w:t>非汛期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Align w:val="center"/>
          </w:tcPr>
          <w:p>
            <w:pPr>
              <w:spacing w:line="240" w:lineRule="exact"/>
              <w:jc w:val="center"/>
              <w:rPr>
                <w:kern w:val="0"/>
              </w:rPr>
            </w:pPr>
            <w:r>
              <w:rPr>
                <w:kern w:val="0"/>
              </w:rPr>
              <w:t>1</w:t>
            </w:r>
          </w:p>
        </w:tc>
        <w:tc>
          <w:tcPr>
            <w:tcW w:w="1674" w:type="pct"/>
            <w:vAlign w:val="center"/>
          </w:tcPr>
          <w:p>
            <w:pPr>
              <w:spacing w:line="240" w:lineRule="exact"/>
              <w:jc w:val="center"/>
              <w:rPr>
                <w:kern w:val="0"/>
              </w:rPr>
            </w:pPr>
            <w:r>
              <w:rPr>
                <w:kern w:val="0"/>
              </w:rPr>
              <w:t>佛子岭水库（坝下）</w:t>
            </w:r>
          </w:p>
        </w:tc>
        <w:tc>
          <w:tcPr>
            <w:tcW w:w="994" w:type="pct"/>
            <w:vAlign w:val="center"/>
          </w:tcPr>
          <w:p>
            <w:pPr>
              <w:spacing w:line="240" w:lineRule="exact"/>
              <w:jc w:val="center"/>
              <w:rPr>
                <w:kern w:val="0"/>
              </w:rPr>
            </w:pPr>
            <w:r>
              <w:rPr>
                <w:kern w:val="0"/>
              </w:rPr>
              <w:t>4.68</w:t>
            </w:r>
          </w:p>
        </w:tc>
        <w:tc>
          <w:tcPr>
            <w:tcW w:w="915" w:type="pct"/>
            <w:vAlign w:val="center"/>
          </w:tcPr>
          <w:p>
            <w:pPr>
              <w:spacing w:line="240" w:lineRule="exact"/>
              <w:jc w:val="center"/>
              <w:rPr>
                <w:kern w:val="0"/>
              </w:rPr>
            </w:pPr>
            <w:r>
              <w:rPr>
                <w:kern w:val="0"/>
              </w:rPr>
              <w:t>8.24</w:t>
            </w:r>
          </w:p>
        </w:tc>
        <w:tc>
          <w:tcPr>
            <w:tcW w:w="935" w:type="pct"/>
            <w:vAlign w:val="center"/>
          </w:tcPr>
          <w:p>
            <w:pPr>
              <w:spacing w:line="240" w:lineRule="exact"/>
              <w:jc w:val="center"/>
              <w:rPr>
                <w:kern w:val="0"/>
              </w:rPr>
            </w:pPr>
            <w:r>
              <w:rPr>
                <w:kern w:val="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Align w:val="center"/>
          </w:tcPr>
          <w:p>
            <w:pPr>
              <w:spacing w:line="240" w:lineRule="exact"/>
              <w:jc w:val="center"/>
              <w:rPr>
                <w:kern w:val="0"/>
              </w:rPr>
            </w:pPr>
            <w:r>
              <w:rPr>
                <w:kern w:val="0"/>
              </w:rPr>
              <w:t>2</w:t>
            </w:r>
          </w:p>
        </w:tc>
        <w:tc>
          <w:tcPr>
            <w:tcW w:w="1674" w:type="pct"/>
            <w:vAlign w:val="center"/>
          </w:tcPr>
          <w:p>
            <w:pPr>
              <w:spacing w:line="240" w:lineRule="exact"/>
              <w:jc w:val="center"/>
              <w:rPr>
                <w:kern w:val="0"/>
              </w:rPr>
            </w:pPr>
            <w:r>
              <w:rPr>
                <w:kern w:val="0"/>
              </w:rPr>
              <w:t>响洪甸水库下库（坝下）</w:t>
            </w:r>
          </w:p>
        </w:tc>
        <w:tc>
          <w:tcPr>
            <w:tcW w:w="994" w:type="pct"/>
            <w:vAlign w:val="center"/>
          </w:tcPr>
          <w:p>
            <w:pPr>
              <w:spacing w:line="240" w:lineRule="exact"/>
              <w:jc w:val="center"/>
              <w:rPr>
                <w:kern w:val="0"/>
              </w:rPr>
            </w:pPr>
            <w:r>
              <w:rPr>
                <w:kern w:val="0"/>
              </w:rPr>
              <w:t>3.48</w:t>
            </w:r>
          </w:p>
        </w:tc>
        <w:tc>
          <w:tcPr>
            <w:tcW w:w="915" w:type="pct"/>
            <w:vAlign w:val="center"/>
          </w:tcPr>
          <w:p>
            <w:pPr>
              <w:spacing w:line="240" w:lineRule="exact"/>
              <w:jc w:val="center"/>
              <w:rPr>
                <w:kern w:val="0"/>
              </w:rPr>
            </w:pPr>
            <w:r>
              <w:rPr>
                <w:kern w:val="0"/>
              </w:rPr>
              <w:t>6.29</w:t>
            </w:r>
          </w:p>
        </w:tc>
        <w:tc>
          <w:tcPr>
            <w:tcW w:w="935" w:type="pct"/>
            <w:vAlign w:val="center"/>
          </w:tcPr>
          <w:p>
            <w:pPr>
              <w:spacing w:line="240" w:lineRule="exact"/>
              <w:jc w:val="center"/>
              <w:rPr>
                <w:kern w:val="0"/>
              </w:rPr>
            </w:pPr>
            <w:r>
              <w:rPr>
                <w:kern w:val="0"/>
              </w:rPr>
              <w:t>1.46</w:t>
            </w:r>
          </w:p>
        </w:tc>
      </w:tr>
    </w:tbl>
    <w:p>
      <w:pPr>
        <w:spacing w:line="360" w:lineRule="auto"/>
        <w:rPr>
          <w:rFonts w:ascii="宋体" w:hAnsi="宋体"/>
          <w:kern w:val="24"/>
          <w:sz w:val="24"/>
          <w:szCs w:val="24"/>
        </w:rPr>
      </w:pPr>
    </w:p>
    <w:bookmarkEnd w:id="482"/>
    <w:p>
      <w:pPr>
        <w:pStyle w:val="4"/>
        <w:spacing w:before="120" w:beforeLines="50" w:after="120" w:afterLines="50"/>
        <w:ind w:firstLine="281" w:firstLineChars="100"/>
        <w:rPr>
          <w:sz w:val="28"/>
        </w:rPr>
      </w:pPr>
      <w:bookmarkStart w:id="483" w:name="_Toc18557"/>
      <w:bookmarkStart w:id="484" w:name="_Toc803"/>
      <w:bookmarkStart w:id="485" w:name="_Toc4830"/>
      <w:bookmarkStart w:id="486" w:name="_Toc7359"/>
      <w:bookmarkStart w:id="487" w:name="_Toc95382540"/>
      <w:r>
        <w:rPr>
          <w:rFonts w:hint="eastAsia"/>
          <w:sz w:val="28"/>
        </w:rPr>
        <w:t>三、杭埠河生态流量管控</w:t>
      </w:r>
      <w:bookmarkEnd w:id="483"/>
      <w:bookmarkEnd w:id="484"/>
      <w:bookmarkEnd w:id="485"/>
      <w:bookmarkEnd w:id="486"/>
      <w:bookmarkEnd w:id="487"/>
    </w:p>
    <w:p>
      <w:pPr>
        <w:autoSpaceDE w:val="0"/>
        <w:autoSpaceDN w:val="0"/>
        <w:adjustRightInd w:val="0"/>
        <w:spacing w:line="360" w:lineRule="auto"/>
        <w:ind w:firstLine="482" w:firstLineChars="200"/>
        <w:rPr>
          <w:b/>
          <w:bCs/>
          <w:kern w:val="1"/>
          <w:sz w:val="24"/>
          <w:szCs w:val="24"/>
        </w:rPr>
      </w:pPr>
      <w:bookmarkStart w:id="488" w:name="_Toc17143480"/>
      <w:bookmarkStart w:id="489" w:name="_Toc12288883"/>
      <w:bookmarkStart w:id="490" w:name="_Toc12288882"/>
      <w:r>
        <w:rPr>
          <w:rFonts w:hint="eastAsia"/>
          <w:b/>
          <w:bCs/>
          <w:kern w:val="1"/>
          <w:sz w:val="24"/>
          <w:szCs w:val="24"/>
        </w:rPr>
        <w:t>（一）主要控制断面</w:t>
      </w:r>
      <w:bookmarkEnd w:id="488"/>
      <w:bookmarkEnd w:id="489"/>
    </w:p>
    <w:p>
      <w:pPr>
        <w:spacing w:line="360" w:lineRule="auto"/>
        <w:ind w:firstLine="480" w:firstLineChars="200"/>
        <w:rPr>
          <w:kern w:val="24"/>
          <w:sz w:val="24"/>
          <w:szCs w:val="24"/>
        </w:rPr>
      </w:pPr>
      <w:r>
        <w:rPr>
          <w:rFonts w:hint="eastAsia"/>
          <w:kern w:val="24"/>
          <w:sz w:val="24"/>
          <w:szCs w:val="24"/>
        </w:rPr>
        <w:t>杭埠河生态流量主要控制断面为舒城水文站断面。</w:t>
      </w:r>
    </w:p>
    <w:p>
      <w:pPr>
        <w:spacing w:line="360" w:lineRule="auto"/>
        <w:ind w:firstLine="480" w:firstLineChars="200"/>
        <w:rPr>
          <w:kern w:val="24"/>
          <w:sz w:val="24"/>
          <w:szCs w:val="24"/>
        </w:rPr>
      </w:pPr>
      <w:r>
        <w:rPr>
          <w:kern w:val="24"/>
          <w:sz w:val="24"/>
          <w:szCs w:val="24"/>
        </w:rPr>
        <w:t>舒城水文站断面布设在舒城县马河口大桥处，为中小河流水文站舒城站流量测验断面。舒城站位于六安市舒城县南港镇石桥村，东经116°56′40″、北纬31°25′08″，为杭埠河防汛应急监测而设立，距河口24.3km，控制断面以上集水面积</w:t>
      </w:r>
      <w:r>
        <w:rPr>
          <w:sz w:val="24"/>
          <w:szCs w:val="24"/>
        </w:rPr>
        <w:t>1488</w:t>
      </w:r>
      <w:r>
        <w:rPr>
          <w:kern w:val="24"/>
          <w:sz w:val="24"/>
          <w:szCs w:val="24"/>
        </w:rPr>
        <w:t>km</w:t>
      </w:r>
      <w:r>
        <w:rPr>
          <w:kern w:val="24"/>
          <w:sz w:val="24"/>
          <w:szCs w:val="24"/>
          <w:vertAlign w:val="superscript"/>
        </w:rPr>
        <w:t>2</w:t>
      </w:r>
      <w:r>
        <w:rPr>
          <w:kern w:val="24"/>
          <w:sz w:val="24"/>
          <w:szCs w:val="24"/>
        </w:rPr>
        <w:t>，其来水受上游龙河口水库泄水和区域汇水的影响，常年有水流动。测验河段顺直，无明显冲淤现象，河槽宽200m，两岸有堤防，河段两侧土质边坡，左岸边坡较陡。下游170m处有溢流坝一座。</w:t>
      </w:r>
    </w:p>
    <w:p>
      <w:pPr>
        <w:autoSpaceDE w:val="0"/>
        <w:autoSpaceDN w:val="0"/>
        <w:adjustRightInd w:val="0"/>
        <w:spacing w:line="360" w:lineRule="auto"/>
        <w:ind w:firstLine="482" w:firstLineChars="200"/>
        <w:rPr>
          <w:b/>
          <w:bCs/>
          <w:kern w:val="1"/>
          <w:sz w:val="24"/>
          <w:szCs w:val="24"/>
        </w:rPr>
      </w:pPr>
      <w:bookmarkStart w:id="491" w:name="_bookmark36"/>
      <w:bookmarkEnd w:id="491"/>
      <w:bookmarkStart w:id="492" w:name="_Toc17143481"/>
      <w:r>
        <w:rPr>
          <w:rFonts w:hint="eastAsia"/>
          <w:b/>
          <w:bCs/>
          <w:kern w:val="1"/>
          <w:sz w:val="24"/>
          <w:szCs w:val="24"/>
        </w:rPr>
        <w:t>（二）控制断面生态流量的确定</w:t>
      </w:r>
      <w:bookmarkEnd w:id="492"/>
    </w:p>
    <w:p>
      <w:pPr>
        <w:spacing w:line="360" w:lineRule="auto"/>
        <w:ind w:firstLine="480" w:firstLineChars="200"/>
        <w:rPr>
          <w:sz w:val="24"/>
          <w:szCs w:val="24"/>
        </w:rPr>
      </w:pPr>
      <w:r>
        <w:rPr>
          <w:sz w:val="24"/>
          <w:szCs w:val="24"/>
        </w:rPr>
        <w:t>本次生态流量主要依据实测流量计算，按天然径流量来控制现阶段难以实施。</w:t>
      </w:r>
    </w:p>
    <w:p>
      <w:pPr>
        <w:spacing w:line="360" w:lineRule="auto"/>
        <w:ind w:firstLine="480" w:firstLineChars="200"/>
        <w:rPr>
          <w:sz w:val="24"/>
          <w:szCs w:val="24"/>
        </w:rPr>
      </w:pPr>
      <w:r>
        <w:rPr>
          <w:sz w:val="24"/>
          <w:szCs w:val="24"/>
        </w:rPr>
        <w:t>根据安徽省水利水电勘测设计院分析成果，杭埠河生态基流计算方法采用Q90法，并按多年平均径流量的比例进行复核，取其外包作为生态基流。汛期、非汛期采用Tennant法，汛期采用径流量25%，非汛期采用10%，并用生态基流折合成的水量，复核取外包，汛期为5-9月，其他为非汛期。</w:t>
      </w:r>
    </w:p>
    <w:p>
      <w:pPr>
        <w:spacing w:line="360" w:lineRule="auto"/>
        <w:ind w:firstLine="480" w:firstLineChars="200"/>
        <w:rPr>
          <w:sz w:val="24"/>
          <w:szCs w:val="24"/>
        </w:rPr>
      </w:pPr>
      <w:r>
        <w:rPr>
          <w:sz w:val="24"/>
          <w:szCs w:val="24"/>
        </w:rPr>
        <w:t>经计算舒城水文站（马河口）生态基流量为1.51m</w:t>
      </w:r>
      <w:r>
        <w:rPr>
          <w:sz w:val="24"/>
          <w:szCs w:val="24"/>
          <w:vertAlign w:val="superscript"/>
        </w:rPr>
        <w:t>3</w:t>
      </w:r>
      <w:r>
        <w:rPr>
          <w:sz w:val="24"/>
          <w:szCs w:val="24"/>
        </w:rPr>
        <w:t>/s。</w:t>
      </w:r>
    </w:p>
    <w:bookmarkEnd w:id="490"/>
    <w:p>
      <w:pPr>
        <w:keepNext/>
        <w:keepLines/>
        <w:adjustRightInd w:val="0"/>
        <w:snapToGrid w:val="0"/>
        <w:spacing w:before="240" w:beforeLines="100" w:after="240" w:afterLines="100" w:line="360" w:lineRule="auto"/>
        <w:jc w:val="center"/>
        <w:outlineLvl w:val="1"/>
        <w:rPr>
          <w:b/>
          <w:bCs/>
          <w:color w:val="00B050"/>
          <w:sz w:val="32"/>
          <w:szCs w:val="36"/>
        </w:rPr>
      </w:pPr>
      <w:bookmarkStart w:id="493" w:name="_bookmark33"/>
      <w:bookmarkEnd w:id="493"/>
      <w:bookmarkStart w:id="494" w:name="_bookmark22"/>
      <w:bookmarkEnd w:id="494"/>
      <w:bookmarkStart w:id="495" w:name="_Toc15146"/>
      <w:bookmarkStart w:id="496" w:name="_Toc15935"/>
      <w:bookmarkStart w:id="497" w:name="_Toc13180"/>
      <w:bookmarkStart w:id="498" w:name="_Toc31576"/>
      <w:bookmarkStart w:id="499" w:name="_Toc24722"/>
      <w:bookmarkStart w:id="500" w:name="_Toc11384"/>
      <w:bookmarkStart w:id="501" w:name="_Toc11793"/>
      <w:bookmarkStart w:id="502" w:name="_Toc95382541"/>
      <w:r>
        <w:rPr>
          <w:rFonts w:hint="eastAsia"/>
          <w:b/>
          <w:bCs/>
          <w:sz w:val="32"/>
          <w:szCs w:val="36"/>
        </w:rPr>
        <w:t>第五节</w:t>
      </w:r>
      <w:r>
        <w:rPr>
          <w:b/>
          <w:bCs/>
          <w:sz w:val="32"/>
          <w:szCs w:val="36"/>
        </w:rPr>
        <w:t xml:space="preserve"> </w:t>
      </w:r>
      <w:r>
        <w:rPr>
          <w:rFonts w:hint="eastAsia"/>
          <w:b/>
          <w:bCs/>
          <w:sz w:val="32"/>
          <w:szCs w:val="36"/>
        </w:rPr>
        <w:t>水生态环境修复</w:t>
      </w:r>
      <w:bookmarkEnd w:id="495"/>
      <w:bookmarkEnd w:id="496"/>
      <w:bookmarkEnd w:id="497"/>
      <w:bookmarkEnd w:id="498"/>
      <w:bookmarkEnd w:id="499"/>
      <w:bookmarkEnd w:id="500"/>
      <w:bookmarkEnd w:id="501"/>
      <w:r>
        <w:rPr>
          <w:rFonts w:hint="eastAsia"/>
          <w:b/>
          <w:bCs/>
          <w:sz w:val="32"/>
          <w:szCs w:val="36"/>
        </w:rPr>
        <w:t>重点工程</w:t>
      </w:r>
      <w:bookmarkEnd w:id="502"/>
    </w:p>
    <w:p>
      <w:pPr>
        <w:spacing w:line="360" w:lineRule="auto"/>
        <w:ind w:firstLine="480" w:firstLineChars="200"/>
        <w:rPr>
          <w:sz w:val="24"/>
          <w:szCs w:val="24"/>
        </w:rPr>
      </w:pPr>
      <w:r>
        <w:rPr>
          <w:rFonts w:hint="eastAsia"/>
          <w:sz w:val="24"/>
          <w:szCs w:val="24"/>
        </w:rPr>
        <w:t>坚持综合施策、协同推进，针对河湖“四水”突出问题，加大河湖修复保护和综合治理，保护河湖结构与功能，构建河湖生态廊道。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p>
      <w:pPr>
        <w:spacing w:line="360" w:lineRule="auto"/>
        <w:ind w:firstLine="482" w:firstLineChars="200"/>
        <w:rPr>
          <w:b/>
          <w:bCs/>
          <w:sz w:val="24"/>
          <w:szCs w:val="24"/>
        </w:rPr>
      </w:pPr>
      <w:r>
        <w:rPr>
          <w:rFonts w:hint="eastAsia"/>
          <w:b/>
          <w:bCs/>
          <w:sz w:val="24"/>
          <w:szCs w:val="24"/>
        </w:rPr>
        <w:t>一、巢湖流域水生态修复与治理工程</w:t>
      </w:r>
    </w:p>
    <w:p>
      <w:pPr>
        <w:spacing w:line="360" w:lineRule="auto"/>
        <w:ind w:firstLine="480" w:firstLineChars="200"/>
        <w:rPr>
          <w:sz w:val="24"/>
          <w:szCs w:val="24"/>
        </w:rPr>
      </w:pPr>
      <w:r>
        <w:rPr>
          <w:rFonts w:hint="eastAsia"/>
          <w:sz w:val="24"/>
          <w:szCs w:val="24"/>
        </w:rPr>
        <w:t>构建防洪保安、水资源调配、污染防治、生态保护、流域管控、能力建设等六大工程体系，着力推进巢湖流域生态环境治理保护与修复。</w:t>
      </w:r>
    </w:p>
    <w:p>
      <w:pPr>
        <w:spacing w:line="360" w:lineRule="auto"/>
        <w:ind w:firstLine="482" w:firstLineChars="200"/>
        <w:rPr>
          <w:b/>
          <w:bCs/>
          <w:sz w:val="24"/>
          <w:szCs w:val="24"/>
        </w:rPr>
      </w:pPr>
      <w:r>
        <w:rPr>
          <w:rFonts w:hint="eastAsia"/>
          <w:b/>
          <w:bCs/>
          <w:sz w:val="24"/>
          <w:szCs w:val="24"/>
        </w:rPr>
        <w:t>二、大别山六安水网建设工程</w:t>
      </w:r>
    </w:p>
    <w:p>
      <w:pPr>
        <w:spacing w:line="360" w:lineRule="auto"/>
        <w:ind w:firstLine="480" w:firstLineChars="200"/>
        <w:rPr>
          <w:sz w:val="24"/>
          <w:szCs w:val="24"/>
        </w:rPr>
      </w:pPr>
      <w:r>
        <w:rPr>
          <w:rFonts w:hint="eastAsia"/>
          <w:sz w:val="24"/>
          <w:szCs w:val="24"/>
        </w:rPr>
        <w:t>主要工程内容包括淠史杭水系河湖库渠连通工程、清水廊道保护工程、生态水源调度工程、水生态修复工程、优质水源引水工程等。</w:t>
      </w:r>
    </w:p>
    <w:p>
      <w:pPr>
        <w:spacing w:line="360" w:lineRule="auto"/>
        <w:ind w:firstLine="482" w:firstLineChars="200"/>
        <w:rPr>
          <w:b/>
          <w:bCs/>
          <w:sz w:val="24"/>
          <w:szCs w:val="24"/>
        </w:rPr>
      </w:pPr>
      <w:r>
        <w:rPr>
          <w:rFonts w:hint="eastAsia"/>
          <w:b/>
          <w:bCs/>
          <w:sz w:val="24"/>
          <w:szCs w:val="24"/>
        </w:rPr>
        <w:t>三、六安市淠河城南段水环境综合治理工程</w:t>
      </w:r>
    </w:p>
    <w:p>
      <w:pPr>
        <w:spacing w:line="360" w:lineRule="auto"/>
        <w:ind w:firstLine="480" w:firstLineChars="200"/>
        <w:rPr>
          <w:sz w:val="24"/>
          <w:szCs w:val="24"/>
        </w:rPr>
      </w:pPr>
      <w:r>
        <w:rPr>
          <w:rFonts w:hint="eastAsia"/>
          <w:sz w:val="24"/>
          <w:szCs w:val="24"/>
        </w:rPr>
        <w:t>六安市淠河城南段水环境综合治理项目位于裕安区，分为城南枢纽工程和回水段综合治理。城南枢纽工程建设标准为Ⅲ等中型水利工程，设计防洪标准为50年一遇，设计行洪流量6940m</w:t>
      </w:r>
      <w:r>
        <w:rPr>
          <w:rFonts w:hint="eastAsia"/>
          <w:sz w:val="24"/>
          <w:szCs w:val="24"/>
          <w:vertAlign w:val="superscript"/>
        </w:rPr>
        <w:t>3</w:t>
      </w:r>
      <w:r>
        <w:rPr>
          <w:rFonts w:hint="eastAsia"/>
          <w:sz w:val="24"/>
          <w:szCs w:val="24"/>
        </w:rPr>
        <w:t>/s，工程规划正常蓄水位39.0m，库容约3300万m</w:t>
      </w:r>
      <w:r>
        <w:rPr>
          <w:rFonts w:hint="eastAsia"/>
          <w:sz w:val="24"/>
          <w:szCs w:val="24"/>
          <w:vertAlign w:val="superscript"/>
        </w:rPr>
        <w:t>3</w:t>
      </w:r>
      <w:r>
        <w:rPr>
          <w:rFonts w:hint="eastAsia"/>
          <w:sz w:val="24"/>
          <w:szCs w:val="24"/>
        </w:rPr>
        <w:t>。主要建设内容为节制闸闸室、岸翼墙、左右岸导流堤、交通桥及上下游引河两岸防护和绿化等。回水段综合治理主要建设内容为滩岸生态修复工程、水环境治理工程及配套工程。包括滩岸整治、滨岸带植被修复、支流岸坡整治、支流水环境治理，建设右岸防汛道路，配套排水涵洞、信息化工程及管理设施。</w:t>
      </w:r>
    </w:p>
    <w:p>
      <w:pPr>
        <w:spacing w:line="360" w:lineRule="auto"/>
        <w:ind w:firstLine="482" w:firstLineChars="200"/>
        <w:rPr>
          <w:b/>
          <w:bCs/>
          <w:sz w:val="24"/>
          <w:szCs w:val="24"/>
        </w:rPr>
      </w:pPr>
      <w:r>
        <w:rPr>
          <w:rFonts w:hint="eastAsia"/>
          <w:b/>
          <w:bCs/>
          <w:sz w:val="24"/>
          <w:szCs w:val="24"/>
        </w:rPr>
        <w:t>四、霍山县东淠河上游水系综合治理工程</w:t>
      </w:r>
    </w:p>
    <w:p>
      <w:pPr>
        <w:spacing w:line="360" w:lineRule="auto"/>
        <w:ind w:firstLine="480" w:firstLineChars="200"/>
        <w:rPr>
          <w:sz w:val="24"/>
          <w:szCs w:val="24"/>
        </w:rPr>
      </w:pPr>
      <w:r>
        <w:rPr>
          <w:rFonts w:hint="eastAsia"/>
          <w:sz w:val="24"/>
          <w:szCs w:val="24"/>
        </w:rPr>
        <w:t>主要工程措施包括：水系连通，河道清障，清淤疏浚，岸坡整治，水源涵养与水土保持，河湖管护等。</w:t>
      </w:r>
    </w:p>
    <w:p>
      <w:pPr>
        <w:spacing w:line="360" w:lineRule="auto"/>
        <w:ind w:firstLine="480" w:firstLineChars="200"/>
        <w:rPr>
          <w:sz w:val="24"/>
          <w:szCs w:val="24"/>
        </w:rPr>
      </w:pPr>
    </w:p>
    <w:p>
      <w:pPr>
        <w:spacing w:line="360" w:lineRule="auto"/>
        <w:ind w:firstLine="482" w:firstLineChars="200"/>
        <w:rPr>
          <w:b/>
          <w:bCs/>
          <w:sz w:val="24"/>
          <w:szCs w:val="24"/>
        </w:rPr>
      </w:pPr>
      <w:r>
        <w:rPr>
          <w:rFonts w:hint="eastAsia"/>
          <w:b/>
          <w:bCs/>
          <w:sz w:val="24"/>
          <w:szCs w:val="24"/>
        </w:rPr>
        <w:t>五、金安区水系综合治理工程</w:t>
      </w:r>
    </w:p>
    <w:p>
      <w:pPr>
        <w:spacing w:line="360" w:lineRule="auto"/>
        <w:ind w:firstLine="480" w:firstLineChars="200"/>
        <w:rPr>
          <w:sz w:val="24"/>
          <w:szCs w:val="24"/>
        </w:rPr>
      </w:pPr>
      <w:r>
        <w:rPr>
          <w:rFonts w:hint="eastAsia"/>
          <w:sz w:val="24"/>
          <w:szCs w:val="24"/>
        </w:rPr>
        <w:t>主要工程措施包括：新建小水库、河道治理、岸坡整治、水系联通、水环境治理改造等。</w:t>
      </w:r>
    </w:p>
    <w:p>
      <w:pPr>
        <w:spacing w:line="360" w:lineRule="auto"/>
        <w:ind w:firstLine="482" w:firstLineChars="200"/>
        <w:rPr>
          <w:b/>
          <w:bCs/>
          <w:sz w:val="24"/>
          <w:szCs w:val="24"/>
        </w:rPr>
      </w:pPr>
      <w:r>
        <w:rPr>
          <w:rFonts w:hint="eastAsia"/>
          <w:b/>
          <w:bCs/>
          <w:sz w:val="24"/>
          <w:szCs w:val="24"/>
        </w:rPr>
        <w:t>六、东淠河、柳林河、幽芳河、高庙河与城区南北城河、淠源渠水系连通项目</w:t>
      </w:r>
    </w:p>
    <w:p>
      <w:pPr>
        <w:spacing w:line="360" w:lineRule="auto"/>
        <w:ind w:firstLine="480" w:firstLineChars="200"/>
        <w:rPr>
          <w:sz w:val="24"/>
          <w:szCs w:val="24"/>
        </w:rPr>
      </w:pPr>
      <w:r>
        <w:rPr>
          <w:rFonts w:hint="eastAsia"/>
          <w:sz w:val="24"/>
          <w:szCs w:val="24"/>
        </w:rPr>
        <w:t>主要工程措施包括：渠道整治、河道治理、渠系配套建筑物、其它水利配套工程等。</w:t>
      </w:r>
    </w:p>
    <w:p>
      <w:pPr>
        <w:spacing w:line="360" w:lineRule="auto"/>
        <w:ind w:firstLine="482" w:firstLineChars="200"/>
        <w:rPr>
          <w:b/>
          <w:bCs/>
          <w:sz w:val="24"/>
          <w:szCs w:val="24"/>
        </w:rPr>
      </w:pPr>
      <w:r>
        <w:rPr>
          <w:rFonts w:hint="eastAsia"/>
          <w:b/>
          <w:bCs/>
          <w:sz w:val="24"/>
          <w:szCs w:val="24"/>
        </w:rPr>
        <w:t>七、史淠河水系连通及水生态环境修复与保护工程</w:t>
      </w:r>
    </w:p>
    <w:p>
      <w:pPr>
        <w:spacing w:line="360" w:lineRule="auto"/>
        <w:ind w:firstLine="480" w:firstLineChars="200"/>
        <w:rPr>
          <w:sz w:val="24"/>
          <w:szCs w:val="24"/>
        </w:rPr>
      </w:pPr>
      <w:r>
        <w:rPr>
          <w:rFonts w:hint="eastAsia"/>
          <w:sz w:val="24"/>
          <w:szCs w:val="24"/>
        </w:rPr>
        <w:t>主要工程措施包括：在不改变响洪甸、梅山水库现有防洪和灌溉格局的前提下，将响洪甸水库水引至洪家河上游汪冲桥处，开挖一条长8.2km的引水隧洞（不含支洞1.74km）。</w:t>
      </w:r>
    </w:p>
    <w:p>
      <w:pPr>
        <w:spacing w:line="360" w:lineRule="auto"/>
        <w:ind w:firstLine="482" w:firstLineChars="200"/>
        <w:rPr>
          <w:b/>
          <w:bCs/>
          <w:sz w:val="24"/>
          <w:szCs w:val="24"/>
        </w:rPr>
      </w:pPr>
      <w:r>
        <w:rPr>
          <w:rFonts w:hint="eastAsia"/>
          <w:b/>
          <w:bCs/>
          <w:sz w:val="24"/>
          <w:szCs w:val="24"/>
        </w:rPr>
        <w:t>八、金寨县史洪河（史河、洪家河）水系连通及生态长廊</w:t>
      </w:r>
    </w:p>
    <w:p>
      <w:pPr>
        <w:spacing w:line="360" w:lineRule="auto"/>
        <w:ind w:firstLine="480" w:firstLineChars="200"/>
        <w:rPr>
          <w:sz w:val="24"/>
          <w:szCs w:val="24"/>
        </w:rPr>
      </w:pPr>
      <w:r>
        <w:rPr>
          <w:rFonts w:hint="eastAsia"/>
          <w:sz w:val="24"/>
          <w:szCs w:val="24"/>
        </w:rPr>
        <w:t>史河新建长征橡胶坝一座，长300m，造老城区生态景观；连通史河、洪家河水系，新建明渠1.4km，隧道长1.3m，孔径5.5m，新城区实施生态补水，明渠及隧洞两侧设步道等。</w:t>
      </w:r>
    </w:p>
    <w:p>
      <w:pPr>
        <w:spacing w:line="360" w:lineRule="auto"/>
        <w:ind w:firstLine="482" w:firstLineChars="200"/>
        <w:rPr>
          <w:b/>
          <w:bCs/>
          <w:sz w:val="24"/>
          <w:szCs w:val="24"/>
        </w:rPr>
      </w:pPr>
      <w:r>
        <w:rPr>
          <w:rFonts w:hint="eastAsia"/>
          <w:b/>
          <w:bCs/>
          <w:sz w:val="24"/>
          <w:szCs w:val="24"/>
        </w:rPr>
        <w:t>九、叶集区沿岗河下游生态湿地建设项目</w:t>
      </w:r>
    </w:p>
    <w:p>
      <w:pPr>
        <w:spacing w:line="360" w:lineRule="auto"/>
        <w:ind w:firstLine="480" w:firstLineChars="200"/>
        <w:rPr>
          <w:sz w:val="24"/>
          <w:szCs w:val="24"/>
        </w:rPr>
      </w:pPr>
      <w:r>
        <w:rPr>
          <w:rFonts w:hint="eastAsia"/>
          <w:sz w:val="24"/>
          <w:szCs w:val="24"/>
        </w:rPr>
        <w:t>项目位于六安市叶集区史河街道办事处香樟大道以北、民强路与西外环之间。生态湿地现状地面高程约为52.1m～54.0m，由水田或水塘改造形成，总水面积15万m</w:t>
      </w:r>
      <w:r>
        <w:rPr>
          <w:rFonts w:hint="eastAsia"/>
          <w:sz w:val="24"/>
          <w:szCs w:val="24"/>
          <w:vertAlign w:val="superscript"/>
        </w:rPr>
        <w:t>2</w:t>
      </w:r>
      <w:r>
        <w:rPr>
          <w:rFonts w:hint="eastAsia"/>
          <w:sz w:val="24"/>
          <w:szCs w:val="24"/>
        </w:rPr>
        <w:t>。非汛期将城区沿岗河、二道河、西小河、卡子桥河等河道的来水汇集到生态湿地内，提升出水水质。</w:t>
      </w:r>
    </w:p>
    <w:p>
      <w:pPr>
        <w:spacing w:line="360" w:lineRule="auto"/>
        <w:ind w:firstLine="482" w:firstLineChars="200"/>
        <w:rPr>
          <w:b/>
          <w:bCs/>
          <w:sz w:val="24"/>
          <w:szCs w:val="24"/>
        </w:rPr>
      </w:pPr>
      <w:r>
        <w:rPr>
          <w:rFonts w:hint="eastAsia"/>
          <w:b/>
          <w:bCs/>
          <w:sz w:val="24"/>
          <w:szCs w:val="24"/>
        </w:rPr>
        <w:t>十、六安市淠河总干渠水生态综合治理工程</w:t>
      </w:r>
    </w:p>
    <w:p>
      <w:pPr>
        <w:spacing w:line="360" w:lineRule="auto"/>
        <w:ind w:firstLine="480" w:firstLineChars="200"/>
        <w:rPr>
          <w:sz w:val="24"/>
          <w:szCs w:val="24"/>
        </w:rPr>
      </w:pPr>
      <w:r>
        <w:rPr>
          <w:rFonts w:hint="eastAsia"/>
          <w:sz w:val="24"/>
          <w:szCs w:val="24"/>
        </w:rPr>
        <w:t>包括入渠河流、排水口综合治理，跨渠、沿渠道路初期雨水收集、蓄置净化，右岸巡河道路贯通，全渠段绿化防护等。</w:t>
      </w:r>
    </w:p>
    <w:p>
      <w:pPr>
        <w:spacing w:line="360" w:lineRule="auto"/>
        <w:ind w:firstLine="482" w:firstLineChars="200"/>
        <w:rPr>
          <w:b/>
          <w:bCs/>
          <w:sz w:val="24"/>
          <w:szCs w:val="24"/>
        </w:rPr>
      </w:pPr>
      <w:r>
        <w:rPr>
          <w:rFonts w:hint="eastAsia"/>
          <w:b/>
          <w:bCs/>
          <w:sz w:val="24"/>
          <w:szCs w:val="24"/>
        </w:rPr>
        <w:t>十一、六安市河湖岸线整治项目</w:t>
      </w:r>
    </w:p>
    <w:p>
      <w:pPr>
        <w:spacing w:line="360" w:lineRule="auto"/>
        <w:ind w:firstLine="480" w:firstLineChars="200"/>
        <w:rPr>
          <w:sz w:val="24"/>
          <w:szCs w:val="24"/>
        </w:rPr>
      </w:pPr>
      <w:r>
        <w:rPr>
          <w:rFonts w:hint="eastAsia"/>
          <w:sz w:val="24"/>
          <w:szCs w:val="24"/>
        </w:rPr>
        <w:t>对设立市级河长的河湖水域岸线进行集中整治，主要对迎水侧及水域范围内阻碍行洪的房屋、建筑物及构筑物、树木、垃圾等“四乱”问题进行清理整治，对河道内的田地实施退田还河还湖，对卡脖子河流段、断头河段进行扩挖疏通，对河湖沿线进行绿化等，提高河湖行洪能力，实现幸福河湖目标。</w:t>
      </w:r>
    </w:p>
    <w:p>
      <w:pPr>
        <w:spacing w:line="360" w:lineRule="auto"/>
        <w:rPr>
          <w:sz w:val="24"/>
          <w:szCs w:val="24"/>
        </w:rPr>
      </w:pPr>
    </w:p>
    <w:p>
      <w:pPr>
        <w:rPr>
          <w:szCs w:val="32"/>
        </w:rPr>
        <w:sectPr>
          <w:headerReference r:id="rId10" w:type="default"/>
          <w:pgSz w:w="11906" w:h="16838"/>
          <w:pgMar w:top="1440" w:right="1797" w:bottom="1440" w:left="1797" w:header="907" w:footer="850" w:gutter="0"/>
          <w:cols w:space="720" w:num="1"/>
          <w:docGrid w:linePitch="500" w:charSpace="0"/>
        </w:sectPr>
      </w:pPr>
    </w:p>
    <w:p>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503" w:name="_Toc95382542"/>
      <w:r>
        <w:rPr>
          <w:rFonts w:hint="eastAsia" w:ascii="黑体" w:hAnsi="黑体" w:eastAsia="黑体" w:cs="黑体"/>
          <w:bCs/>
          <w:kern w:val="44"/>
          <w:sz w:val="36"/>
          <w:szCs w:val="36"/>
        </w:rPr>
        <w:t>第八章 城乡供水水源规划</w:t>
      </w:r>
      <w:bookmarkEnd w:id="503"/>
    </w:p>
    <w:p>
      <w:pPr>
        <w:keepNext/>
        <w:keepLines/>
        <w:adjustRightInd w:val="0"/>
        <w:snapToGrid w:val="0"/>
        <w:spacing w:before="240" w:beforeLines="100" w:after="240" w:afterLines="100" w:line="360" w:lineRule="auto"/>
        <w:jc w:val="center"/>
        <w:outlineLvl w:val="1"/>
        <w:rPr>
          <w:b/>
          <w:bCs/>
          <w:sz w:val="32"/>
          <w:szCs w:val="36"/>
        </w:rPr>
      </w:pPr>
      <w:bookmarkStart w:id="504" w:name="_Toc95382543"/>
      <w:bookmarkStart w:id="505" w:name="_Toc382472270"/>
      <w:bookmarkStart w:id="506" w:name="_Toc432782598"/>
      <w:r>
        <w:rPr>
          <w:b/>
          <w:bCs/>
          <w:sz w:val="32"/>
          <w:szCs w:val="36"/>
        </w:rPr>
        <w:t>第一节 城镇用水现状</w:t>
      </w:r>
      <w:bookmarkEnd w:id="504"/>
      <w:bookmarkEnd w:id="505"/>
      <w:bookmarkEnd w:id="506"/>
    </w:p>
    <w:p>
      <w:pPr>
        <w:pStyle w:val="4"/>
        <w:spacing w:before="120" w:beforeLines="50" w:after="120" w:afterLines="50"/>
        <w:rPr>
          <w:sz w:val="28"/>
        </w:rPr>
      </w:pPr>
      <w:bookmarkStart w:id="507" w:name="_Toc95382544"/>
      <w:bookmarkStart w:id="508" w:name="_Toc382472271"/>
      <w:bookmarkStart w:id="509" w:name="_Toc432782599"/>
      <w:r>
        <w:rPr>
          <w:sz w:val="28"/>
        </w:rPr>
        <w:t>一、城镇现状用水量</w:t>
      </w:r>
      <w:bookmarkEnd w:id="507"/>
      <w:bookmarkEnd w:id="508"/>
      <w:bookmarkEnd w:id="509"/>
    </w:p>
    <w:p>
      <w:pPr>
        <w:adjustRightInd w:val="0"/>
        <w:snapToGrid w:val="0"/>
        <w:spacing w:line="360" w:lineRule="auto"/>
        <w:ind w:firstLine="480" w:firstLineChars="200"/>
        <w:rPr>
          <w:sz w:val="24"/>
        </w:rPr>
      </w:pPr>
      <w:r>
        <w:rPr>
          <w:sz w:val="24"/>
        </w:rPr>
        <w:t>六安市现状城镇用水主要为城镇生活和城镇工业用水，现状年</w:t>
      </w:r>
      <w:r>
        <w:rPr>
          <w:rFonts w:hint="eastAsia"/>
          <w:sz w:val="24"/>
        </w:rPr>
        <w:t>20</w:t>
      </w:r>
      <w:r>
        <w:rPr>
          <w:sz w:val="24"/>
        </w:rPr>
        <w:t>20</w:t>
      </w:r>
      <w:r>
        <w:rPr>
          <w:rFonts w:hint="eastAsia"/>
          <w:sz w:val="24"/>
        </w:rPr>
        <w:t>年</w:t>
      </w:r>
      <w:r>
        <w:rPr>
          <w:sz w:val="24"/>
        </w:rPr>
        <w:t>六安市拥有城镇人口213.03万人，工业增加值429.01亿元。全市城镇用水总量为5.03亿m</w:t>
      </w:r>
      <w:r>
        <w:rPr>
          <w:sz w:val="24"/>
          <w:vertAlign w:val="superscript"/>
        </w:rPr>
        <w:t>3</w:t>
      </w:r>
      <w:r>
        <w:rPr>
          <w:sz w:val="24"/>
        </w:rPr>
        <w:t>，其中城镇生活用水2.40亿m</w:t>
      </w:r>
      <w:r>
        <w:rPr>
          <w:sz w:val="24"/>
          <w:vertAlign w:val="superscript"/>
        </w:rPr>
        <w:t>3</w:t>
      </w:r>
      <w:r>
        <w:rPr>
          <w:rFonts w:hint="eastAsia"/>
          <w:sz w:val="24"/>
        </w:rPr>
        <w:t>（含城镇公共用水）</w:t>
      </w:r>
      <w:r>
        <w:rPr>
          <w:sz w:val="24"/>
        </w:rPr>
        <w:t>，占城镇用水总量的47.7%</w:t>
      </w:r>
      <w:r>
        <w:rPr>
          <w:rFonts w:hint="eastAsia"/>
          <w:sz w:val="24"/>
        </w:rPr>
        <w:t>；</w:t>
      </w:r>
      <w:r>
        <w:rPr>
          <w:sz w:val="24"/>
        </w:rPr>
        <w:t>城镇工业用水1.94亿m</w:t>
      </w:r>
      <w:r>
        <w:rPr>
          <w:sz w:val="24"/>
          <w:vertAlign w:val="superscript"/>
        </w:rPr>
        <w:t>3</w:t>
      </w:r>
      <w:r>
        <w:rPr>
          <w:sz w:val="24"/>
        </w:rPr>
        <w:t>，占城镇用水总量的38.6%</w:t>
      </w:r>
      <w:r>
        <w:rPr>
          <w:rFonts w:hint="eastAsia"/>
          <w:sz w:val="24"/>
        </w:rPr>
        <w:t>；</w:t>
      </w:r>
      <w:r>
        <w:rPr>
          <w:sz w:val="24"/>
        </w:rPr>
        <w:t>城镇</w:t>
      </w:r>
      <w:r>
        <w:rPr>
          <w:rFonts w:hint="eastAsia"/>
          <w:sz w:val="24"/>
        </w:rPr>
        <w:t>生态</w:t>
      </w:r>
      <w:r>
        <w:rPr>
          <w:sz w:val="24"/>
        </w:rPr>
        <w:t>用水0.69亿m</w:t>
      </w:r>
      <w:r>
        <w:rPr>
          <w:sz w:val="24"/>
          <w:vertAlign w:val="superscript"/>
        </w:rPr>
        <w:t>3</w:t>
      </w:r>
      <w:r>
        <w:rPr>
          <w:sz w:val="24"/>
        </w:rPr>
        <w:t>，占城镇用水总量的13.7%。</w:t>
      </w:r>
    </w:p>
    <w:p>
      <w:pPr>
        <w:adjustRightInd w:val="0"/>
        <w:snapToGrid w:val="0"/>
        <w:spacing w:line="360" w:lineRule="auto"/>
        <w:jc w:val="right"/>
        <w:rPr>
          <w:b/>
          <w:sz w:val="18"/>
          <w:szCs w:val="18"/>
        </w:rPr>
      </w:pPr>
      <w:r>
        <w:rPr>
          <w:rFonts w:hAnsi="宋体"/>
          <w:b/>
          <w:sz w:val="24"/>
        </w:rPr>
        <w:t>表</w:t>
      </w:r>
      <w:r>
        <w:rPr>
          <w:b/>
          <w:sz w:val="24"/>
        </w:rPr>
        <w:t xml:space="preserve">8.1.1  </w:t>
      </w:r>
      <w:r>
        <w:rPr>
          <w:rFonts w:hAnsi="宋体"/>
          <w:b/>
          <w:bCs/>
          <w:kern w:val="0"/>
          <w:sz w:val="24"/>
        </w:rPr>
        <w:t>六安市现状城镇用水量</w:t>
      </w:r>
      <w:r>
        <w:rPr>
          <w:b/>
          <w:bCs/>
          <w:kern w:val="0"/>
          <w:sz w:val="24"/>
        </w:rPr>
        <w:t xml:space="preserve">              </w:t>
      </w:r>
      <w:r>
        <w:rPr>
          <w:b/>
          <w:bCs/>
          <w:kern w:val="0"/>
          <w:sz w:val="18"/>
          <w:szCs w:val="18"/>
        </w:rPr>
        <w:t xml:space="preserve"> </w:t>
      </w:r>
      <w:r>
        <w:rPr>
          <w:rFonts w:hAnsi="宋体"/>
          <w:b/>
          <w:bCs/>
          <w:kern w:val="0"/>
          <w:sz w:val="18"/>
          <w:szCs w:val="18"/>
        </w:rPr>
        <w:t>单位：万</w:t>
      </w:r>
      <w:r>
        <w:rPr>
          <w:b/>
          <w:bCs/>
          <w:kern w:val="0"/>
          <w:sz w:val="18"/>
          <w:szCs w:val="18"/>
        </w:rPr>
        <w:t>m</w:t>
      </w:r>
      <w:r>
        <w:rPr>
          <w:b/>
          <w:bCs/>
          <w:kern w:val="0"/>
          <w:sz w:val="18"/>
          <w:szCs w:val="18"/>
          <w:vertAlign w:val="superscript"/>
        </w:rPr>
        <w:t>3</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910"/>
        <w:gridCol w:w="1747"/>
        <w:gridCol w:w="1602"/>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kern w:val="0"/>
                <w:sz w:val="18"/>
                <w:szCs w:val="18"/>
              </w:rPr>
              <w:t>行政分区</w:t>
            </w:r>
          </w:p>
        </w:tc>
        <w:tc>
          <w:tcPr>
            <w:tcW w:w="1859" w:type="dxa"/>
            <w:shd w:val="clear" w:color="auto" w:fill="auto"/>
            <w:vAlign w:val="center"/>
          </w:tcPr>
          <w:p>
            <w:pPr>
              <w:widowControl/>
              <w:spacing w:line="240" w:lineRule="atLeast"/>
              <w:jc w:val="center"/>
              <w:rPr>
                <w:kern w:val="0"/>
                <w:sz w:val="18"/>
                <w:szCs w:val="18"/>
              </w:rPr>
            </w:pPr>
            <w:r>
              <w:rPr>
                <w:kern w:val="0"/>
                <w:sz w:val="18"/>
                <w:szCs w:val="18"/>
              </w:rPr>
              <w:t>城镇生活用水量</w:t>
            </w:r>
            <w:r>
              <w:rPr>
                <w:rFonts w:hint="eastAsia"/>
                <w:kern w:val="0"/>
                <w:sz w:val="18"/>
                <w:szCs w:val="18"/>
              </w:rPr>
              <w:t xml:space="preserve"> </w:t>
            </w:r>
            <w:r>
              <w:rPr>
                <w:kern w:val="0"/>
                <w:sz w:val="18"/>
                <w:szCs w:val="18"/>
              </w:rPr>
              <w:t xml:space="preserve">   </w:t>
            </w:r>
            <w:r>
              <w:rPr>
                <w:rFonts w:hint="eastAsia"/>
                <w:kern w:val="0"/>
                <w:sz w:val="18"/>
                <w:szCs w:val="18"/>
              </w:rPr>
              <w:t>（含城镇公共用水）</w:t>
            </w:r>
          </w:p>
        </w:tc>
        <w:tc>
          <w:tcPr>
            <w:tcW w:w="1701" w:type="dxa"/>
            <w:shd w:val="clear" w:color="auto" w:fill="auto"/>
            <w:vAlign w:val="center"/>
          </w:tcPr>
          <w:p>
            <w:pPr>
              <w:widowControl/>
              <w:spacing w:line="240" w:lineRule="atLeast"/>
              <w:jc w:val="center"/>
              <w:rPr>
                <w:kern w:val="0"/>
                <w:sz w:val="18"/>
                <w:szCs w:val="18"/>
              </w:rPr>
            </w:pPr>
            <w:r>
              <w:rPr>
                <w:kern w:val="0"/>
                <w:sz w:val="18"/>
                <w:szCs w:val="18"/>
              </w:rPr>
              <w:t>城镇工业用水量</w:t>
            </w:r>
          </w:p>
        </w:tc>
        <w:tc>
          <w:tcPr>
            <w:tcW w:w="1560" w:type="dxa"/>
            <w:vAlign w:val="center"/>
          </w:tcPr>
          <w:p>
            <w:pPr>
              <w:widowControl/>
              <w:spacing w:line="240" w:lineRule="atLeast"/>
              <w:jc w:val="center"/>
              <w:rPr>
                <w:kern w:val="0"/>
                <w:sz w:val="18"/>
                <w:szCs w:val="18"/>
              </w:rPr>
            </w:pPr>
            <w:r>
              <w:rPr>
                <w:rFonts w:hint="eastAsia"/>
                <w:kern w:val="0"/>
                <w:sz w:val="18"/>
                <w:szCs w:val="18"/>
              </w:rPr>
              <w:t>生态用水量</w:t>
            </w:r>
          </w:p>
        </w:tc>
        <w:tc>
          <w:tcPr>
            <w:tcW w:w="1644" w:type="dxa"/>
            <w:shd w:val="clear" w:color="auto" w:fill="auto"/>
            <w:noWrap/>
            <w:vAlign w:val="center"/>
          </w:tcPr>
          <w:p>
            <w:pPr>
              <w:widowControl/>
              <w:spacing w:line="240" w:lineRule="atLeast"/>
              <w:jc w:val="center"/>
              <w:rPr>
                <w:kern w:val="0"/>
                <w:sz w:val="18"/>
                <w:szCs w:val="18"/>
              </w:rPr>
            </w:pPr>
            <w:r>
              <w:rPr>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kern w:val="0"/>
                <w:sz w:val="18"/>
                <w:szCs w:val="18"/>
              </w:rPr>
              <w:t>金安区</w:t>
            </w:r>
          </w:p>
        </w:tc>
        <w:tc>
          <w:tcPr>
            <w:tcW w:w="1859" w:type="dxa"/>
            <w:shd w:val="clear" w:color="auto" w:fill="auto"/>
            <w:noWrap/>
            <w:vAlign w:val="center"/>
          </w:tcPr>
          <w:p>
            <w:pPr>
              <w:widowControl/>
              <w:spacing w:line="240" w:lineRule="atLeast"/>
              <w:jc w:val="center"/>
              <w:rPr>
                <w:kern w:val="0"/>
                <w:sz w:val="18"/>
                <w:szCs w:val="18"/>
              </w:rPr>
            </w:pPr>
            <w:r>
              <w:rPr>
                <w:rFonts w:eastAsia="等线"/>
                <w:sz w:val="18"/>
                <w:szCs w:val="18"/>
              </w:rPr>
              <w:t>4906</w:t>
            </w:r>
          </w:p>
        </w:tc>
        <w:tc>
          <w:tcPr>
            <w:tcW w:w="1701" w:type="dxa"/>
            <w:shd w:val="clear" w:color="auto" w:fill="auto"/>
            <w:vAlign w:val="center"/>
          </w:tcPr>
          <w:p>
            <w:pPr>
              <w:widowControl/>
              <w:spacing w:line="240" w:lineRule="atLeast"/>
              <w:jc w:val="center"/>
              <w:rPr>
                <w:kern w:val="0"/>
                <w:sz w:val="18"/>
                <w:szCs w:val="18"/>
              </w:rPr>
            </w:pPr>
            <w:r>
              <w:rPr>
                <w:rFonts w:eastAsia="等线"/>
                <w:sz w:val="18"/>
                <w:szCs w:val="18"/>
              </w:rPr>
              <w:t>5934</w:t>
            </w:r>
          </w:p>
        </w:tc>
        <w:tc>
          <w:tcPr>
            <w:tcW w:w="1560" w:type="dxa"/>
            <w:vAlign w:val="center"/>
          </w:tcPr>
          <w:p>
            <w:pPr>
              <w:widowControl/>
              <w:spacing w:line="240" w:lineRule="atLeast"/>
              <w:jc w:val="center"/>
              <w:rPr>
                <w:rFonts w:eastAsia="等线"/>
                <w:sz w:val="18"/>
                <w:szCs w:val="18"/>
              </w:rPr>
            </w:pPr>
            <w:r>
              <w:rPr>
                <w:rFonts w:eastAsia="等线"/>
                <w:sz w:val="18"/>
                <w:szCs w:val="18"/>
              </w:rPr>
              <w:t>2325</w:t>
            </w:r>
          </w:p>
        </w:tc>
        <w:tc>
          <w:tcPr>
            <w:tcW w:w="1644" w:type="dxa"/>
            <w:shd w:val="clear" w:color="auto" w:fill="auto"/>
            <w:noWrap/>
            <w:vAlign w:val="center"/>
          </w:tcPr>
          <w:p>
            <w:pPr>
              <w:widowControl/>
              <w:spacing w:line="240" w:lineRule="atLeast"/>
              <w:jc w:val="center"/>
              <w:rPr>
                <w:kern w:val="0"/>
                <w:sz w:val="18"/>
                <w:szCs w:val="18"/>
              </w:rPr>
            </w:pPr>
            <w:r>
              <w:rPr>
                <w:rFonts w:eastAsia="等线"/>
                <w:sz w:val="18"/>
                <w:szCs w:val="18"/>
              </w:rPr>
              <w:t>13165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kern w:val="0"/>
                <w:sz w:val="18"/>
                <w:szCs w:val="18"/>
              </w:rPr>
              <w:t>裕安区</w:t>
            </w:r>
          </w:p>
        </w:tc>
        <w:tc>
          <w:tcPr>
            <w:tcW w:w="1859" w:type="dxa"/>
            <w:shd w:val="clear" w:color="auto" w:fill="auto"/>
            <w:noWrap/>
            <w:vAlign w:val="center"/>
          </w:tcPr>
          <w:p>
            <w:pPr>
              <w:widowControl/>
              <w:spacing w:line="240" w:lineRule="atLeast"/>
              <w:jc w:val="center"/>
              <w:rPr>
                <w:kern w:val="0"/>
                <w:sz w:val="18"/>
                <w:szCs w:val="18"/>
              </w:rPr>
            </w:pPr>
            <w:r>
              <w:rPr>
                <w:rFonts w:eastAsia="等线"/>
                <w:sz w:val="18"/>
                <w:szCs w:val="18"/>
              </w:rPr>
              <w:t>5662</w:t>
            </w:r>
          </w:p>
        </w:tc>
        <w:tc>
          <w:tcPr>
            <w:tcW w:w="1701" w:type="dxa"/>
            <w:shd w:val="clear" w:color="auto" w:fill="auto"/>
            <w:vAlign w:val="center"/>
          </w:tcPr>
          <w:p>
            <w:pPr>
              <w:widowControl/>
              <w:spacing w:line="240" w:lineRule="atLeast"/>
              <w:jc w:val="center"/>
              <w:rPr>
                <w:kern w:val="0"/>
                <w:sz w:val="18"/>
                <w:szCs w:val="18"/>
              </w:rPr>
            </w:pPr>
            <w:r>
              <w:rPr>
                <w:rFonts w:eastAsia="等线"/>
                <w:sz w:val="18"/>
                <w:szCs w:val="18"/>
              </w:rPr>
              <w:t>2179</w:t>
            </w:r>
          </w:p>
        </w:tc>
        <w:tc>
          <w:tcPr>
            <w:tcW w:w="1560" w:type="dxa"/>
            <w:vAlign w:val="center"/>
          </w:tcPr>
          <w:p>
            <w:pPr>
              <w:widowControl/>
              <w:spacing w:line="240" w:lineRule="atLeast"/>
              <w:jc w:val="center"/>
              <w:rPr>
                <w:rFonts w:eastAsia="等线"/>
                <w:sz w:val="18"/>
                <w:szCs w:val="18"/>
              </w:rPr>
            </w:pPr>
            <w:r>
              <w:rPr>
                <w:rFonts w:eastAsia="等线"/>
                <w:sz w:val="18"/>
                <w:szCs w:val="18"/>
              </w:rPr>
              <w:t>2113</w:t>
            </w:r>
          </w:p>
        </w:tc>
        <w:tc>
          <w:tcPr>
            <w:tcW w:w="1644" w:type="dxa"/>
            <w:shd w:val="clear" w:color="auto" w:fill="auto"/>
            <w:noWrap/>
            <w:vAlign w:val="center"/>
          </w:tcPr>
          <w:p>
            <w:pPr>
              <w:widowControl/>
              <w:spacing w:line="240" w:lineRule="atLeast"/>
              <w:jc w:val="center"/>
              <w:rPr>
                <w:kern w:val="0"/>
                <w:sz w:val="18"/>
                <w:szCs w:val="18"/>
              </w:rPr>
            </w:pPr>
            <w:r>
              <w:rPr>
                <w:rFonts w:eastAsia="等线"/>
                <w:sz w:val="18"/>
                <w:szCs w:val="18"/>
              </w:rPr>
              <w:t>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rFonts w:hint="eastAsia"/>
                <w:kern w:val="0"/>
                <w:sz w:val="18"/>
                <w:szCs w:val="18"/>
              </w:rPr>
              <w:t>叶集区</w:t>
            </w:r>
          </w:p>
        </w:tc>
        <w:tc>
          <w:tcPr>
            <w:tcW w:w="1859" w:type="dxa"/>
            <w:shd w:val="clear" w:color="auto" w:fill="auto"/>
            <w:noWrap/>
            <w:vAlign w:val="center"/>
          </w:tcPr>
          <w:p>
            <w:pPr>
              <w:widowControl/>
              <w:spacing w:line="240" w:lineRule="atLeast"/>
              <w:jc w:val="center"/>
              <w:rPr>
                <w:kern w:val="0"/>
                <w:sz w:val="18"/>
                <w:szCs w:val="18"/>
              </w:rPr>
            </w:pPr>
            <w:r>
              <w:rPr>
                <w:rFonts w:eastAsia="等线"/>
                <w:sz w:val="18"/>
                <w:szCs w:val="18"/>
              </w:rPr>
              <w:t>1193</w:t>
            </w:r>
          </w:p>
        </w:tc>
        <w:tc>
          <w:tcPr>
            <w:tcW w:w="1701" w:type="dxa"/>
            <w:shd w:val="clear" w:color="auto" w:fill="auto"/>
            <w:vAlign w:val="center"/>
          </w:tcPr>
          <w:p>
            <w:pPr>
              <w:widowControl/>
              <w:spacing w:line="240" w:lineRule="atLeast"/>
              <w:jc w:val="center"/>
              <w:rPr>
                <w:kern w:val="0"/>
                <w:sz w:val="18"/>
                <w:szCs w:val="18"/>
              </w:rPr>
            </w:pPr>
            <w:r>
              <w:rPr>
                <w:rFonts w:eastAsia="等线"/>
                <w:sz w:val="18"/>
                <w:szCs w:val="18"/>
              </w:rPr>
              <w:t>1005</w:t>
            </w:r>
          </w:p>
        </w:tc>
        <w:tc>
          <w:tcPr>
            <w:tcW w:w="1560" w:type="dxa"/>
            <w:vAlign w:val="center"/>
          </w:tcPr>
          <w:p>
            <w:pPr>
              <w:widowControl/>
              <w:spacing w:line="240" w:lineRule="atLeast"/>
              <w:jc w:val="center"/>
              <w:rPr>
                <w:rFonts w:eastAsia="等线"/>
                <w:sz w:val="18"/>
                <w:szCs w:val="18"/>
              </w:rPr>
            </w:pPr>
            <w:r>
              <w:rPr>
                <w:rFonts w:eastAsia="等线"/>
                <w:sz w:val="18"/>
                <w:szCs w:val="18"/>
              </w:rPr>
              <w:t>160</w:t>
            </w:r>
          </w:p>
        </w:tc>
        <w:tc>
          <w:tcPr>
            <w:tcW w:w="1644" w:type="dxa"/>
            <w:shd w:val="clear" w:color="auto" w:fill="auto"/>
            <w:noWrap/>
            <w:vAlign w:val="center"/>
          </w:tcPr>
          <w:p>
            <w:pPr>
              <w:widowControl/>
              <w:spacing w:line="240" w:lineRule="atLeast"/>
              <w:jc w:val="center"/>
              <w:rPr>
                <w:kern w:val="0"/>
                <w:sz w:val="18"/>
                <w:szCs w:val="18"/>
              </w:rPr>
            </w:pPr>
            <w:r>
              <w:rPr>
                <w:rFonts w:eastAsia="等线"/>
                <w:sz w:val="18"/>
                <w:szCs w:val="18"/>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kern w:val="0"/>
                <w:sz w:val="18"/>
                <w:szCs w:val="18"/>
              </w:rPr>
              <w:t>霍邱县</w:t>
            </w:r>
          </w:p>
        </w:tc>
        <w:tc>
          <w:tcPr>
            <w:tcW w:w="1859" w:type="dxa"/>
            <w:shd w:val="clear" w:color="auto" w:fill="auto"/>
            <w:noWrap/>
            <w:vAlign w:val="center"/>
          </w:tcPr>
          <w:p>
            <w:pPr>
              <w:widowControl/>
              <w:spacing w:line="240" w:lineRule="atLeast"/>
              <w:jc w:val="center"/>
              <w:rPr>
                <w:kern w:val="0"/>
                <w:sz w:val="18"/>
                <w:szCs w:val="18"/>
              </w:rPr>
            </w:pPr>
            <w:r>
              <w:rPr>
                <w:rFonts w:eastAsia="等线"/>
                <w:sz w:val="18"/>
                <w:szCs w:val="18"/>
              </w:rPr>
              <w:t>4186</w:t>
            </w:r>
          </w:p>
        </w:tc>
        <w:tc>
          <w:tcPr>
            <w:tcW w:w="1701" w:type="dxa"/>
            <w:shd w:val="clear" w:color="auto" w:fill="auto"/>
            <w:vAlign w:val="center"/>
          </w:tcPr>
          <w:p>
            <w:pPr>
              <w:widowControl/>
              <w:spacing w:line="240" w:lineRule="atLeast"/>
              <w:jc w:val="center"/>
              <w:rPr>
                <w:kern w:val="0"/>
                <w:sz w:val="18"/>
                <w:szCs w:val="18"/>
              </w:rPr>
            </w:pPr>
            <w:r>
              <w:rPr>
                <w:rFonts w:eastAsia="等线"/>
                <w:sz w:val="18"/>
                <w:szCs w:val="18"/>
              </w:rPr>
              <w:t>1963</w:t>
            </w:r>
          </w:p>
        </w:tc>
        <w:tc>
          <w:tcPr>
            <w:tcW w:w="1560" w:type="dxa"/>
            <w:vAlign w:val="center"/>
          </w:tcPr>
          <w:p>
            <w:pPr>
              <w:widowControl/>
              <w:spacing w:line="240" w:lineRule="atLeast"/>
              <w:jc w:val="center"/>
              <w:rPr>
                <w:rFonts w:eastAsia="等线"/>
                <w:sz w:val="18"/>
                <w:szCs w:val="18"/>
              </w:rPr>
            </w:pPr>
            <w:r>
              <w:rPr>
                <w:rFonts w:eastAsia="等线"/>
                <w:sz w:val="18"/>
                <w:szCs w:val="18"/>
              </w:rPr>
              <w:t>228</w:t>
            </w:r>
          </w:p>
        </w:tc>
        <w:tc>
          <w:tcPr>
            <w:tcW w:w="1644" w:type="dxa"/>
            <w:shd w:val="clear" w:color="auto" w:fill="auto"/>
            <w:noWrap/>
            <w:vAlign w:val="center"/>
          </w:tcPr>
          <w:p>
            <w:pPr>
              <w:widowControl/>
              <w:spacing w:line="240" w:lineRule="atLeast"/>
              <w:jc w:val="center"/>
              <w:rPr>
                <w:kern w:val="0"/>
                <w:sz w:val="18"/>
                <w:szCs w:val="18"/>
              </w:rPr>
            </w:pPr>
            <w:r>
              <w:rPr>
                <w:rFonts w:eastAsia="等线"/>
                <w:sz w:val="18"/>
                <w:szCs w:val="18"/>
              </w:rPr>
              <w:t>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kern w:val="0"/>
                <w:sz w:val="18"/>
                <w:szCs w:val="18"/>
              </w:rPr>
              <w:t>舒城县</w:t>
            </w:r>
          </w:p>
        </w:tc>
        <w:tc>
          <w:tcPr>
            <w:tcW w:w="1859" w:type="dxa"/>
            <w:shd w:val="clear" w:color="auto" w:fill="auto"/>
            <w:noWrap/>
            <w:vAlign w:val="center"/>
          </w:tcPr>
          <w:p>
            <w:pPr>
              <w:widowControl/>
              <w:spacing w:line="240" w:lineRule="atLeast"/>
              <w:jc w:val="center"/>
              <w:rPr>
                <w:kern w:val="0"/>
                <w:sz w:val="18"/>
                <w:szCs w:val="18"/>
              </w:rPr>
            </w:pPr>
            <w:r>
              <w:rPr>
                <w:rFonts w:eastAsia="等线"/>
                <w:sz w:val="18"/>
                <w:szCs w:val="18"/>
              </w:rPr>
              <w:t>3586</w:t>
            </w:r>
          </w:p>
        </w:tc>
        <w:tc>
          <w:tcPr>
            <w:tcW w:w="1701" w:type="dxa"/>
            <w:shd w:val="clear" w:color="auto" w:fill="auto"/>
            <w:vAlign w:val="center"/>
          </w:tcPr>
          <w:p>
            <w:pPr>
              <w:widowControl/>
              <w:spacing w:line="240" w:lineRule="atLeast"/>
              <w:jc w:val="center"/>
              <w:rPr>
                <w:kern w:val="0"/>
                <w:sz w:val="18"/>
                <w:szCs w:val="18"/>
              </w:rPr>
            </w:pPr>
            <w:r>
              <w:rPr>
                <w:rFonts w:eastAsia="等线"/>
                <w:sz w:val="18"/>
                <w:szCs w:val="18"/>
              </w:rPr>
              <w:t>3735</w:t>
            </w:r>
          </w:p>
        </w:tc>
        <w:tc>
          <w:tcPr>
            <w:tcW w:w="1560" w:type="dxa"/>
            <w:vAlign w:val="center"/>
          </w:tcPr>
          <w:p>
            <w:pPr>
              <w:widowControl/>
              <w:spacing w:line="240" w:lineRule="atLeast"/>
              <w:jc w:val="center"/>
              <w:rPr>
                <w:rFonts w:eastAsia="等线"/>
                <w:sz w:val="18"/>
                <w:szCs w:val="18"/>
              </w:rPr>
            </w:pPr>
            <w:r>
              <w:rPr>
                <w:rFonts w:eastAsia="等线"/>
                <w:sz w:val="18"/>
                <w:szCs w:val="18"/>
              </w:rPr>
              <w:t>965</w:t>
            </w:r>
          </w:p>
        </w:tc>
        <w:tc>
          <w:tcPr>
            <w:tcW w:w="1644" w:type="dxa"/>
            <w:shd w:val="clear" w:color="auto" w:fill="auto"/>
            <w:noWrap/>
            <w:vAlign w:val="center"/>
          </w:tcPr>
          <w:p>
            <w:pPr>
              <w:widowControl/>
              <w:spacing w:line="240" w:lineRule="atLeast"/>
              <w:jc w:val="center"/>
              <w:rPr>
                <w:kern w:val="0"/>
                <w:sz w:val="18"/>
                <w:szCs w:val="18"/>
              </w:rPr>
            </w:pPr>
            <w:r>
              <w:rPr>
                <w:rFonts w:eastAsia="等线"/>
                <w:sz w:val="18"/>
                <w:szCs w:val="18"/>
              </w:rPr>
              <w:t>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kern w:val="0"/>
                <w:sz w:val="18"/>
                <w:szCs w:val="18"/>
              </w:rPr>
              <w:t>金寨县</w:t>
            </w:r>
          </w:p>
        </w:tc>
        <w:tc>
          <w:tcPr>
            <w:tcW w:w="1859" w:type="dxa"/>
            <w:shd w:val="clear" w:color="auto" w:fill="auto"/>
            <w:noWrap/>
            <w:vAlign w:val="center"/>
          </w:tcPr>
          <w:p>
            <w:pPr>
              <w:widowControl/>
              <w:spacing w:line="240" w:lineRule="atLeast"/>
              <w:jc w:val="center"/>
              <w:rPr>
                <w:kern w:val="0"/>
                <w:sz w:val="18"/>
                <w:szCs w:val="18"/>
              </w:rPr>
            </w:pPr>
            <w:r>
              <w:rPr>
                <w:rFonts w:eastAsia="等线"/>
                <w:sz w:val="18"/>
                <w:szCs w:val="18"/>
              </w:rPr>
              <w:t>2844</w:t>
            </w:r>
          </w:p>
        </w:tc>
        <w:tc>
          <w:tcPr>
            <w:tcW w:w="1701" w:type="dxa"/>
            <w:shd w:val="clear" w:color="auto" w:fill="auto"/>
            <w:vAlign w:val="center"/>
          </w:tcPr>
          <w:p>
            <w:pPr>
              <w:widowControl/>
              <w:spacing w:line="240" w:lineRule="atLeast"/>
              <w:jc w:val="center"/>
              <w:rPr>
                <w:kern w:val="0"/>
                <w:sz w:val="18"/>
                <w:szCs w:val="18"/>
              </w:rPr>
            </w:pPr>
            <w:r>
              <w:rPr>
                <w:rFonts w:eastAsia="等线"/>
                <w:sz w:val="18"/>
                <w:szCs w:val="18"/>
              </w:rPr>
              <w:t>1673</w:t>
            </w:r>
          </w:p>
        </w:tc>
        <w:tc>
          <w:tcPr>
            <w:tcW w:w="1560" w:type="dxa"/>
            <w:vAlign w:val="center"/>
          </w:tcPr>
          <w:p>
            <w:pPr>
              <w:widowControl/>
              <w:spacing w:line="240" w:lineRule="atLeast"/>
              <w:jc w:val="center"/>
              <w:rPr>
                <w:rFonts w:eastAsia="等线"/>
                <w:sz w:val="18"/>
                <w:szCs w:val="18"/>
              </w:rPr>
            </w:pPr>
            <w:r>
              <w:rPr>
                <w:rFonts w:eastAsia="等线"/>
                <w:sz w:val="18"/>
                <w:szCs w:val="18"/>
              </w:rPr>
              <w:t>659</w:t>
            </w:r>
          </w:p>
        </w:tc>
        <w:tc>
          <w:tcPr>
            <w:tcW w:w="1644" w:type="dxa"/>
            <w:shd w:val="clear" w:color="auto" w:fill="auto"/>
            <w:noWrap/>
            <w:vAlign w:val="center"/>
          </w:tcPr>
          <w:p>
            <w:pPr>
              <w:widowControl/>
              <w:spacing w:line="240" w:lineRule="atLeast"/>
              <w:jc w:val="center"/>
              <w:rPr>
                <w:kern w:val="0"/>
                <w:sz w:val="18"/>
                <w:szCs w:val="18"/>
              </w:rPr>
            </w:pPr>
            <w:r>
              <w:rPr>
                <w:rFonts w:eastAsia="等线"/>
                <w:sz w:val="18"/>
                <w:szCs w:val="18"/>
              </w:rPr>
              <w:t>5176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kern w:val="0"/>
                <w:sz w:val="18"/>
                <w:szCs w:val="18"/>
              </w:rPr>
              <w:t>霍山县</w:t>
            </w:r>
          </w:p>
        </w:tc>
        <w:tc>
          <w:tcPr>
            <w:tcW w:w="1859" w:type="dxa"/>
            <w:shd w:val="clear" w:color="auto" w:fill="auto"/>
            <w:noWrap/>
            <w:vAlign w:val="center"/>
          </w:tcPr>
          <w:p>
            <w:pPr>
              <w:widowControl/>
              <w:spacing w:line="240" w:lineRule="atLeast"/>
              <w:jc w:val="center"/>
              <w:rPr>
                <w:kern w:val="0"/>
                <w:sz w:val="18"/>
                <w:szCs w:val="18"/>
              </w:rPr>
            </w:pPr>
            <w:r>
              <w:rPr>
                <w:rFonts w:eastAsia="等线"/>
                <w:sz w:val="18"/>
                <w:szCs w:val="18"/>
              </w:rPr>
              <w:t>1624</w:t>
            </w:r>
          </w:p>
        </w:tc>
        <w:tc>
          <w:tcPr>
            <w:tcW w:w="1701" w:type="dxa"/>
            <w:shd w:val="clear" w:color="auto" w:fill="auto"/>
            <w:vAlign w:val="center"/>
          </w:tcPr>
          <w:p>
            <w:pPr>
              <w:widowControl/>
              <w:spacing w:line="240" w:lineRule="atLeast"/>
              <w:jc w:val="center"/>
              <w:rPr>
                <w:kern w:val="0"/>
                <w:sz w:val="18"/>
                <w:szCs w:val="18"/>
              </w:rPr>
            </w:pPr>
            <w:r>
              <w:rPr>
                <w:rFonts w:eastAsia="等线"/>
                <w:sz w:val="18"/>
                <w:szCs w:val="18"/>
              </w:rPr>
              <w:t>2905</w:t>
            </w:r>
          </w:p>
        </w:tc>
        <w:tc>
          <w:tcPr>
            <w:tcW w:w="1560" w:type="dxa"/>
            <w:vAlign w:val="center"/>
          </w:tcPr>
          <w:p>
            <w:pPr>
              <w:widowControl/>
              <w:spacing w:line="240" w:lineRule="atLeast"/>
              <w:jc w:val="center"/>
              <w:rPr>
                <w:rFonts w:eastAsia="等线"/>
                <w:sz w:val="18"/>
                <w:szCs w:val="18"/>
              </w:rPr>
            </w:pPr>
            <w:r>
              <w:rPr>
                <w:rFonts w:eastAsia="等线"/>
                <w:sz w:val="18"/>
                <w:szCs w:val="18"/>
              </w:rPr>
              <w:t>445</w:t>
            </w:r>
          </w:p>
        </w:tc>
        <w:tc>
          <w:tcPr>
            <w:tcW w:w="1644" w:type="dxa"/>
            <w:shd w:val="clear" w:color="auto" w:fill="auto"/>
            <w:noWrap/>
            <w:vAlign w:val="center"/>
          </w:tcPr>
          <w:p>
            <w:pPr>
              <w:widowControl/>
              <w:spacing w:line="240" w:lineRule="atLeast"/>
              <w:jc w:val="center"/>
              <w:rPr>
                <w:kern w:val="0"/>
                <w:sz w:val="18"/>
                <w:szCs w:val="18"/>
              </w:rPr>
            </w:pPr>
            <w:r>
              <w:rPr>
                <w:rFonts w:eastAsia="等线"/>
                <w:sz w:val="18"/>
                <w:szCs w:val="18"/>
              </w:rPr>
              <w:t>4974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8" w:type="dxa"/>
            <w:shd w:val="clear" w:color="auto" w:fill="auto"/>
            <w:vAlign w:val="center"/>
          </w:tcPr>
          <w:p>
            <w:pPr>
              <w:widowControl/>
              <w:spacing w:line="240" w:lineRule="atLeast"/>
              <w:jc w:val="center"/>
              <w:rPr>
                <w:kern w:val="0"/>
                <w:sz w:val="18"/>
                <w:szCs w:val="18"/>
              </w:rPr>
            </w:pPr>
            <w:r>
              <w:rPr>
                <w:kern w:val="0"/>
                <w:sz w:val="18"/>
                <w:szCs w:val="18"/>
              </w:rPr>
              <w:t>全  市</w:t>
            </w:r>
          </w:p>
        </w:tc>
        <w:tc>
          <w:tcPr>
            <w:tcW w:w="1859" w:type="dxa"/>
            <w:shd w:val="clear" w:color="auto" w:fill="auto"/>
            <w:noWrap/>
            <w:vAlign w:val="center"/>
          </w:tcPr>
          <w:p>
            <w:pPr>
              <w:widowControl/>
              <w:spacing w:line="240" w:lineRule="atLeast"/>
              <w:jc w:val="center"/>
              <w:rPr>
                <w:kern w:val="0"/>
                <w:sz w:val="18"/>
                <w:szCs w:val="18"/>
              </w:rPr>
            </w:pPr>
            <w:r>
              <w:rPr>
                <w:rFonts w:eastAsia="等线"/>
                <w:sz w:val="18"/>
                <w:szCs w:val="18"/>
              </w:rPr>
              <w:t>24001</w:t>
            </w:r>
          </w:p>
        </w:tc>
        <w:tc>
          <w:tcPr>
            <w:tcW w:w="1701" w:type="dxa"/>
            <w:shd w:val="clear" w:color="auto" w:fill="auto"/>
            <w:vAlign w:val="center"/>
          </w:tcPr>
          <w:p>
            <w:pPr>
              <w:widowControl/>
              <w:spacing w:line="240" w:lineRule="atLeast"/>
              <w:jc w:val="center"/>
              <w:rPr>
                <w:kern w:val="0"/>
                <w:sz w:val="18"/>
                <w:szCs w:val="18"/>
              </w:rPr>
            </w:pPr>
            <w:r>
              <w:rPr>
                <w:rFonts w:eastAsia="等线"/>
                <w:sz w:val="18"/>
                <w:szCs w:val="18"/>
              </w:rPr>
              <w:t>19394</w:t>
            </w:r>
          </w:p>
        </w:tc>
        <w:tc>
          <w:tcPr>
            <w:tcW w:w="1560" w:type="dxa"/>
            <w:vAlign w:val="center"/>
          </w:tcPr>
          <w:p>
            <w:pPr>
              <w:widowControl/>
              <w:spacing w:line="240" w:lineRule="atLeast"/>
              <w:jc w:val="center"/>
              <w:rPr>
                <w:rFonts w:eastAsia="等线"/>
                <w:sz w:val="18"/>
                <w:szCs w:val="18"/>
              </w:rPr>
            </w:pPr>
            <w:r>
              <w:rPr>
                <w:rFonts w:eastAsia="等线"/>
                <w:sz w:val="18"/>
                <w:szCs w:val="18"/>
              </w:rPr>
              <w:t>6895</w:t>
            </w:r>
          </w:p>
        </w:tc>
        <w:tc>
          <w:tcPr>
            <w:tcW w:w="1644" w:type="dxa"/>
            <w:shd w:val="clear" w:color="auto" w:fill="auto"/>
            <w:noWrap/>
            <w:vAlign w:val="center"/>
          </w:tcPr>
          <w:p>
            <w:pPr>
              <w:widowControl/>
              <w:spacing w:line="240" w:lineRule="atLeast"/>
              <w:jc w:val="center"/>
              <w:rPr>
                <w:kern w:val="0"/>
                <w:sz w:val="18"/>
                <w:szCs w:val="18"/>
              </w:rPr>
            </w:pPr>
            <w:r>
              <w:rPr>
                <w:rFonts w:eastAsia="等线"/>
                <w:sz w:val="18"/>
                <w:szCs w:val="18"/>
              </w:rPr>
              <w:t>50290</w:t>
            </w:r>
          </w:p>
        </w:tc>
      </w:tr>
    </w:tbl>
    <w:p>
      <w:pPr>
        <w:rPr>
          <w:b/>
          <w:bCs/>
          <w:color w:val="FF0000"/>
          <w:sz w:val="28"/>
        </w:rPr>
      </w:pPr>
      <w:bookmarkStart w:id="510" w:name="_Toc382472272"/>
      <w:bookmarkStart w:id="511" w:name="_Toc432782600"/>
    </w:p>
    <w:p>
      <w:pPr>
        <w:pStyle w:val="4"/>
        <w:spacing w:before="120" w:beforeLines="50" w:after="120" w:afterLines="50"/>
        <w:rPr>
          <w:sz w:val="28"/>
        </w:rPr>
      </w:pPr>
      <w:bookmarkStart w:id="512" w:name="_Toc95382545"/>
      <w:r>
        <w:rPr>
          <w:sz w:val="28"/>
        </w:rPr>
        <w:t>二、供水水源地现状</w:t>
      </w:r>
      <w:bookmarkEnd w:id="510"/>
      <w:bookmarkEnd w:id="511"/>
      <w:bookmarkEnd w:id="512"/>
    </w:p>
    <w:p>
      <w:pPr>
        <w:adjustRightInd w:val="0"/>
        <w:snapToGrid w:val="0"/>
        <w:spacing w:line="360" w:lineRule="auto"/>
        <w:ind w:firstLine="480" w:firstLineChars="200"/>
        <w:rPr>
          <w:sz w:val="24"/>
        </w:rPr>
      </w:pPr>
      <w:r>
        <w:rPr>
          <w:sz w:val="24"/>
        </w:rPr>
        <w:t>全市现状水源地全为地表水水源地。六安市城区水源地为淠河水源地，已列入国家重要水源地名录（第三批）；霍邱县现状供水水源地为城东湖；舒城县现状供水水源地为杭埠河；金寨县现状供水水源地为梅山水库；霍山县现状供水水源地为佛子岭水库；叶集区现状供水水源地为梅山水库。</w:t>
      </w:r>
    </w:p>
    <w:p>
      <w:pPr>
        <w:adjustRightInd w:val="0"/>
        <w:snapToGrid w:val="0"/>
        <w:spacing w:line="360" w:lineRule="auto"/>
        <w:ind w:firstLine="480" w:firstLineChars="200"/>
        <w:rPr>
          <w:color w:val="FF0000"/>
          <w:sz w:val="24"/>
        </w:rPr>
      </w:pPr>
    </w:p>
    <w:p>
      <w:pPr>
        <w:keepNext/>
        <w:keepLines/>
        <w:adjustRightInd w:val="0"/>
        <w:snapToGrid w:val="0"/>
        <w:spacing w:before="240" w:beforeLines="100" w:after="240" w:afterLines="100" w:line="360" w:lineRule="auto"/>
        <w:jc w:val="center"/>
        <w:outlineLvl w:val="1"/>
        <w:rPr>
          <w:b/>
          <w:bCs/>
          <w:sz w:val="32"/>
          <w:szCs w:val="36"/>
        </w:rPr>
      </w:pPr>
      <w:bookmarkStart w:id="513" w:name="_Toc382472273"/>
      <w:bookmarkStart w:id="514" w:name="_Toc432782601"/>
      <w:bookmarkStart w:id="515" w:name="_Toc95382546"/>
      <w:r>
        <w:rPr>
          <w:b/>
          <w:bCs/>
          <w:sz w:val="32"/>
          <w:szCs w:val="36"/>
        </w:rPr>
        <w:t>第二节 城镇用水需求预测</w:t>
      </w:r>
      <w:bookmarkEnd w:id="513"/>
      <w:bookmarkEnd w:id="514"/>
      <w:bookmarkEnd w:id="515"/>
    </w:p>
    <w:p>
      <w:pPr>
        <w:adjustRightInd w:val="0"/>
        <w:snapToGrid w:val="0"/>
        <w:spacing w:line="360" w:lineRule="auto"/>
        <w:ind w:firstLine="480" w:firstLineChars="200"/>
        <w:rPr>
          <w:sz w:val="24"/>
        </w:rPr>
      </w:pPr>
      <w:r>
        <w:rPr>
          <w:sz w:val="24"/>
        </w:rPr>
        <w:t>根据前述</w:t>
      </w:r>
      <w:r>
        <w:rPr>
          <w:rFonts w:hint="eastAsia"/>
          <w:sz w:val="24"/>
        </w:rPr>
        <w:t>需水预测</w:t>
      </w:r>
      <w:r>
        <w:rPr>
          <w:sz w:val="24"/>
        </w:rPr>
        <w:t>章节</w:t>
      </w:r>
      <w:r>
        <w:rPr>
          <w:rFonts w:hint="eastAsia"/>
          <w:sz w:val="24"/>
        </w:rPr>
        <w:t>内容，</w:t>
      </w:r>
      <w:r>
        <w:rPr>
          <w:sz w:val="24"/>
        </w:rPr>
        <w:t>预测2025年和2030年</w:t>
      </w:r>
      <w:r>
        <w:rPr>
          <w:rFonts w:hint="eastAsia"/>
          <w:sz w:val="24"/>
        </w:rPr>
        <w:t>六安</w:t>
      </w:r>
      <w:r>
        <w:rPr>
          <w:sz w:val="24"/>
        </w:rPr>
        <w:t>市城镇人口将分别达到245.57</w:t>
      </w:r>
      <w:r>
        <w:rPr>
          <w:rFonts w:hint="eastAsia"/>
          <w:sz w:val="24"/>
        </w:rPr>
        <w:t>万</w:t>
      </w:r>
      <w:r>
        <w:rPr>
          <w:sz w:val="24"/>
        </w:rPr>
        <w:t>人和272.76万人；工业增加值将分别达到630</w:t>
      </w:r>
      <w:r>
        <w:rPr>
          <w:rFonts w:hint="eastAsia"/>
          <w:sz w:val="24"/>
        </w:rPr>
        <w:t>亿元</w:t>
      </w:r>
      <w:r>
        <w:rPr>
          <w:sz w:val="24"/>
        </w:rPr>
        <w:t>和812亿元。根据定额法预测2020年和2030年全市城镇</w:t>
      </w:r>
      <w:r>
        <w:rPr>
          <w:rFonts w:hint="eastAsia"/>
          <w:sz w:val="24"/>
        </w:rPr>
        <w:t>需</w:t>
      </w:r>
      <w:r>
        <w:rPr>
          <w:sz w:val="24"/>
        </w:rPr>
        <w:t>水量将分别达到5.49</w:t>
      </w:r>
      <w:r>
        <w:rPr>
          <w:rFonts w:hint="eastAsia"/>
          <w:sz w:val="24"/>
        </w:rPr>
        <w:t>亿</w:t>
      </w:r>
      <w:r>
        <w:rPr>
          <w:sz w:val="24"/>
        </w:rPr>
        <w:t>m</w:t>
      </w:r>
      <w:r>
        <w:rPr>
          <w:sz w:val="24"/>
          <w:vertAlign w:val="superscript"/>
        </w:rPr>
        <w:t>3</w:t>
      </w:r>
      <w:r>
        <w:rPr>
          <w:sz w:val="24"/>
        </w:rPr>
        <w:t>和6.37</w:t>
      </w:r>
      <w:r>
        <w:rPr>
          <w:rFonts w:hint="eastAsia"/>
          <w:sz w:val="24"/>
        </w:rPr>
        <w:t>亿</w:t>
      </w:r>
      <w:r>
        <w:rPr>
          <w:sz w:val="24"/>
        </w:rPr>
        <w:t>m</w:t>
      </w:r>
      <w:r>
        <w:rPr>
          <w:sz w:val="24"/>
          <w:vertAlign w:val="superscript"/>
        </w:rPr>
        <w:t>3</w:t>
      </w:r>
      <w:r>
        <w:rPr>
          <w:sz w:val="24"/>
        </w:rPr>
        <w:t>。</w:t>
      </w:r>
    </w:p>
    <w:p>
      <w:pPr>
        <w:adjustRightInd w:val="0"/>
        <w:snapToGrid w:val="0"/>
        <w:spacing w:line="360" w:lineRule="auto"/>
        <w:jc w:val="right"/>
        <w:rPr>
          <w:sz w:val="18"/>
          <w:szCs w:val="18"/>
        </w:rPr>
      </w:pPr>
      <w:r>
        <w:rPr>
          <w:b/>
          <w:bCs/>
          <w:kern w:val="0"/>
          <w:sz w:val="24"/>
        </w:rPr>
        <w:t>表8.2.1  六安市现状城镇需水</w:t>
      </w:r>
      <w:r>
        <w:rPr>
          <w:rFonts w:hint="eastAsia"/>
          <w:b/>
          <w:bCs/>
          <w:kern w:val="0"/>
          <w:sz w:val="24"/>
        </w:rPr>
        <w:t>量</w:t>
      </w:r>
      <w:r>
        <w:rPr>
          <w:b/>
          <w:bCs/>
          <w:kern w:val="0"/>
          <w:sz w:val="24"/>
        </w:rPr>
        <w:t xml:space="preserve">预测   </w:t>
      </w:r>
      <w:r>
        <w:rPr>
          <w:rFonts w:hint="eastAsia"/>
          <w:b/>
          <w:bCs/>
          <w:kern w:val="0"/>
          <w:sz w:val="24"/>
        </w:rPr>
        <w:t xml:space="preserve"> </w:t>
      </w:r>
      <w:r>
        <w:rPr>
          <w:b/>
          <w:bCs/>
          <w:kern w:val="0"/>
          <w:sz w:val="24"/>
        </w:rPr>
        <w:t xml:space="preserve">       </w:t>
      </w:r>
      <w:r>
        <w:rPr>
          <w:bCs/>
          <w:kern w:val="0"/>
          <w:sz w:val="18"/>
          <w:szCs w:val="18"/>
        </w:rPr>
        <w:t xml:space="preserve"> </w:t>
      </w:r>
      <w:r>
        <w:rPr>
          <w:rFonts w:hAnsi="宋体"/>
          <w:bCs/>
          <w:kern w:val="0"/>
          <w:sz w:val="18"/>
          <w:szCs w:val="18"/>
        </w:rPr>
        <w:t>单位：万</w:t>
      </w:r>
      <w:r>
        <w:rPr>
          <w:bCs/>
          <w:kern w:val="0"/>
          <w:sz w:val="18"/>
          <w:szCs w:val="18"/>
        </w:rPr>
        <w:t>m</w:t>
      </w:r>
      <w:r>
        <w:rPr>
          <w:bCs/>
          <w:kern w:val="0"/>
          <w:sz w:val="18"/>
          <w:szCs w:val="18"/>
          <w:vertAlign w:val="superscript"/>
        </w:rPr>
        <w:t>3</w:t>
      </w:r>
    </w:p>
    <w:tbl>
      <w:tblPr>
        <w:tblStyle w:val="3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302"/>
        <w:gridCol w:w="1528"/>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shd w:val="clear" w:color="auto" w:fill="auto"/>
            <w:vAlign w:val="center"/>
          </w:tcPr>
          <w:p>
            <w:pPr>
              <w:widowControl/>
              <w:jc w:val="center"/>
              <w:rPr>
                <w:kern w:val="0"/>
                <w:sz w:val="18"/>
                <w:szCs w:val="18"/>
              </w:rPr>
            </w:pPr>
            <w:r>
              <w:rPr>
                <w:kern w:val="0"/>
                <w:sz w:val="18"/>
                <w:szCs w:val="18"/>
              </w:rPr>
              <w:t>水平年</w:t>
            </w:r>
          </w:p>
        </w:tc>
        <w:tc>
          <w:tcPr>
            <w:tcW w:w="1268" w:type="dxa"/>
            <w:shd w:val="clear" w:color="auto" w:fill="auto"/>
            <w:vAlign w:val="center"/>
          </w:tcPr>
          <w:p>
            <w:pPr>
              <w:widowControl/>
              <w:jc w:val="center"/>
              <w:rPr>
                <w:kern w:val="0"/>
                <w:sz w:val="18"/>
                <w:szCs w:val="18"/>
              </w:rPr>
            </w:pPr>
            <w:r>
              <w:rPr>
                <w:kern w:val="0"/>
                <w:sz w:val="18"/>
                <w:szCs w:val="18"/>
              </w:rPr>
              <w:t>行政区</w:t>
            </w:r>
          </w:p>
        </w:tc>
        <w:tc>
          <w:tcPr>
            <w:tcW w:w="1487" w:type="dxa"/>
            <w:shd w:val="clear" w:color="auto" w:fill="auto"/>
            <w:vAlign w:val="center"/>
          </w:tcPr>
          <w:p>
            <w:pPr>
              <w:widowControl/>
              <w:jc w:val="center"/>
              <w:rPr>
                <w:kern w:val="0"/>
                <w:sz w:val="18"/>
                <w:szCs w:val="18"/>
              </w:rPr>
            </w:pPr>
            <w:r>
              <w:rPr>
                <w:kern w:val="0"/>
                <w:sz w:val="18"/>
                <w:szCs w:val="18"/>
              </w:rPr>
              <w:t>城镇生活需水</w:t>
            </w:r>
            <w:r>
              <w:rPr>
                <w:rFonts w:hint="eastAsia"/>
                <w:kern w:val="0"/>
                <w:sz w:val="18"/>
                <w:szCs w:val="18"/>
              </w:rPr>
              <w:t>量</w:t>
            </w:r>
          </w:p>
        </w:tc>
        <w:tc>
          <w:tcPr>
            <w:tcW w:w="1488" w:type="dxa"/>
            <w:vAlign w:val="center"/>
          </w:tcPr>
          <w:p>
            <w:pPr>
              <w:widowControl/>
              <w:jc w:val="center"/>
              <w:rPr>
                <w:kern w:val="0"/>
                <w:sz w:val="18"/>
                <w:szCs w:val="18"/>
              </w:rPr>
            </w:pPr>
            <w:r>
              <w:rPr>
                <w:kern w:val="0"/>
                <w:sz w:val="18"/>
                <w:szCs w:val="18"/>
              </w:rPr>
              <w:t>工业需水</w:t>
            </w:r>
            <w:r>
              <w:rPr>
                <w:rFonts w:hint="eastAsia"/>
                <w:kern w:val="0"/>
                <w:sz w:val="18"/>
                <w:szCs w:val="18"/>
              </w:rPr>
              <w:t>量</w:t>
            </w:r>
          </w:p>
        </w:tc>
        <w:tc>
          <w:tcPr>
            <w:tcW w:w="1488" w:type="dxa"/>
            <w:vAlign w:val="center"/>
          </w:tcPr>
          <w:p>
            <w:pPr>
              <w:widowControl/>
              <w:jc w:val="center"/>
              <w:rPr>
                <w:kern w:val="0"/>
                <w:sz w:val="18"/>
                <w:szCs w:val="18"/>
              </w:rPr>
            </w:pPr>
            <w:r>
              <w:rPr>
                <w:rFonts w:hint="eastAsia"/>
                <w:kern w:val="0"/>
                <w:sz w:val="18"/>
                <w:szCs w:val="18"/>
              </w:rPr>
              <w:t>生态需水量</w:t>
            </w:r>
          </w:p>
        </w:tc>
        <w:tc>
          <w:tcPr>
            <w:tcW w:w="1488" w:type="dxa"/>
            <w:shd w:val="clear" w:color="auto" w:fill="auto"/>
            <w:vAlign w:val="center"/>
          </w:tcPr>
          <w:p>
            <w:pPr>
              <w:widowControl/>
              <w:jc w:val="center"/>
              <w:rPr>
                <w:kern w:val="0"/>
                <w:sz w:val="18"/>
                <w:szCs w:val="18"/>
              </w:rPr>
            </w:pPr>
            <w:r>
              <w:rPr>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restart"/>
            <w:shd w:val="clear" w:color="auto" w:fill="auto"/>
            <w:vAlign w:val="center"/>
          </w:tcPr>
          <w:p>
            <w:pPr>
              <w:widowControl/>
              <w:jc w:val="center"/>
              <w:rPr>
                <w:kern w:val="0"/>
                <w:sz w:val="18"/>
                <w:szCs w:val="18"/>
              </w:rPr>
            </w:pPr>
            <w:r>
              <w:rPr>
                <w:kern w:val="0"/>
                <w:sz w:val="18"/>
                <w:szCs w:val="18"/>
              </w:rPr>
              <w:t>2025</w:t>
            </w:r>
            <w:r>
              <w:rPr>
                <w:rFonts w:hint="eastAsia"/>
                <w:kern w:val="0"/>
                <w:sz w:val="18"/>
                <w:szCs w:val="18"/>
              </w:rPr>
              <w:t>年</w:t>
            </w:r>
          </w:p>
        </w:tc>
        <w:tc>
          <w:tcPr>
            <w:tcW w:w="1268" w:type="dxa"/>
            <w:shd w:val="clear" w:color="auto" w:fill="auto"/>
            <w:vAlign w:val="center"/>
          </w:tcPr>
          <w:p>
            <w:pPr>
              <w:widowControl/>
              <w:jc w:val="center"/>
              <w:rPr>
                <w:kern w:val="0"/>
                <w:sz w:val="18"/>
                <w:szCs w:val="18"/>
              </w:rPr>
            </w:pPr>
            <w:r>
              <w:rPr>
                <w:kern w:val="0"/>
                <w:sz w:val="18"/>
                <w:szCs w:val="18"/>
              </w:rPr>
              <w:t>金安区</w:t>
            </w:r>
          </w:p>
        </w:tc>
        <w:tc>
          <w:tcPr>
            <w:tcW w:w="1487" w:type="dxa"/>
            <w:shd w:val="clear" w:color="auto" w:fill="auto"/>
            <w:vAlign w:val="center"/>
          </w:tcPr>
          <w:p>
            <w:pPr>
              <w:jc w:val="center"/>
              <w:rPr>
                <w:sz w:val="18"/>
                <w:szCs w:val="18"/>
              </w:rPr>
            </w:pPr>
            <w:r>
              <w:rPr>
                <w:rFonts w:eastAsia="等线"/>
                <w:sz w:val="18"/>
                <w:szCs w:val="18"/>
              </w:rPr>
              <w:t>5612</w:t>
            </w:r>
          </w:p>
        </w:tc>
        <w:tc>
          <w:tcPr>
            <w:tcW w:w="1488" w:type="dxa"/>
            <w:vAlign w:val="center"/>
          </w:tcPr>
          <w:p>
            <w:pPr>
              <w:jc w:val="center"/>
              <w:rPr>
                <w:sz w:val="18"/>
                <w:szCs w:val="18"/>
              </w:rPr>
            </w:pPr>
            <w:r>
              <w:rPr>
                <w:rFonts w:eastAsia="等线"/>
                <w:sz w:val="18"/>
                <w:szCs w:val="18"/>
              </w:rPr>
              <w:t>3091</w:t>
            </w:r>
          </w:p>
        </w:tc>
        <w:tc>
          <w:tcPr>
            <w:tcW w:w="1488" w:type="dxa"/>
            <w:vAlign w:val="center"/>
          </w:tcPr>
          <w:p>
            <w:pPr>
              <w:jc w:val="center"/>
              <w:rPr>
                <w:sz w:val="18"/>
                <w:szCs w:val="18"/>
              </w:rPr>
            </w:pPr>
            <w:r>
              <w:rPr>
                <w:rFonts w:eastAsia="等线"/>
                <w:sz w:val="18"/>
                <w:szCs w:val="18"/>
              </w:rPr>
              <w:t>2648</w:t>
            </w:r>
          </w:p>
        </w:tc>
        <w:tc>
          <w:tcPr>
            <w:tcW w:w="1488" w:type="dxa"/>
            <w:shd w:val="clear" w:color="auto" w:fill="auto"/>
            <w:vAlign w:val="center"/>
          </w:tcPr>
          <w:p>
            <w:pPr>
              <w:jc w:val="center"/>
              <w:rPr>
                <w:sz w:val="18"/>
                <w:szCs w:val="18"/>
              </w:rPr>
            </w:pPr>
            <w:r>
              <w:rPr>
                <w:rFonts w:eastAsia="等线"/>
                <w:sz w:val="18"/>
                <w:szCs w:val="18"/>
              </w:rPr>
              <w:t>11351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裕安区</w:t>
            </w:r>
          </w:p>
        </w:tc>
        <w:tc>
          <w:tcPr>
            <w:tcW w:w="1487" w:type="dxa"/>
            <w:shd w:val="clear" w:color="auto" w:fill="auto"/>
            <w:vAlign w:val="center"/>
          </w:tcPr>
          <w:p>
            <w:pPr>
              <w:jc w:val="center"/>
              <w:rPr>
                <w:sz w:val="18"/>
                <w:szCs w:val="18"/>
              </w:rPr>
            </w:pPr>
            <w:r>
              <w:rPr>
                <w:rFonts w:eastAsia="等线"/>
                <w:sz w:val="18"/>
                <w:szCs w:val="18"/>
              </w:rPr>
              <w:t>6068</w:t>
            </w:r>
          </w:p>
        </w:tc>
        <w:tc>
          <w:tcPr>
            <w:tcW w:w="1488" w:type="dxa"/>
            <w:vAlign w:val="center"/>
          </w:tcPr>
          <w:p>
            <w:pPr>
              <w:jc w:val="center"/>
              <w:rPr>
                <w:sz w:val="18"/>
                <w:szCs w:val="18"/>
              </w:rPr>
            </w:pPr>
            <w:r>
              <w:rPr>
                <w:rFonts w:eastAsia="等线"/>
                <w:sz w:val="18"/>
                <w:szCs w:val="18"/>
              </w:rPr>
              <w:t>2624</w:t>
            </w:r>
          </w:p>
        </w:tc>
        <w:tc>
          <w:tcPr>
            <w:tcW w:w="1488" w:type="dxa"/>
            <w:vAlign w:val="center"/>
          </w:tcPr>
          <w:p>
            <w:pPr>
              <w:jc w:val="center"/>
              <w:rPr>
                <w:sz w:val="18"/>
                <w:szCs w:val="18"/>
              </w:rPr>
            </w:pPr>
            <w:r>
              <w:rPr>
                <w:rFonts w:eastAsia="等线"/>
                <w:sz w:val="18"/>
                <w:szCs w:val="18"/>
              </w:rPr>
              <w:t>2235</w:t>
            </w:r>
          </w:p>
        </w:tc>
        <w:tc>
          <w:tcPr>
            <w:tcW w:w="1488" w:type="dxa"/>
            <w:shd w:val="clear" w:color="auto" w:fill="auto"/>
            <w:vAlign w:val="center"/>
          </w:tcPr>
          <w:p>
            <w:pPr>
              <w:jc w:val="center"/>
              <w:rPr>
                <w:sz w:val="18"/>
                <w:szCs w:val="18"/>
              </w:rPr>
            </w:pPr>
            <w:r>
              <w:rPr>
                <w:rFonts w:eastAsia="等线"/>
                <w:sz w:val="18"/>
                <w:szCs w:val="18"/>
              </w:rPr>
              <w:t>10927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rFonts w:hint="eastAsia"/>
                <w:kern w:val="0"/>
                <w:sz w:val="18"/>
                <w:szCs w:val="18"/>
              </w:rPr>
              <w:t>叶集区</w:t>
            </w:r>
          </w:p>
        </w:tc>
        <w:tc>
          <w:tcPr>
            <w:tcW w:w="1487" w:type="dxa"/>
            <w:shd w:val="clear" w:color="auto" w:fill="auto"/>
            <w:vAlign w:val="center"/>
          </w:tcPr>
          <w:p>
            <w:pPr>
              <w:jc w:val="center"/>
              <w:rPr>
                <w:sz w:val="18"/>
                <w:szCs w:val="18"/>
              </w:rPr>
            </w:pPr>
            <w:r>
              <w:rPr>
                <w:rFonts w:eastAsia="等线"/>
                <w:sz w:val="18"/>
                <w:szCs w:val="18"/>
              </w:rPr>
              <w:t>1374</w:t>
            </w:r>
          </w:p>
        </w:tc>
        <w:tc>
          <w:tcPr>
            <w:tcW w:w="1488" w:type="dxa"/>
            <w:vAlign w:val="center"/>
          </w:tcPr>
          <w:p>
            <w:pPr>
              <w:jc w:val="center"/>
              <w:rPr>
                <w:sz w:val="18"/>
                <w:szCs w:val="18"/>
              </w:rPr>
            </w:pPr>
            <w:r>
              <w:rPr>
                <w:rFonts w:eastAsia="等线"/>
                <w:sz w:val="18"/>
                <w:szCs w:val="18"/>
              </w:rPr>
              <w:t>1212</w:t>
            </w:r>
          </w:p>
        </w:tc>
        <w:tc>
          <w:tcPr>
            <w:tcW w:w="1488" w:type="dxa"/>
            <w:vAlign w:val="center"/>
          </w:tcPr>
          <w:p>
            <w:pPr>
              <w:jc w:val="center"/>
              <w:rPr>
                <w:sz w:val="18"/>
                <w:szCs w:val="18"/>
              </w:rPr>
            </w:pPr>
            <w:r>
              <w:rPr>
                <w:rFonts w:eastAsia="等线"/>
                <w:sz w:val="18"/>
                <w:szCs w:val="18"/>
              </w:rPr>
              <w:t>192</w:t>
            </w:r>
          </w:p>
        </w:tc>
        <w:tc>
          <w:tcPr>
            <w:tcW w:w="1488" w:type="dxa"/>
            <w:shd w:val="clear" w:color="auto" w:fill="auto"/>
            <w:vAlign w:val="center"/>
          </w:tcPr>
          <w:p>
            <w:pPr>
              <w:jc w:val="center"/>
              <w:rPr>
                <w:sz w:val="18"/>
                <w:szCs w:val="18"/>
              </w:rPr>
            </w:pPr>
            <w:r>
              <w:rPr>
                <w:rFonts w:eastAsia="等线"/>
                <w:sz w:val="18"/>
                <w:szCs w:val="18"/>
              </w:rPr>
              <w:t>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霍邱县</w:t>
            </w:r>
          </w:p>
        </w:tc>
        <w:tc>
          <w:tcPr>
            <w:tcW w:w="1487" w:type="dxa"/>
            <w:shd w:val="clear" w:color="auto" w:fill="auto"/>
            <w:vAlign w:val="center"/>
          </w:tcPr>
          <w:p>
            <w:pPr>
              <w:jc w:val="center"/>
              <w:rPr>
                <w:sz w:val="18"/>
                <w:szCs w:val="18"/>
              </w:rPr>
            </w:pPr>
            <w:r>
              <w:rPr>
                <w:rFonts w:eastAsia="等线"/>
                <w:sz w:val="18"/>
                <w:szCs w:val="18"/>
              </w:rPr>
              <w:t>5001</w:t>
            </w:r>
          </w:p>
        </w:tc>
        <w:tc>
          <w:tcPr>
            <w:tcW w:w="1488" w:type="dxa"/>
            <w:vAlign w:val="center"/>
          </w:tcPr>
          <w:p>
            <w:pPr>
              <w:jc w:val="center"/>
              <w:rPr>
                <w:sz w:val="18"/>
                <w:szCs w:val="18"/>
              </w:rPr>
            </w:pPr>
            <w:r>
              <w:rPr>
                <w:rFonts w:eastAsia="等线"/>
                <w:sz w:val="18"/>
                <w:szCs w:val="18"/>
              </w:rPr>
              <w:t>3346</w:t>
            </w:r>
          </w:p>
        </w:tc>
        <w:tc>
          <w:tcPr>
            <w:tcW w:w="1488" w:type="dxa"/>
            <w:vAlign w:val="center"/>
          </w:tcPr>
          <w:p>
            <w:pPr>
              <w:jc w:val="center"/>
              <w:rPr>
                <w:sz w:val="18"/>
                <w:szCs w:val="18"/>
              </w:rPr>
            </w:pPr>
            <w:r>
              <w:rPr>
                <w:rFonts w:eastAsia="等线"/>
                <w:sz w:val="18"/>
                <w:szCs w:val="18"/>
              </w:rPr>
              <w:t>274</w:t>
            </w:r>
          </w:p>
        </w:tc>
        <w:tc>
          <w:tcPr>
            <w:tcW w:w="1488" w:type="dxa"/>
            <w:shd w:val="clear" w:color="auto" w:fill="auto"/>
            <w:vAlign w:val="center"/>
          </w:tcPr>
          <w:p>
            <w:pPr>
              <w:jc w:val="center"/>
              <w:rPr>
                <w:sz w:val="18"/>
                <w:szCs w:val="18"/>
              </w:rPr>
            </w:pPr>
            <w:r>
              <w:rPr>
                <w:rFonts w:eastAsia="等线"/>
                <w:sz w:val="18"/>
                <w:szCs w:val="18"/>
              </w:rPr>
              <w:t>8621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舒城县</w:t>
            </w:r>
          </w:p>
        </w:tc>
        <w:tc>
          <w:tcPr>
            <w:tcW w:w="1487" w:type="dxa"/>
            <w:shd w:val="clear" w:color="auto" w:fill="auto"/>
            <w:vAlign w:val="center"/>
          </w:tcPr>
          <w:p>
            <w:pPr>
              <w:jc w:val="center"/>
              <w:rPr>
                <w:sz w:val="18"/>
                <w:szCs w:val="18"/>
              </w:rPr>
            </w:pPr>
            <w:r>
              <w:rPr>
                <w:rFonts w:eastAsia="等线"/>
                <w:sz w:val="18"/>
                <w:szCs w:val="18"/>
              </w:rPr>
              <w:t>3899</w:t>
            </w:r>
          </w:p>
        </w:tc>
        <w:tc>
          <w:tcPr>
            <w:tcW w:w="1488" w:type="dxa"/>
            <w:vAlign w:val="center"/>
          </w:tcPr>
          <w:p>
            <w:pPr>
              <w:jc w:val="center"/>
              <w:rPr>
                <w:sz w:val="18"/>
                <w:szCs w:val="18"/>
              </w:rPr>
            </w:pPr>
            <w:r>
              <w:rPr>
                <w:rFonts w:eastAsia="等线"/>
                <w:sz w:val="18"/>
                <w:szCs w:val="18"/>
              </w:rPr>
              <w:t>4201</w:t>
            </w:r>
          </w:p>
        </w:tc>
        <w:tc>
          <w:tcPr>
            <w:tcW w:w="1488" w:type="dxa"/>
            <w:vAlign w:val="center"/>
          </w:tcPr>
          <w:p>
            <w:pPr>
              <w:jc w:val="center"/>
              <w:rPr>
                <w:sz w:val="18"/>
                <w:szCs w:val="18"/>
              </w:rPr>
            </w:pPr>
            <w:r>
              <w:rPr>
                <w:rFonts w:eastAsia="等线"/>
                <w:sz w:val="18"/>
                <w:szCs w:val="18"/>
              </w:rPr>
              <w:t>1083</w:t>
            </w:r>
          </w:p>
        </w:tc>
        <w:tc>
          <w:tcPr>
            <w:tcW w:w="1488" w:type="dxa"/>
            <w:shd w:val="clear" w:color="auto" w:fill="auto"/>
            <w:vAlign w:val="center"/>
          </w:tcPr>
          <w:p>
            <w:pPr>
              <w:jc w:val="center"/>
              <w:rPr>
                <w:sz w:val="18"/>
                <w:szCs w:val="18"/>
              </w:rPr>
            </w:pPr>
            <w:r>
              <w:rPr>
                <w:rFonts w:eastAsia="等线"/>
                <w:sz w:val="18"/>
                <w:szCs w:val="18"/>
              </w:rPr>
              <w:t>9183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金寨县</w:t>
            </w:r>
          </w:p>
        </w:tc>
        <w:tc>
          <w:tcPr>
            <w:tcW w:w="1487" w:type="dxa"/>
            <w:shd w:val="clear" w:color="auto" w:fill="auto"/>
            <w:vAlign w:val="center"/>
          </w:tcPr>
          <w:p>
            <w:pPr>
              <w:jc w:val="center"/>
              <w:rPr>
                <w:sz w:val="18"/>
                <w:szCs w:val="18"/>
              </w:rPr>
            </w:pPr>
            <w:r>
              <w:rPr>
                <w:rFonts w:eastAsia="等线"/>
                <w:sz w:val="18"/>
                <w:szCs w:val="18"/>
              </w:rPr>
              <w:t>2748</w:t>
            </w:r>
          </w:p>
        </w:tc>
        <w:tc>
          <w:tcPr>
            <w:tcW w:w="1488" w:type="dxa"/>
            <w:vAlign w:val="center"/>
          </w:tcPr>
          <w:p>
            <w:pPr>
              <w:jc w:val="center"/>
              <w:rPr>
                <w:sz w:val="18"/>
                <w:szCs w:val="18"/>
              </w:rPr>
            </w:pPr>
            <w:r>
              <w:rPr>
                <w:rFonts w:eastAsia="等线"/>
                <w:sz w:val="18"/>
                <w:szCs w:val="18"/>
              </w:rPr>
              <w:t>2015</w:t>
            </w:r>
          </w:p>
        </w:tc>
        <w:tc>
          <w:tcPr>
            <w:tcW w:w="1488" w:type="dxa"/>
            <w:vAlign w:val="center"/>
          </w:tcPr>
          <w:p>
            <w:pPr>
              <w:jc w:val="center"/>
              <w:rPr>
                <w:sz w:val="18"/>
                <w:szCs w:val="18"/>
              </w:rPr>
            </w:pPr>
            <w:r>
              <w:rPr>
                <w:rFonts w:eastAsia="等线"/>
                <w:sz w:val="18"/>
                <w:szCs w:val="18"/>
              </w:rPr>
              <w:t>723</w:t>
            </w:r>
          </w:p>
        </w:tc>
        <w:tc>
          <w:tcPr>
            <w:tcW w:w="1488" w:type="dxa"/>
            <w:shd w:val="clear" w:color="auto" w:fill="auto"/>
            <w:vAlign w:val="center"/>
          </w:tcPr>
          <w:p>
            <w:pPr>
              <w:jc w:val="center"/>
              <w:rPr>
                <w:sz w:val="18"/>
                <w:szCs w:val="18"/>
              </w:rPr>
            </w:pPr>
            <w:r>
              <w:rPr>
                <w:rFonts w:eastAsia="等线"/>
                <w:sz w:val="18"/>
                <w:szCs w:val="18"/>
              </w:rPr>
              <w:t>5486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霍山县</w:t>
            </w:r>
          </w:p>
        </w:tc>
        <w:tc>
          <w:tcPr>
            <w:tcW w:w="1487" w:type="dxa"/>
            <w:shd w:val="clear" w:color="auto" w:fill="auto"/>
            <w:vAlign w:val="center"/>
          </w:tcPr>
          <w:p>
            <w:pPr>
              <w:jc w:val="center"/>
              <w:rPr>
                <w:sz w:val="18"/>
                <w:szCs w:val="18"/>
              </w:rPr>
            </w:pPr>
            <w:r>
              <w:rPr>
                <w:rFonts w:eastAsia="等线"/>
                <w:sz w:val="18"/>
                <w:szCs w:val="18"/>
              </w:rPr>
              <w:t>1746</w:t>
            </w:r>
          </w:p>
        </w:tc>
        <w:tc>
          <w:tcPr>
            <w:tcW w:w="1488" w:type="dxa"/>
            <w:vAlign w:val="center"/>
          </w:tcPr>
          <w:p>
            <w:pPr>
              <w:jc w:val="center"/>
              <w:rPr>
                <w:sz w:val="18"/>
                <w:szCs w:val="18"/>
              </w:rPr>
            </w:pPr>
            <w:r>
              <w:rPr>
                <w:rFonts w:eastAsia="等线"/>
                <w:sz w:val="18"/>
                <w:szCs w:val="18"/>
              </w:rPr>
              <w:t>4300</w:t>
            </w:r>
          </w:p>
        </w:tc>
        <w:tc>
          <w:tcPr>
            <w:tcW w:w="1488" w:type="dxa"/>
            <w:vAlign w:val="center"/>
          </w:tcPr>
          <w:p>
            <w:pPr>
              <w:jc w:val="center"/>
              <w:rPr>
                <w:sz w:val="18"/>
                <w:szCs w:val="18"/>
              </w:rPr>
            </w:pPr>
            <w:r>
              <w:rPr>
                <w:rFonts w:eastAsia="等线"/>
                <w:sz w:val="18"/>
                <w:szCs w:val="18"/>
              </w:rPr>
              <w:t>495</w:t>
            </w:r>
          </w:p>
        </w:tc>
        <w:tc>
          <w:tcPr>
            <w:tcW w:w="1488" w:type="dxa"/>
            <w:shd w:val="clear" w:color="auto" w:fill="auto"/>
            <w:vAlign w:val="center"/>
          </w:tcPr>
          <w:p>
            <w:pPr>
              <w:jc w:val="center"/>
              <w:rPr>
                <w:sz w:val="18"/>
                <w:szCs w:val="18"/>
              </w:rPr>
            </w:pPr>
            <w:r>
              <w:rPr>
                <w:rFonts w:eastAsia="等线"/>
                <w:sz w:val="18"/>
                <w:szCs w:val="18"/>
              </w:rPr>
              <w:t>6541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b/>
                <w:kern w:val="0"/>
                <w:sz w:val="18"/>
                <w:szCs w:val="18"/>
              </w:rPr>
            </w:pPr>
            <w:r>
              <w:rPr>
                <w:b/>
                <w:bCs/>
                <w:kern w:val="0"/>
                <w:sz w:val="18"/>
                <w:szCs w:val="18"/>
              </w:rPr>
              <w:t>合计</w:t>
            </w:r>
          </w:p>
        </w:tc>
        <w:tc>
          <w:tcPr>
            <w:tcW w:w="1487" w:type="dxa"/>
            <w:shd w:val="clear" w:color="auto" w:fill="auto"/>
            <w:vAlign w:val="center"/>
          </w:tcPr>
          <w:p>
            <w:pPr>
              <w:jc w:val="center"/>
              <w:rPr>
                <w:b/>
                <w:sz w:val="18"/>
                <w:szCs w:val="18"/>
              </w:rPr>
            </w:pPr>
            <w:r>
              <w:rPr>
                <w:rFonts w:eastAsia="等线"/>
                <w:b/>
                <w:bCs/>
                <w:sz w:val="18"/>
                <w:szCs w:val="18"/>
              </w:rPr>
              <w:t>26448</w:t>
            </w:r>
          </w:p>
        </w:tc>
        <w:tc>
          <w:tcPr>
            <w:tcW w:w="1488" w:type="dxa"/>
            <w:vAlign w:val="center"/>
          </w:tcPr>
          <w:p>
            <w:pPr>
              <w:jc w:val="center"/>
              <w:rPr>
                <w:b/>
                <w:sz w:val="18"/>
                <w:szCs w:val="18"/>
              </w:rPr>
            </w:pPr>
            <w:r>
              <w:rPr>
                <w:rFonts w:eastAsia="等线"/>
                <w:b/>
                <w:bCs/>
                <w:sz w:val="18"/>
                <w:szCs w:val="18"/>
              </w:rPr>
              <w:t>20789</w:t>
            </w:r>
          </w:p>
        </w:tc>
        <w:tc>
          <w:tcPr>
            <w:tcW w:w="1488" w:type="dxa"/>
            <w:vAlign w:val="center"/>
          </w:tcPr>
          <w:p>
            <w:pPr>
              <w:jc w:val="center"/>
              <w:rPr>
                <w:b/>
                <w:sz w:val="18"/>
                <w:szCs w:val="18"/>
              </w:rPr>
            </w:pPr>
            <w:r>
              <w:rPr>
                <w:rFonts w:eastAsia="等线"/>
                <w:b/>
                <w:bCs/>
                <w:sz w:val="18"/>
                <w:szCs w:val="18"/>
              </w:rPr>
              <w:t>7650</w:t>
            </w:r>
          </w:p>
        </w:tc>
        <w:tc>
          <w:tcPr>
            <w:tcW w:w="1488" w:type="dxa"/>
            <w:shd w:val="clear" w:color="auto" w:fill="auto"/>
            <w:vAlign w:val="center"/>
          </w:tcPr>
          <w:p>
            <w:pPr>
              <w:jc w:val="center"/>
              <w:rPr>
                <w:b/>
                <w:sz w:val="18"/>
                <w:szCs w:val="18"/>
              </w:rPr>
            </w:pPr>
            <w:r>
              <w:rPr>
                <w:rFonts w:eastAsia="等线"/>
                <w:b/>
                <w:bCs/>
                <w:sz w:val="18"/>
                <w:szCs w:val="18"/>
              </w:rPr>
              <w:t>54887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restart"/>
            <w:shd w:val="clear" w:color="auto" w:fill="auto"/>
            <w:vAlign w:val="center"/>
          </w:tcPr>
          <w:p>
            <w:pPr>
              <w:widowControl/>
              <w:jc w:val="center"/>
              <w:rPr>
                <w:kern w:val="0"/>
                <w:sz w:val="18"/>
                <w:szCs w:val="18"/>
              </w:rPr>
            </w:pPr>
            <w:r>
              <w:rPr>
                <w:kern w:val="0"/>
                <w:sz w:val="18"/>
                <w:szCs w:val="18"/>
              </w:rPr>
              <w:t>2030</w:t>
            </w:r>
            <w:r>
              <w:rPr>
                <w:rFonts w:hint="eastAsia"/>
                <w:kern w:val="0"/>
                <w:sz w:val="18"/>
                <w:szCs w:val="18"/>
              </w:rPr>
              <w:t>年</w:t>
            </w:r>
          </w:p>
        </w:tc>
        <w:tc>
          <w:tcPr>
            <w:tcW w:w="1268" w:type="dxa"/>
            <w:shd w:val="clear" w:color="auto" w:fill="auto"/>
            <w:vAlign w:val="center"/>
          </w:tcPr>
          <w:p>
            <w:pPr>
              <w:widowControl/>
              <w:jc w:val="center"/>
              <w:rPr>
                <w:kern w:val="0"/>
                <w:sz w:val="18"/>
                <w:szCs w:val="18"/>
              </w:rPr>
            </w:pPr>
            <w:r>
              <w:rPr>
                <w:kern w:val="0"/>
                <w:sz w:val="18"/>
                <w:szCs w:val="18"/>
              </w:rPr>
              <w:t>金安区</w:t>
            </w:r>
          </w:p>
        </w:tc>
        <w:tc>
          <w:tcPr>
            <w:tcW w:w="1487" w:type="dxa"/>
            <w:shd w:val="clear" w:color="auto" w:fill="auto"/>
            <w:vAlign w:val="center"/>
          </w:tcPr>
          <w:p>
            <w:pPr>
              <w:jc w:val="center"/>
              <w:rPr>
                <w:sz w:val="18"/>
                <w:szCs w:val="18"/>
              </w:rPr>
            </w:pPr>
            <w:r>
              <w:rPr>
                <w:rFonts w:eastAsia="等线"/>
                <w:sz w:val="18"/>
                <w:szCs w:val="18"/>
              </w:rPr>
              <w:t>6744</w:t>
            </w:r>
          </w:p>
        </w:tc>
        <w:tc>
          <w:tcPr>
            <w:tcW w:w="1488" w:type="dxa"/>
            <w:vAlign w:val="center"/>
          </w:tcPr>
          <w:p>
            <w:pPr>
              <w:jc w:val="center"/>
              <w:rPr>
                <w:sz w:val="18"/>
                <w:szCs w:val="18"/>
              </w:rPr>
            </w:pPr>
            <w:r>
              <w:rPr>
                <w:rFonts w:eastAsia="等线"/>
                <w:sz w:val="18"/>
                <w:szCs w:val="18"/>
              </w:rPr>
              <w:t>3387</w:t>
            </w:r>
          </w:p>
        </w:tc>
        <w:tc>
          <w:tcPr>
            <w:tcW w:w="1488" w:type="dxa"/>
            <w:vAlign w:val="center"/>
          </w:tcPr>
          <w:p>
            <w:pPr>
              <w:jc w:val="center"/>
              <w:rPr>
                <w:sz w:val="18"/>
                <w:szCs w:val="18"/>
              </w:rPr>
            </w:pPr>
            <w:r>
              <w:rPr>
                <w:rFonts w:eastAsia="等线"/>
                <w:sz w:val="18"/>
                <w:szCs w:val="18"/>
              </w:rPr>
              <w:t>2856</w:t>
            </w:r>
          </w:p>
        </w:tc>
        <w:tc>
          <w:tcPr>
            <w:tcW w:w="1488" w:type="dxa"/>
            <w:shd w:val="clear" w:color="auto" w:fill="auto"/>
            <w:vAlign w:val="center"/>
          </w:tcPr>
          <w:p>
            <w:pPr>
              <w:jc w:val="center"/>
              <w:rPr>
                <w:sz w:val="18"/>
                <w:szCs w:val="18"/>
              </w:rPr>
            </w:pPr>
            <w:r>
              <w:rPr>
                <w:rFonts w:eastAsia="等线"/>
                <w:sz w:val="18"/>
                <w:szCs w:val="18"/>
              </w:rPr>
              <w:t>12987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裕安区</w:t>
            </w:r>
          </w:p>
        </w:tc>
        <w:tc>
          <w:tcPr>
            <w:tcW w:w="1487" w:type="dxa"/>
            <w:shd w:val="clear" w:color="auto" w:fill="auto"/>
            <w:vAlign w:val="center"/>
          </w:tcPr>
          <w:p>
            <w:pPr>
              <w:jc w:val="center"/>
              <w:rPr>
                <w:sz w:val="18"/>
                <w:szCs w:val="18"/>
              </w:rPr>
            </w:pPr>
            <w:r>
              <w:rPr>
                <w:rFonts w:eastAsia="等线"/>
                <w:sz w:val="18"/>
                <w:szCs w:val="18"/>
              </w:rPr>
              <w:t>7551</w:t>
            </w:r>
          </w:p>
        </w:tc>
        <w:tc>
          <w:tcPr>
            <w:tcW w:w="1488" w:type="dxa"/>
            <w:vAlign w:val="center"/>
          </w:tcPr>
          <w:p>
            <w:pPr>
              <w:jc w:val="center"/>
              <w:rPr>
                <w:sz w:val="18"/>
                <w:szCs w:val="18"/>
              </w:rPr>
            </w:pPr>
            <w:r>
              <w:rPr>
                <w:rFonts w:eastAsia="等线"/>
                <w:sz w:val="18"/>
                <w:szCs w:val="18"/>
              </w:rPr>
              <w:t>2876</w:t>
            </w:r>
          </w:p>
        </w:tc>
        <w:tc>
          <w:tcPr>
            <w:tcW w:w="1488" w:type="dxa"/>
            <w:vAlign w:val="center"/>
          </w:tcPr>
          <w:p>
            <w:pPr>
              <w:jc w:val="center"/>
              <w:rPr>
                <w:sz w:val="18"/>
                <w:szCs w:val="18"/>
              </w:rPr>
            </w:pPr>
            <w:r>
              <w:rPr>
                <w:rFonts w:eastAsia="等线"/>
                <w:sz w:val="18"/>
                <w:szCs w:val="18"/>
              </w:rPr>
              <w:t>2382</w:t>
            </w:r>
          </w:p>
        </w:tc>
        <w:tc>
          <w:tcPr>
            <w:tcW w:w="1488" w:type="dxa"/>
            <w:shd w:val="clear" w:color="auto" w:fill="auto"/>
            <w:vAlign w:val="center"/>
          </w:tcPr>
          <w:p>
            <w:pPr>
              <w:jc w:val="center"/>
              <w:rPr>
                <w:sz w:val="18"/>
                <w:szCs w:val="18"/>
              </w:rPr>
            </w:pPr>
            <w:r>
              <w:rPr>
                <w:rFonts w:eastAsia="等线"/>
                <w:sz w:val="18"/>
                <w:szCs w:val="18"/>
              </w:rPr>
              <w:t>12809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rFonts w:hint="eastAsia"/>
                <w:kern w:val="0"/>
                <w:sz w:val="18"/>
                <w:szCs w:val="18"/>
              </w:rPr>
              <w:t>叶集区</w:t>
            </w:r>
          </w:p>
        </w:tc>
        <w:tc>
          <w:tcPr>
            <w:tcW w:w="1487" w:type="dxa"/>
            <w:shd w:val="clear" w:color="auto" w:fill="auto"/>
            <w:vAlign w:val="center"/>
          </w:tcPr>
          <w:p>
            <w:pPr>
              <w:jc w:val="center"/>
              <w:rPr>
                <w:sz w:val="18"/>
                <w:szCs w:val="18"/>
              </w:rPr>
            </w:pPr>
            <w:r>
              <w:rPr>
                <w:rFonts w:eastAsia="等线"/>
                <w:sz w:val="18"/>
                <w:szCs w:val="18"/>
              </w:rPr>
              <w:t>1654</w:t>
            </w:r>
          </w:p>
        </w:tc>
        <w:tc>
          <w:tcPr>
            <w:tcW w:w="1488" w:type="dxa"/>
            <w:vAlign w:val="center"/>
          </w:tcPr>
          <w:p>
            <w:pPr>
              <w:jc w:val="center"/>
              <w:rPr>
                <w:sz w:val="18"/>
                <w:szCs w:val="18"/>
              </w:rPr>
            </w:pPr>
            <w:r>
              <w:rPr>
                <w:rFonts w:eastAsia="等线"/>
                <w:sz w:val="18"/>
                <w:szCs w:val="18"/>
              </w:rPr>
              <w:t>1327</w:t>
            </w:r>
          </w:p>
        </w:tc>
        <w:tc>
          <w:tcPr>
            <w:tcW w:w="1488" w:type="dxa"/>
            <w:vAlign w:val="center"/>
          </w:tcPr>
          <w:p>
            <w:pPr>
              <w:jc w:val="center"/>
              <w:rPr>
                <w:sz w:val="18"/>
                <w:szCs w:val="18"/>
              </w:rPr>
            </w:pPr>
            <w:r>
              <w:rPr>
                <w:rFonts w:eastAsia="等线"/>
                <w:sz w:val="18"/>
                <w:szCs w:val="18"/>
              </w:rPr>
              <w:t>230</w:t>
            </w:r>
          </w:p>
        </w:tc>
        <w:tc>
          <w:tcPr>
            <w:tcW w:w="1488" w:type="dxa"/>
            <w:shd w:val="clear" w:color="auto" w:fill="auto"/>
            <w:vAlign w:val="center"/>
          </w:tcPr>
          <w:p>
            <w:pPr>
              <w:jc w:val="center"/>
              <w:rPr>
                <w:sz w:val="18"/>
                <w:szCs w:val="18"/>
              </w:rPr>
            </w:pPr>
            <w:r>
              <w:rPr>
                <w:rFonts w:eastAsia="等线"/>
                <w:sz w:val="18"/>
                <w:szCs w:val="18"/>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霍邱县</w:t>
            </w:r>
          </w:p>
        </w:tc>
        <w:tc>
          <w:tcPr>
            <w:tcW w:w="1487" w:type="dxa"/>
            <w:shd w:val="clear" w:color="auto" w:fill="auto"/>
            <w:vAlign w:val="center"/>
          </w:tcPr>
          <w:p>
            <w:pPr>
              <w:jc w:val="center"/>
              <w:rPr>
                <w:sz w:val="18"/>
                <w:szCs w:val="18"/>
              </w:rPr>
            </w:pPr>
            <w:r>
              <w:rPr>
                <w:rFonts w:eastAsia="等线"/>
                <w:sz w:val="18"/>
                <w:szCs w:val="18"/>
              </w:rPr>
              <w:t>6136</w:t>
            </w:r>
          </w:p>
        </w:tc>
        <w:tc>
          <w:tcPr>
            <w:tcW w:w="1488" w:type="dxa"/>
            <w:vAlign w:val="center"/>
          </w:tcPr>
          <w:p>
            <w:pPr>
              <w:jc w:val="center"/>
              <w:rPr>
                <w:sz w:val="18"/>
                <w:szCs w:val="18"/>
              </w:rPr>
            </w:pPr>
            <w:r>
              <w:rPr>
                <w:rFonts w:eastAsia="等线"/>
                <w:sz w:val="18"/>
                <w:szCs w:val="18"/>
              </w:rPr>
              <w:t>3667</w:t>
            </w:r>
          </w:p>
        </w:tc>
        <w:tc>
          <w:tcPr>
            <w:tcW w:w="1488" w:type="dxa"/>
            <w:vAlign w:val="center"/>
          </w:tcPr>
          <w:p>
            <w:pPr>
              <w:jc w:val="center"/>
              <w:rPr>
                <w:sz w:val="18"/>
                <w:szCs w:val="18"/>
              </w:rPr>
            </w:pPr>
            <w:r>
              <w:rPr>
                <w:rFonts w:eastAsia="等线"/>
                <w:sz w:val="18"/>
                <w:szCs w:val="18"/>
              </w:rPr>
              <w:t>329</w:t>
            </w:r>
          </w:p>
        </w:tc>
        <w:tc>
          <w:tcPr>
            <w:tcW w:w="1488" w:type="dxa"/>
            <w:shd w:val="clear" w:color="auto" w:fill="auto"/>
            <w:vAlign w:val="center"/>
          </w:tcPr>
          <w:p>
            <w:pPr>
              <w:jc w:val="center"/>
              <w:rPr>
                <w:sz w:val="18"/>
                <w:szCs w:val="18"/>
              </w:rPr>
            </w:pPr>
            <w:r>
              <w:rPr>
                <w:rFonts w:eastAsia="等线"/>
                <w:sz w:val="18"/>
                <w:szCs w:val="18"/>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舒城县</w:t>
            </w:r>
          </w:p>
        </w:tc>
        <w:tc>
          <w:tcPr>
            <w:tcW w:w="1487" w:type="dxa"/>
            <w:shd w:val="clear" w:color="auto" w:fill="auto"/>
            <w:vAlign w:val="center"/>
          </w:tcPr>
          <w:p>
            <w:pPr>
              <w:jc w:val="center"/>
              <w:rPr>
                <w:sz w:val="18"/>
                <w:szCs w:val="18"/>
              </w:rPr>
            </w:pPr>
            <w:r>
              <w:rPr>
                <w:rFonts w:eastAsia="等线"/>
                <w:sz w:val="18"/>
                <w:szCs w:val="18"/>
              </w:rPr>
              <w:t>4865</w:t>
            </w:r>
          </w:p>
        </w:tc>
        <w:tc>
          <w:tcPr>
            <w:tcW w:w="1488" w:type="dxa"/>
            <w:vAlign w:val="center"/>
          </w:tcPr>
          <w:p>
            <w:pPr>
              <w:jc w:val="center"/>
              <w:rPr>
                <w:sz w:val="18"/>
                <w:szCs w:val="18"/>
              </w:rPr>
            </w:pPr>
            <w:r>
              <w:rPr>
                <w:rFonts w:eastAsia="等线"/>
                <w:sz w:val="18"/>
                <w:szCs w:val="18"/>
              </w:rPr>
              <w:t>4603</w:t>
            </w:r>
          </w:p>
        </w:tc>
        <w:tc>
          <w:tcPr>
            <w:tcW w:w="1488" w:type="dxa"/>
            <w:vAlign w:val="center"/>
          </w:tcPr>
          <w:p>
            <w:pPr>
              <w:jc w:val="center"/>
              <w:rPr>
                <w:sz w:val="18"/>
                <w:szCs w:val="18"/>
              </w:rPr>
            </w:pPr>
            <w:r>
              <w:rPr>
                <w:rFonts w:eastAsia="等线"/>
                <w:sz w:val="18"/>
                <w:szCs w:val="18"/>
              </w:rPr>
              <w:t>1225</w:t>
            </w:r>
          </w:p>
        </w:tc>
        <w:tc>
          <w:tcPr>
            <w:tcW w:w="1488" w:type="dxa"/>
            <w:shd w:val="clear" w:color="auto" w:fill="auto"/>
            <w:vAlign w:val="center"/>
          </w:tcPr>
          <w:p>
            <w:pPr>
              <w:jc w:val="center"/>
              <w:rPr>
                <w:sz w:val="18"/>
                <w:szCs w:val="18"/>
              </w:rPr>
            </w:pPr>
            <w:r>
              <w:rPr>
                <w:rFonts w:eastAsia="等线"/>
                <w:sz w:val="18"/>
                <w:szCs w:val="18"/>
              </w:rPr>
              <w:t>10693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金寨县</w:t>
            </w:r>
          </w:p>
        </w:tc>
        <w:tc>
          <w:tcPr>
            <w:tcW w:w="1487" w:type="dxa"/>
            <w:shd w:val="clear" w:color="auto" w:fill="auto"/>
            <w:vAlign w:val="center"/>
          </w:tcPr>
          <w:p>
            <w:pPr>
              <w:jc w:val="center"/>
              <w:rPr>
                <w:sz w:val="18"/>
                <w:szCs w:val="18"/>
              </w:rPr>
            </w:pPr>
            <w:r>
              <w:rPr>
                <w:rFonts w:eastAsia="等线"/>
                <w:sz w:val="18"/>
                <w:szCs w:val="18"/>
              </w:rPr>
              <w:t>3426</w:t>
            </w:r>
          </w:p>
        </w:tc>
        <w:tc>
          <w:tcPr>
            <w:tcW w:w="1488" w:type="dxa"/>
            <w:vAlign w:val="center"/>
          </w:tcPr>
          <w:p>
            <w:pPr>
              <w:jc w:val="center"/>
              <w:rPr>
                <w:sz w:val="18"/>
                <w:szCs w:val="18"/>
              </w:rPr>
            </w:pPr>
            <w:r>
              <w:rPr>
                <w:rFonts w:eastAsia="等线"/>
                <w:sz w:val="18"/>
                <w:szCs w:val="18"/>
              </w:rPr>
              <w:t>2207</w:t>
            </w:r>
          </w:p>
        </w:tc>
        <w:tc>
          <w:tcPr>
            <w:tcW w:w="1488" w:type="dxa"/>
            <w:vAlign w:val="center"/>
          </w:tcPr>
          <w:p>
            <w:pPr>
              <w:jc w:val="center"/>
              <w:rPr>
                <w:sz w:val="18"/>
                <w:szCs w:val="18"/>
              </w:rPr>
            </w:pPr>
            <w:r>
              <w:rPr>
                <w:rFonts w:eastAsia="等线"/>
                <w:sz w:val="18"/>
                <w:szCs w:val="18"/>
              </w:rPr>
              <w:t>800</w:t>
            </w:r>
          </w:p>
        </w:tc>
        <w:tc>
          <w:tcPr>
            <w:tcW w:w="1488" w:type="dxa"/>
            <w:shd w:val="clear" w:color="auto" w:fill="auto"/>
            <w:vAlign w:val="center"/>
          </w:tcPr>
          <w:p>
            <w:pPr>
              <w:jc w:val="center"/>
              <w:rPr>
                <w:sz w:val="18"/>
                <w:szCs w:val="18"/>
              </w:rPr>
            </w:pPr>
            <w:r>
              <w:rPr>
                <w:rFonts w:eastAsia="等线"/>
                <w:sz w:val="18"/>
                <w:szCs w:val="18"/>
              </w:rPr>
              <w:t>6433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kern w:val="0"/>
                <w:sz w:val="18"/>
                <w:szCs w:val="18"/>
              </w:rPr>
            </w:pPr>
            <w:r>
              <w:rPr>
                <w:kern w:val="0"/>
                <w:sz w:val="18"/>
                <w:szCs w:val="18"/>
              </w:rPr>
              <w:t>霍山县</w:t>
            </w:r>
          </w:p>
        </w:tc>
        <w:tc>
          <w:tcPr>
            <w:tcW w:w="1487" w:type="dxa"/>
            <w:shd w:val="clear" w:color="auto" w:fill="auto"/>
            <w:vAlign w:val="center"/>
          </w:tcPr>
          <w:p>
            <w:pPr>
              <w:jc w:val="center"/>
              <w:rPr>
                <w:sz w:val="18"/>
                <w:szCs w:val="18"/>
              </w:rPr>
            </w:pPr>
            <w:r>
              <w:rPr>
                <w:rFonts w:eastAsia="等线"/>
                <w:sz w:val="18"/>
                <w:szCs w:val="18"/>
              </w:rPr>
              <w:t>2158</w:t>
            </w:r>
          </w:p>
        </w:tc>
        <w:tc>
          <w:tcPr>
            <w:tcW w:w="1488" w:type="dxa"/>
            <w:vAlign w:val="center"/>
          </w:tcPr>
          <w:p>
            <w:pPr>
              <w:jc w:val="center"/>
              <w:rPr>
                <w:sz w:val="18"/>
                <w:szCs w:val="18"/>
              </w:rPr>
            </w:pPr>
            <w:r>
              <w:rPr>
                <w:rFonts w:eastAsia="等线"/>
                <w:sz w:val="18"/>
                <w:szCs w:val="18"/>
              </w:rPr>
              <w:t>4710</w:t>
            </w:r>
          </w:p>
        </w:tc>
        <w:tc>
          <w:tcPr>
            <w:tcW w:w="1488" w:type="dxa"/>
            <w:vAlign w:val="center"/>
          </w:tcPr>
          <w:p>
            <w:pPr>
              <w:jc w:val="center"/>
              <w:rPr>
                <w:sz w:val="18"/>
                <w:szCs w:val="18"/>
              </w:rPr>
            </w:pPr>
            <w:r>
              <w:rPr>
                <w:rFonts w:eastAsia="等线"/>
                <w:sz w:val="18"/>
                <w:szCs w:val="18"/>
              </w:rPr>
              <w:t>555</w:t>
            </w:r>
          </w:p>
        </w:tc>
        <w:tc>
          <w:tcPr>
            <w:tcW w:w="1488" w:type="dxa"/>
            <w:shd w:val="clear" w:color="auto" w:fill="auto"/>
            <w:vAlign w:val="center"/>
          </w:tcPr>
          <w:p>
            <w:pPr>
              <w:jc w:val="center"/>
              <w:rPr>
                <w:sz w:val="18"/>
                <w:szCs w:val="18"/>
              </w:rPr>
            </w:pPr>
            <w:r>
              <w:rPr>
                <w:rFonts w:eastAsia="等线"/>
                <w:sz w:val="18"/>
                <w:szCs w:val="18"/>
              </w:rPr>
              <w:t>7423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 w:type="dxa"/>
            <w:vMerge w:val="continue"/>
            <w:shd w:val="clear" w:color="auto" w:fill="auto"/>
            <w:vAlign w:val="center"/>
          </w:tcPr>
          <w:p>
            <w:pPr>
              <w:widowControl/>
              <w:jc w:val="center"/>
              <w:rPr>
                <w:kern w:val="0"/>
                <w:sz w:val="18"/>
                <w:szCs w:val="18"/>
              </w:rPr>
            </w:pPr>
          </w:p>
        </w:tc>
        <w:tc>
          <w:tcPr>
            <w:tcW w:w="1268" w:type="dxa"/>
            <w:shd w:val="clear" w:color="auto" w:fill="auto"/>
            <w:vAlign w:val="center"/>
          </w:tcPr>
          <w:p>
            <w:pPr>
              <w:widowControl/>
              <w:jc w:val="center"/>
              <w:rPr>
                <w:b/>
                <w:bCs/>
                <w:kern w:val="0"/>
                <w:sz w:val="18"/>
                <w:szCs w:val="18"/>
              </w:rPr>
            </w:pPr>
            <w:r>
              <w:rPr>
                <w:b/>
                <w:bCs/>
                <w:kern w:val="0"/>
                <w:sz w:val="18"/>
                <w:szCs w:val="18"/>
              </w:rPr>
              <w:t>合计</w:t>
            </w:r>
          </w:p>
        </w:tc>
        <w:tc>
          <w:tcPr>
            <w:tcW w:w="1487" w:type="dxa"/>
            <w:shd w:val="clear" w:color="auto" w:fill="auto"/>
            <w:vAlign w:val="center"/>
          </w:tcPr>
          <w:p>
            <w:pPr>
              <w:jc w:val="center"/>
              <w:rPr>
                <w:b/>
                <w:sz w:val="18"/>
                <w:szCs w:val="18"/>
              </w:rPr>
            </w:pPr>
            <w:r>
              <w:rPr>
                <w:rFonts w:eastAsia="等线"/>
                <w:b/>
                <w:bCs/>
                <w:sz w:val="18"/>
                <w:szCs w:val="18"/>
              </w:rPr>
              <w:t>32534</w:t>
            </w:r>
          </w:p>
        </w:tc>
        <w:tc>
          <w:tcPr>
            <w:tcW w:w="1488" w:type="dxa"/>
            <w:vAlign w:val="center"/>
          </w:tcPr>
          <w:p>
            <w:pPr>
              <w:jc w:val="center"/>
              <w:rPr>
                <w:b/>
                <w:sz w:val="18"/>
                <w:szCs w:val="18"/>
              </w:rPr>
            </w:pPr>
            <w:r>
              <w:rPr>
                <w:rFonts w:eastAsia="等线"/>
                <w:b/>
                <w:bCs/>
                <w:sz w:val="18"/>
                <w:szCs w:val="18"/>
              </w:rPr>
              <w:t>22777</w:t>
            </w:r>
          </w:p>
        </w:tc>
        <w:tc>
          <w:tcPr>
            <w:tcW w:w="1488" w:type="dxa"/>
            <w:vAlign w:val="center"/>
          </w:tcPr>
          <w:p>
            <w:pPr>
              <w:jc w:val="center"/>
              <w:rPr>
                <w:b/>
                <w:sz w:val="18"/>
                <w:szCs w:val="18"/>
              </w:rPr>
            </w:pPr>
            <w:r>
              <w:rPr>
                <w:rFonts w:eastAsia="等线"/>
                <w:b/>
                <w:bCs/>
                <w:sz w:val="18"/>
                <w:szCs w:val="18"/>
              </w:rPr>
              <w:t>8377</w:t>
            </w:r>
          </w:p>
        </w:tc>
        <w:tc>
          <w:tcPr>
            <w:tcW w:w="1488" w:type="dxa"/>
            <w:shd w:val="clear" w:color="auto" w:fill="auto"/>
            <w:vAlign w:val="center"/>
          </w:tcPr>
          <w:p>
            <w:pPr>
              <w:jc w:val="center"/>
              <w:rPr>
                <w:b/>
                <w:sz w:val="18"/>
                <w:szCs w:val="18"/>
              </w:rPr>
            </w:pPr>
            <w:r>
              <w:rPr>
                <w:rFonts w:eastAsia="等线"/>
                <w:b/>
                <w:bCs/>
                <w:sz w:val="18"/>
                <w:szCs w:val="18"/>
              </w:rPr>
              <w:t>63688</w:t>
            </w:r>
          </w:p>
        </w:tc>
      </w:tr>
    </w:tbl>
    <w:p>
      <w:pPr>
        <w:rPr>
          <w:color w:val="FF0000"/>
        </w:rPr>
      </w:pPr>
    </w:p>
    <w:p>
      <w:pPr>
        <w:keepNext/>
        <w:keepLines/>
        <w:adjustRightInd w:val="0"/>
        <w:snapToGrid w:val="0"/>
        <w:spacing w:before="240" w:beforeLines="100" w:after="240" w:afterLines="100" w:line="360" w:lineRule="auto"/>
        <w:jc w:val="center"/>
        <w:outlineLvl w:val="1"/>
        <w:rPr>
          <w:b/>
          <w:bCs/>
          <w:sz w:val="32"/>
          <w:szCs w:val="36"/>
        </w:rPr>
      </w:pPr>
      <w:bookmarkStart w:id="516" w:name="_Toc95382547"/>
      <w:bookmarkStart w:id="517" w:name="_Toc382472274"/>
      <w:bookmarkStart w:id="518" w:name="_Toc432782602"/>
      <w:r>
        <w:rPr>
          <w:b/>
          <w:bCs/>
          <w:sz w:val="32"/>
          <w:szCs w:val="36"/>
        </w:rPr>
        <w:t>第三节 城镇供水水源规划</w:t>
      </w:r>
      <w:bookmarkEnd w:id="516"/>
      <w:bookmarkEnd w:id="517"/>
      <w:bookmarkEnd w:id="518"/>
    </w:p>
    <w:p>
      <w:pPr>
        <w:pStyle w:val="4"/>
        <w:spacing w:before="120" w:beforeLines="50" w:after="120" w:afterLines="50"/>
        <w:rPr>
          <w:sz w:val="28"/>
        </w:rPr>
      </w:pPr>
      <w:bookmarkStart w:id="519" w:name="_Toc382472275"/>
      <w:bookmarkStart w:id="520" w:name="_Toc432782603"/>
      <w:bookmarkStart w:id="521" w:name="_Toc95382548"/>
      <w:r>
        <w:rPr>
          <w:sz w:val="28"/>
        </w:rPr>
        <w:t>一、城镇供水现状</w:t>
      </w:r>
      <w:bookmarkEnd w:id="519"/>
      <w:bookmarkEnd w:id="520"/>
      <w:bookmarkEnd w:id="521"/>
    </w:p>
    <w:p>
      <w:pPr>
        <w:adjustRightInd w:val="0"/>
        <w:snapToGrid w:val="0"/>
        <w:spacing w:line="360" w:lineRule="auto"/>
        <w:ind w:firstLine="480" w:firstLineChars="200"/>
        <w:rPr>
          <w:sz w:val="24"/>
        </w:rPr>
      </w:pPr>
      <w:bookmarkStart w:id="522" w:name="_Toc371261792"/>
      <w:r>
        <w:rPr>
          <w:sz w:val="24"/>
        </w:rPr>
        <w:t>1、六安市区供水现状</w:t>
      </w:r>
      <w:bookmarkEnd w:id="522"/>
    </w:p>
    <w:p>
      <w:pPr>
        <w:adjustRightInd w:val="0"/>
        <w:snapToGrid w:val="0"/>
        <w:spacing w:line="360" w:lineRule="auto"/>
        <w:ind w:firstLine="480" w:firstLineChars="200"/>
        <w:rPr>
          <w:sz w:val="24"/>
        </w:rPr>
      </w:pPr>
      <w:r>
        <w:rPr>
          <w:sz w:val="24"/>
        </w:rPr>
        <w:t>六安市区现状供水主要依靠淠河总干渠，市区</w:t>
      </w:r>
      <w:r>
        <w:rPr>
          <w:rFonts w:hint="eastAsia"/>
          <w:sz w:val="24"/>
        </w:rPr>
        <w:t>3</w:t>
      </w:r>
      <w:r>
        <w:rPr>
          <w:sz w:val="24"/>
        </w:rPr>
        <w:t>座自来水厂分别为</w:t>
      </w:r>
      <w:r>
        <w:rPr>
          <w:rFonts w:hint="eastAsia"/>
          <w:sz w:val="24"/>
        </w:rPr>
        <w:t>一水厂、</w:t>
      </w:r>
      <w:r>
        <w:rPr>
          <w:sz w:val="24"/>
        </w:rPr>
        <w:t>二水厂和东城水厂</w:t>
      </w:r>
      <w:r>
        <w:rPr>
          <w:rFonts w:hint="eastAsia"/>
          <w:sz w:val="24"/>
        </w:rPr>
        <w:t>。一水厂现状供水规模为</w:t>
      </w:r>
      <w:r>
        <w:rPr>
          <w:sz w:val="24"/>
        </w:rPr>
        <w:t>30万t/d</w:t>
      </w:r>
      <w:r>
        <w:rPr>
          <w:rFonts w:hint="eastAsia"/>
          <w:sz w:val="24"/>
        </w:rPr>
        <w:t>，</w:t>
      </w:r>
      <w:r>
        <w:rPr>
          <w:sz w:val="24"/>
        </w:rPr>
        <w:t>二水厂现状供水规模为14万t/d，东城水厂近期供水规模5万t/d。</w:t>
      </w:r>
    </w:p>
    <w:p>
      <w:pPr>
        <w:adjustRightInd w:val="0"/>
        <w:snapToGrid w:val="0"/>
        <w:spacing w:line="360" w:lineRule="auto"/>
        <w:ind w:firstLine="480" w:firstLineChars="200"/>
        <w:rPr>
          <w:sz w:val="24"/>
        </w:rPr>
      </w:pPr>
      <w:r>
        <w:rPr>
          <w:rFonts w:hint="eastAsia"/>
          <w:sz w:val="24"/>
        </w:rPr>
        <w:t>一水厂、</w:t>
      </w:r>
      <w:r>
        <w:rPr>
          <w:sz w:val="24"/>
        </w:rPr>
        <w:t>二水厂和东城水厂</w:t>
      </w:r>
      <w:r>
        <w:rPr>
          <w:rFonts w:hint="eastAsia"/>
          <w:sz w:val="24"/>
        </w:rPr>
        <w:t>现状供水量合计为7</w:t>
      </w:r>
      <w:r>
        <w:rPr>
          <w:sz w:val="24"/>
        </w:rPr>
        <w:t>744</w:t>
      </w:r>
      <w:r>
        <w:rPr>
          <w:rFonts w:hint="eastAsia"/>
          <w:sz w:val="24"/>
        </w:rPr>
        <w:t>万m</w:t>
      </w:r>
      <w:r>
        <w:rPr>
          <w:sz w:val="24"/>
          <w:vertAlign w:val="superscript"/>
        </w:rPr>
        <w:t>3</w:t>
      </w:r>
      <w:r>
        <w:rPr>
          <w:rFonts w:hint="eastAsia"/>
          <w:sz w:val="24"/>
        </w:rPr>
        <w:t>，</w:t>
      </w:r>
      <w:r>
        <w:rPr>
          <w:sz w:val="24"/>
        </w:rPr>
        <w:t>均以淠河总干渠为供水水源，水量供给受淠史杭灌区横排头渠首分配限制，取水口水源地水质较好，常年维持在</w:t>
      </w:r>
      <w:r>
        <w:rPr>
          <w:rFonts w:hint="eastAsia" w:ascii="宋体" w:hAnsi="宋体" w:cs="宋体"/>
          <w:sz w:val="24"/>
        </w:rPr>
        <w:t>Ⅱ</w:t>
      </w:r>
      <w:r>
        <w:rPr>
          <w:sz w:val="24"/>
        </w:rPr>
        <w:t>类水。</w:t>
      </w:r>
    </w:p>
    <w:p>
      <w:pPr>
        <w:adjustRightInd w:val="0"/>
        <w:snapToGrid w:val="0"/>
        <w:spacing w:line="360" w:lineRule="auto"/>
        <w:ind w:firstLine="480" w:firstLineChars="200"/>
        <w:rPr>
          <w:sz w:val="24"/>
        </w:rPr>
      </w:pPr>
      <w:r>
        <w:rPr>
          <w:sz w:val="24"/>
        </w:rPr>
        <w:t>2、叶集区供水现状</w:t>
      </w:r>
    </w:p>
    <w:p>
      <w:pPr>
        <w:adjustRightInd w:val="0"/>
        <w:snapToGrid w:val="0"/>
        <w:spacing w:line="360" w:lineRule="auto"/>
        <w:ind w:firstLine="480" w:firstLineChars="200"/>
        <w:rPr>
          <w:sz w:val="24"/>
        </w:rPr>
      </w:pPr>
      <w:r>
        <w:rPr>
          <w:sz w:val="24"/>
        </w:rPr>
        <w:t>叶集区由金寨县</w:t>
      </w:r>
      <w:r>
        <w:rPr>
          <w:rFonts w:hint="eastAsia"/>
          <w:sz w:val="24"/>
        </w:rPr>
        <w:t>金叶供水有限</w:t>
      </w:r>
      <w:r>
        <w:rPr>
          <w:sz w:val="24"/>
        </w:rPr>
        <w:t>公司供水到叶集水厂，再由叶集水厂向叶集区提供供水服务。</w:t>
      </w:r>
    </w:p>
    <w:p>
      <w:pPr>
        <w:adjustRightInd w:val="0"/>
        <w:snapToGrid w:val="0"/>
        <w:spacing w:line="360" w:lineRule="auto"/>
        <w:ind w:firstLine="480" w:firstLineChars="200"/>
        <w:rPr>
          <w:sz w:val="24"/>
        </w:rPr>
      </w:pPr>
      <w:bookmarkStart w:id="523" w:name="_Toc371261794"/>
      <w:r>
        <w:rPr>
          <w:sz w:val="24"/>
        </w:rPr>
        <w:t>3、霍邱县城供水现状</w:t>
      </w:r>
      <w:bookmarkEnd w:id="523"/>
    </w:p>
    <w:p>
      <w:pPr>
        <w:adjustRightInd w:val="0"/>
        <w:snapToGrid w:val="0"/>
        <w:spacing w:line="360" w:lineRule="auto"/>
        <w:ind w:firstLine="480" w:firstLineChars="200"/>
        <w:rPr>
          <w:sz w:val="24"/>
        </w:rPr>
      </w:pPr>
      <w:r>
        <w:rPr>
          <w:sz w:val="24"/>
        </w:rPr>
        <w:t>霍邱县</w:t>
      </w:r>
      <w:r>
        <w:rPr>
          <w:rFonts w:hint="eastAsia"/>
          <w:sz w:val="24"/>
        </w:rPr>
        <w:t>自来水公司</w:t>
      </w:r>
      <w:r>
        <w:rPr>
          <w:sz w:val="24"/>
        </w:rPr>
        <w:t>设计供水能力为5万t/d，年供水量约为1304万m</w:t>
      </w:r>
      <w:r>
        <w:rPr>
          <w:sz w:val="24"/>
          <w:vertAlign w:val="superscript"/>
        </w:rPr>
        <w:t>3</w:t>
      </w:r>
      <w:r>
        <w:rPr>
          <w:sz w:val="24"/>
        </w:rPr>
        <w:t>。取水口位于城东湖霍邱自然保护区，现状水质较好，水量充足，基本满足霍邱县城居民生活和生产用水需求。</w:t>
      </w:r>
      <w:bookmarkStart w:id="524" w:name="_Toc371261795"/>
    </w:p>
    <w:p>
      <w:pPr>
        <w:adjustRightInd w:val="0"/>
        <w:snapToGrid w:val="0"/>
        <w:spacing w:line="360" w:lineRule="auto"/>
        <w:ind w:firstLine="480" w:firstLineChars="200"/>
        <w:rPr>
          <w:sz w:val="24"/>
        </w:rPr>
      </w:pPr>
      <w:r>
        <w:rPr>
          <w:sz w:val="24"/>
        </w:rPr>
        <w:t>4、舒城县城供水现状</w:t>
      </w:r>
      <w:bookmarkEnd w:id="524"/>
    </w:p>
    <w:p>
      <w:pPr>
        <w:adjustRightInd w:val="0"/>
        <w:snapToGrid w:val="0"/>
        <w:spacing w:line="360" w:lineRule="auto"/>
        <w:ind w:firstLine="480" w:firstLineChars="200"/>
        <w:rPr>
          <w:sz w:val="24"/>
        </w:rPr>
      </w:pPr>
      <w:r>
        <w:rPr>
          <w:sz w:val="24"/>
        </w:rPr>
        <w:t>舒城县</w:t>
      </w:r>
      <w:r>
        <w:rPr>
          <w:rFonts w:hint="eastAsia"/>
          <w:sz w:val="24"/>
        </w:rPr>
        <w:t>自来水公司</w:t>
      </w:r>
      <w:r>
        <w:rPr>
          <w:sz w:val="24"/>
        </w:rPr>
        <w:t>取水口位于舒城县马河口镇果园村，设计供水能力5万t/d，年供水量为1460万m</w:t>
      </w:r>
      <w:r>
        <w:rPr>
          <w:sz w:val="24"/>
          <w:vertAlign w:val="superscript"/>
        </w:rPr>
        <w:t>3</w:t>
      </w:r>
      <w:r>
        <w:rPr>
          <w:sz w:val="24"/>
        </w:rPr>
        <w:t>，提供舒城县城区及周边20万人的生产、生活用水用水。</w:t>
      </w:r>
      <w:bookmarkStart w:id="525" w:name="_Toc371261796"/>
    </w:p>
    <w:p>
      <w:pPr>
        <w:adjustRightInd w:val="0"/>
        <w:snapToGrid w:val="0"/>
        <w:spacing w:line="360" w:lineRule="auto"/>
        <w:ind w:firstLine="480" w:firstLineChars="200"/>
        <w:rPr>
          <w:sz w:val="24"/>
        </w:rPr>
      </w:pPr>
      <w:r>
        <w:rPr>
          <w:sz w:val="24"/>
        </w:rPr>
        <w:t>5、金寨县城供水现状</w:t>
      </w:r>
      <w:bookmarkEnd w:id="525"/>
    </w:p>
    <w:p>
      <w:pPr>
        <w:adjustRightInd w:val="0"/>
        <w:snapToGrid w:val="0"/>
        <w:spacing w:line="360" w:lineRule="auto"/>
        <w:ind w:firstLine="480" w:firstLineChars="200"/>
        <w:rPr>
          <w:sz w:val="24"/>
        </w:rPr>
      </w:pPr>
      <w:r>
        <w:rPr>
          <w:sz w:val="24"/>
        </w:rPr>
        <w:t>金寨县现状水源地为梅山水库，取水口位于梅山水库上游500m，设计供水能力为8万t/d</w:t>
      </w:r>
      <w:bookmarkStart w:id="526" w:name="_Toc371261797"/>
      <w:r>
        <w:rPr>
          <w:rFonts w:hint="eastAsia"/>
          <w:sz w:val="24"/>
        </w:rPr>
        <w:t>，</w:t>
      </w:r>
      <w:r>
        <w:rPr>
          <w:sz w:val="24"/>
        </w:rPr>
        <w:t>年供水</w:t>
      </w:r>
      <w:r>
        <w:rPr>
          <w:rFonts w:hint="eastAsia"/>
          <w:sz w:val="24"/>
        </w:rPr>
        <w:t>量</w:t>
      </w:r>
      <w:r>
        <w:rPr>
          <w:sz w:val="24"/>
        </w:rPr>
        <w:t>1460万m</w:t>
      </w:r>
      <w:r>
        <w:rPr>
          <w:sz w:val="24"/>
          <w:vertAlign w:val="superscript"/>
        </w:rPr>
        <w:t>3</w:t>
      </w:r>
      <w:r>
        <w:rPr>
          <w:rFonts w:hint="eastAsia"/>
          <w:sz w:val="24"/>
        </w:rPr>
        <w:t>。</w:t>
      </w:r>
    </w:p>
    <w:p>
      <w:pPr>
        <w:adjustRightInd w:val="0"/>
        <w:snapToGrid w:val="0"/>
        <w:spacing w:line="360" w:lineRule="auto"/>
        <w:ind w:firstLine="480" w:firstLineChars="200"/>
        <w:rPr>
          <w:sz w:val="24"/>
        </w:rPr>
      </w:pPr>
      <w:r>
        <w:rPr>
          <w:sz w:val="24"/>
        </w:rPr>
        <w:t>6、霍山县城供水现状</w:t>
      </w:r>
      <w:bookmarkEnd w:id="526"/>
    </w:p>
    <w:p>
      <w:pPr>
        <w:adjustRightInd w:val="0"/>
        <w:snapToGrid w:val="0"/>
        <w:spacing w:line="360" w:lineRule="auto"/>
        <w:ind w:firstLine="480" w:firstLineChars="200"/>
        <w:rPr>
          <w:sz w:val="24"/>
        </w:rPr>
      </w:pPr>
      <w:r>
        <w:rPr>
          <w:rFonts w:hint="eastAsia"/>
          <w:sz w:val="24"/>
        </w:rPr>
        <w:t>霍山县清源供水公司</w:t>
      </w:r>
      <w:r>
        <w:rPr>
          <w:sz w:val="24"/>
        </w:rPr>
        <w:t>现状水源地为佛子岭水库，设计供水能力分别为8万t/d</w:t>
      </w:r>
      <w:r>
        <w:rPr>
          <w:rFonts w:hint="eastAsia"/>
          <w:sz w:val="24"/>
        </w:rPr>
        <w:t>，</w:t>
      </w:r>
      <w:r>
        <w:rPr>
          <w:sz w:val="24"/>
        </w:rPr>
        <w:t>年供水</w:t>
      </w:r>
      <w:r>
        <w:rPr>
          <w:rFonts w:hint="eastAsia"/>
          <w:sz w:val="24"/>
        </w:rPr>
        <w:t>量</w:t>
      </w:r>
      <w:r>
        <w:rPr>
          <w:sz w:val="24"/>
        </w:rPr>
        <w:t>1828万m</w:t>
      </w:r>
      <w:r>
        <w:rPr>
          <w:sz w:val="24"/>
          <w:vertAlign w:val="superscript"/>
        </w:rPr>
        <w:t>3</w:t>
      </w:r>
      <w:r>
        <w:rPr>
          <w:sz w:val="24"/>
        </w:rPr>
        <w:t>。</w:t>
      </w:r>
    </w:p>
    <w:p>
      <w:pPr>
        <w:pStyle w:val="4"/>
        <w:spacing w:before="120" w:beforeLines="50" w:after="120" w:afterLines="50"/>
        <w:rPr>
          <w:sz w:val="28"/>
        </w:rPr>
      </w:pPr>
      <w:bookmarkStart w:id="527" w:name="_Toc95382549"/>
      <w:bookmarkStart w:id="528" w:name="_Toc382472276"/>
      <w:bookmarkStart w:id="529" w:name="_Toc432782604"/>
      <w:r>
        <w:rPr>
          <w:sz w:val="28"/>
        </w:rPr>
        <w:t>二、城镇供水规划</w:t>
      </w:r>
      <w:bookmarkEnd w:id="527"/>
      <w:bookmarkEnd w:id="528"/>
      <w:bookmarkEnd w:id="529"/>
    </w:p>
    <w:p>
      <w:pPr>
        <w:adjustRightInd w:val="0"/>
        <w:snapToGrid w:val="0"/>
        <w:spacing w:line="360" w:lineRule="auto"/>
        <w:ind w:firstLine="480" w:firstLineChars="200"/>
        <w:rPr>
          <w:sz w:val="24"/>
        </w:rPr>
      </w:pPr>
      <w:r>
        <w:rPr>
          <w:sz w:val="24"/>
        </w:rPr>
        <w:t>1、六安市区</w:t>
      </w:r>
    </w:p>
    <w:p>
      <w:pPr>
        <w:adjustRightInd w:val="0"/>
        <w:snapToGrid w:val="0"/>
        <w:spacing w:line="360" w:lineRule="auto"/>
        <w:ind w:firstLine="480" w:firstLineChars="200"/>
        <w:rPr>
          <w:sz w:val="24"/>
        </w:rPr>
      </w:pPr>
      <w:r>
        <w:rPr>
          <w:sz w:val="24"/>
        </w:rPr>
        <w:t>根据预测至2030年，市区城市供水规模将达到50万t/d。六安市规划对城市饮用水源地进行保护，布设环境监测网络，加快信息化进程建设水资源实时监控系统，建立水源地动态信息数据库，全面掌握水量、水质、污染源、污染物排放情况。建立污染预警制度，完善应急预案，组织模拟演练，应对突发事件。</w:t>
      </w:r>
    </w:p>
    <w:p>
      <w:pPr>
        <w:adjustRightInd w:val="0"/>
        <w:snapToGrid w:val="0"/>
        <w:spacing w:line="360" w:lineRule="auto"/>
        <w:ind w:firstLine="480" w:firstLineChars="200"/>
        <w:rPr>
          <w:sz w:val="24"/>
        </w:rPr>
      </w:pPr>
      <w:r>
        <w:rPr>
          <w:sz w:val="24"/>
        </w:rPr>
        <w:t>2、叶集区</w:t>
      </w:r>
    </w:p>
    <w:p>
      <w:pPr>
        <w:adjustRightInd w:val="0"/>
        <w:snapToGrid w:val="0"/>
        <w:spacing w:line="360" w:lineRule="auto"/>
        <w:ind w:firstLine="480" w:firstLineChars="200"/>
        <w:rPr>
          <w:sz w:val="24"/>
        </w:rPr>
      </w:pPr>
      <w:r>
        <w:rPr>
          <w:sz w:val="24"/>
        </w:rPr>
        <w:t>根据预测至2030年，叶集区城市供水规模将达到12.5万t/d。</w:t>
      </w:r>
    </w:p>
    <w:p>
      <w:pPr>
        <w:adjustRightInd w:val="0"/>
        <w:snapToGrid w:val="0"/>
        <w:spacing w:line="360" w:lineRule="auto"/>
        <w:ind w:firstLine="480" w:firstLineChars="200"/>
        <w:rPr>
          <w:sz w:val="24"/>
        </w:rPr>
      </w:pPr>
      <w:r>
        <w:rPr>
          <w:sz w:val="24"/>
        </w:rPr>
        <w:t>3、霍邱县</w:t>
      </w:r>
    </w:p>
    <w:p>
      <w:pPr>
        <w:adjustRightInd w:val="0"/>
        <w:snapToGrid w:val="0"/>
        <w:spacing w:line="360" w:lineRule="auto"/>
        <w:ind w:firstLine="480" w:firstLineChars="200"/>
        <w:rPr>
          <w:sz w:val="24"/>
        </w:rPr>
      </w:pPr>
      <w:r>
        <w:rPr>
          <w:sz w:val="24"/>
        </w:rPr>
        <w:t>根据预测至2030年，霍邱县城市供水规模将达到20万t/d</w:t>
      </w:r>
      <w:r>
        <w:rPr>
          <w:rFonts w:hint="eastAsia"/>
          <w:sz w:val="24"/>
        </w:rPr>
        <w:t>。</w:t>
      </w:r>
      <w:r>
        <w:rPr>
          <w:sz w:val="24"/>
        </w:rPr>
        <w:t>规划</w:t>
      </w:r>
      <w:r>
        <w:rPr>
          <w:rFonts w:hint="eastAsia"/>
          <w:sz w:val="24"/>
        </w:rPr>
        <w:t>新建城北水厂</w:t>
      </w:r>
      <w:r>
        <w:rPr>
          <w:sz w:val="24"/>
        </w:rPr>
        <w:t>，从</w:t>
      </w:r>
      <w:r>
        <w:rPr>
          <w:rFonts w:hint="eastAsia"/>
          <w:sz w:val="24"/>
        </w:rPr>
        <w:t>淮河</w:t>
      </w:r>
      <w:r>
        <w:rPr>
          <w:sz w:val="24"/>
        </w:rPr>
        <w:t>取水。未来要加强对城市饮用水源地的保护，布设环境监测网络，加快信息化进程建设水资源实时监控系统，建立水源地动态信息数据库，全面掌握水量、水质、污染源、污染物排放情况。</w:t>
      </w:r>
    </w:p>
    <w:p>
      <w:pPr>
        <w:adjustRightInd w:val="0"/>
        <w:snapToGrid w:val="0"/>
        <w:spacing w:line="360" w:lineRule="auto"/>
        <w:ind w:firstLine="480" w:firstLineChars="200"/>
        <w:rPr>
          <w:sz w:val="24"/>
        </w:rPr>
      </w:pPr>
      <w:r>
        <w:rPr>
          <w:sz w:val="24"/>
        </w:rPr>
        <w:t>4、舒城县</w:t>
      </w:r>
    </w:p>
    <w:p>
      <w:pPr>
        <w:adjustRightInd w:val="0"/>
        <w:snapToGrid w:val="0"/>
        <w:spacing w:line="360" w:lineRule="auto"/>
        <w:ind w:firstLine="480" w:firstLineChars="200"/>
        <w:rPr>
          <w:sz w:val="24"/>
        </w:rPr>
      </w:pPr>
      <w:r>
        <w:rPr>
          <w:sz w:val="24"/>
        </w:rPr>
        <w:t>根据预测至2030年，舒城县城市供水规模将达到20万t/d。舒城县规划加强对城市饮用水源地的保护，布设环境监测网络，加快信息化进程建设水资源实时监控系统，建立水源地动态信息数据库，全面掌握水量、水质、污染源、污染物排放情况。</w:t>
      </w:r>
    </w:p>
    <w:p>
      <w:pPr>
        <w:adjustRightInd w:val="0"/>
        <w:snapToGrid w:val="0"/>
        <w:spacing w:line="360" w:lineRule="auto"/>
        <w:ind w:firstLine="480" w:firstLineChars="200"/>
        <w:rPr>
          <w:sz w:val="24"/>
        </w:rPr>
      </w:pPr>
      <w:r>
        <w:rPr>
          <w:sz w:val="24"/>
        </w:rPr>
        <w:t>5、金寨县</w:t>
      </w:r>
    </w:p>
    <w:p>
      <w:pPr>
        <w:adjustRightInd w:val="0"/>
        <w:snapToGrid w:val="0"/>
        <w:spacing w:line="360" w:lineRule="auto"/>
        <w:ind w:firstLine="480" w:firstLineChars="200"/>
        <w:rPr>
          <w:sz w:val="24"/>
        </w:rPr>
      </w:pPr>
      <w:r>
        <w:rPr>
          <w:sz w:val="24"/>
        </w:rPr>
        <w:t>根据预测至2030年，金寨县城市供水规模将达到13万t/d，金寨县取水水源为梅山水库，未来随着城市发展，城市供水水源仍为梅山水库。金寨县规划加强对城市饮用水源地的保护，布设环境监测网络，加快信息化进程建设水资源实时监控系统，建立水源地动态信息数据库，全面掌握水量、水质、污染源、污染物排放情况。</w:t>
      </w:r>
    </w:p>
    <w:p>
      <w:pPr>
        <w:adjustRightInd w:val="0"/>
        <w:snapToGrid w:val="0"/>
        <w:spacing w:line="360" w:lineRule="auto"/>
        <w:ind w:firstLine="480" w:firstLineChars="200"/>
        <w:rPr>
          <w:sz w:val="24"/>
        </w:rPr>
      </w:pPr>
      <w:r>
        <w:rPr>
          <w:sz w:val="24"/>
        </w:rPr>
        <w:t>6、霍山县</w:t>
      </w:r>
    </w:p>
    <w:p>
      <w:pPr>
        <w:adjustRightInd w:val="0"/>
        <w:snapToGrid w:val="0"/>
        <w:spacing w:line="360" w:lineRule="auto"/>
        <w:ind w:firstLine="480" w:firstLineChars="200"/>
        <w:rPr>
          <w:sz w:val="24"/>
        </w:rPr>
      </w:pPr>
      <w:r>
        <w:rPr>
          <w:sz w:val="24"/>
        </w:rPr>
        <w:t>根据预测至2030年，霍山县城市供水规模将达到18万t/d。霍山县规划加强对城市饮用水源地的保护，布设环境监测网络，加快信息化进程建设水资源实时监控系统，建立水源地动态信息数据库，全面掌握水量、水质、污染源、污染物排放情况。</w:t>
      </w:r>
    </w:p>
    <w:p>
      <w:pPr>
        <w:keepNext/>
        <w:keepLines/>
        <w:adjustRightInd w:val="0"/>
        <w:snapToGrid w:val="0"/>
        <w:spacing w:before="240" w:beforeLines="100" w:after="240" w:afterLines="100" w:line="360" w:lineRule="auto"/>
        <w:jc w:val="center"/>
        <w:outlineLvl w:val="1"/>
        <w:rPr>
          <w:b/>
          <w:bCs/>
          <w:sz w:val="32"/>
          <w:szCs w:val="36"/>
        </w:rPr>
      </w:pPr>
      <w:bookmarkStart w:id="530" w:name="_Toc432782605"/>
      <w:bookmarkStart w:id="531" w:name="_Toc382472277"/>
      <w:bookmarkStart w:id="532" w:name="_Toc95382550"/>
      <w:r>
        <w:rPr>
          <w:b/>
          <w:bCs/>
          <w:sz w:val="32"/>
          <w:szCs w:val="36"/>
        </w:rPr>
        <w:t xml:space="preserve">第四节 </w:t>
      </w:r>
      <w:bookmarkEnd w:id="530"/>
      <w:bookmarkEnd w:id="531"/>
      <w:r>
        <w:rPr>
          <w:rFonts w:hint="eastAsia"/>
          <w:b/>
          <w:bCs/>
          <w:sz w:val="32"/>
          <w:szCs w:val="36"/>
        </w:rPr>
        <w:t>城乡一体化供水网络</w:t>
      </w:r>
      <w:bookmarkEnd w:id="532"/>
    </w:p>
    <w:p>
      <w:pPr>
        <w:adjustRightInd w:val="0"/>
        <w:snapToGrid w:val="0"/>
        <w:spacing w:line="360" w:lineRule="auto"/>
        <w:ind w:firstLine="480" w:firstLineChars="200"/>
        <w:rPr>
          <w:sz w:val="24"/>
        </w:rPr>
      </w:pPr>
      <w:r>
        <w:rPr>
          <w:rFonts w:hint="eastAsia"/>
          <w:sz w:val="24"/>
        </w:rPr>
        <w:t>根据《六安市水利发展“十四五”规划》和《安徽省六安市农村居民供水安全保障规划报告》，六安市计划在“十四五”期间构建城乡一体化供水网络。</w:t>
      </w:r>
    </w:p>
    <w:p>
      <w:pPr>
        <w:adjustRightInd w:val="0"/>
        <w:snapToGrid w:val="0"/>
        <w:spacing w:line="360" w:lineRule="auto"/>
        <w:ind w:firstLine="480" w:firstLineChars="200"/>
        <w:rPr>
          <w:sz w:val="24"/>
        </w:rPr>
      </w:pPr>
      <w:r>
        <w:rPr>
          <w:rFonts w:hint="eastAsia"/>
          <w:sz w:val="24"/>
        </w:rPr>
        <w:t>按照城乡区域协调发展和乡村振兴战略部署，聚焦民生改善，积极推进农村供水工程规模化建设和升级改造，充分利用骨干水源、大水厂以及现有的供水设施和输配水管网，向周围农村和乡镇延伸。大力发展城乡供水一体化，坚定不移的推进农村供水骨干工程建设，形成区域供水规模化。按照“建大、并中、减小”的思路，逐步兼并整合中、小型供水工程。对需要保留的小型工程，进行标准化改造，进一步完善制水工艺，提升供水保障能力。</w:t>
      </w:r>
    </w:p>
    <w:p>
      <w:pPr>
        <w:pStyle w:val="4"/>
        <w:spacing w:before="120" w:beforeLines="50" w:after="120" w:afterLines="50"/>
        <w:rPr>
          <w:sz w:val="28"/>
        </w:rPr>
      </w:pPr>
      <w:bookmarkStart w:id="533" w:name="_Toc95382551"/>
      <w:r>
        <w:rPr>
          <w:rFonts w:hint="eastAsia"/>
          <w:sz w:val="28"/>
        </w:rPr>
        <w:t>一、供水总体布局</w:t>
      </w:r>
      <w:bookmarkEnd w:id="533"/>
    </w:p>
    <w:p>
      <w:pPr>
        <w:adjustRightInd w:val="0"/>
        <w:snapToGrid w:val="0"/>
        <w:spacing w:line="360" w:lineRule="auto"/>
        <w:ind w:firstLine="480" w:firstLineChars="200"/>
        <w:rPr>
          <w:sz w:val="24"/>
        </w:rPr>
      </w:pPr>
      <w:r>
        <w:rPr>
          <w:rFonts w:hint="eastAsia"/>
          <w:sz w:val="24"/>
        </w:rPr>
        <w:t>结合六安市地形地貌特点、水源条件、供水工程现状和社会经济状况等情况，综合确定将六安市分为3大片区（沿淮岗地平原区、江淮丘陵区、西南大别山区）、23子区（金安区城北供水区、裕安区东北部平原供水区等），并通过对各片区情况详细分析，立足长远，统筹规划，布置适宜的工程措施，完善片区供水保障体系，形成新的农村居民供水格局。</w:t>
      </w:r>
    </w:p>
    <w:p>
      <w:pPr>
        <w:adjustRightInd w:val="0"/>
        <w:snapToGrid w:val="0"/>
        <w:spacing w:line="360" w:lineRule="auto"/>
        <w:ind w:firstLine="482" w:firstLineChars="200"/>
        <w:rPr>
          <w:b/>
          <w:bCs/>
          <w:sz w:val="24"/>
        </w:rPr>
      </w:pPr>
      <w:r>
        <w:rPr>
          <w:b/>
          <w:bCs/>
          <w:sz w:val="24"/>
        </w:rPr>
        <w:t>1</w:t>
      </w:r>
      <w:r>
        <w:rPr>
          <w:rFonts w:hint="eastAsia"/>
          <w:b/>
          <w:bCs/>
          <w:sz w:val="24"/>
        </w:rPr>
        <w:t>、沿淮岗地平原区</w:t>
      </w:r>
    </w:p>
    <w:p>
      <w:pPr>
        <w:adjustRightInd w:val="0"/>
        <w:snapToGrid w:val="0"/>
        <w:spacing w:line="360" w:lineRule="auto"/>
        <w:ind w:firstLine="480" w:firstLineChars="200"/>
        <w:rPr>
          <w:sz w:val="24"/>
        </w:rPr>
      </w:pPr>
      <w:r>
        <w:rPr>
          <w:rFonts w:hint="eastAsia"/>
          <w:sz w:val="24"/>
        </w:rPr>
        <w:t>北部沿淮岗地平原区临近淮河，区内有城东湖、城西湖两个大型湖泊，在行政区划上主要是霍邱县。该区主要饮用水源为淮河以及城东湖、城西湖。结合区域地形地貌、水源条件、现状供水情况等，北部沿淮岗地平原区总体上划分为5个供水分区：沿淮河供水分区、城东湖东部供水分区、城东湖中南部供水分区、城西湖供水分区、西部丘岗供水分区。</w:t>
      </w:r>
    </w:p>
    <w:p>
      <w:pPr>
        <w:adjustRightInd w:val="0"/>
        <w:snapToGrid w:val="0"/>
        <w:spacing w:line="360" w:lineRule="auto"/>
        <w:ind w:firstLine="482" w:firstLineChars="200"/>
        <w:rPr>
          <w:b/>
          <w:bCs/>
          <w:sz w:val="24"/>
        </w:rPr>
      </w:pPr>
      <w:r>
        <w:rPr>
          <w:rFonts w:hint="eastAsia"/>
          <w:b/>
          <w:bCs/>
          <w:sz w:val="24"/>
        </w:rPr>
        <w:t>2、江淮丘陵区</w:t>
      </w:r>
    </w:p>
    <w:p>
      <w:pPr>
        <w:adjustRightInd w:val="0"/>
        <w:snapToGrid w:val="0"/>
        <w:spacing w:line="360" w:lineRule="auto"/>
        <w:ind w:firstLine="480" w:firstLineChars="200"/>
        <w:rPr>
          <w:sz w:val="24"/>
        </w:rPr>
      </w:pPr>
      <w:r>
        <w:rPr>
          <w:rFonts w:hint="eastAsia"/>
          <w:sz w:val="24"/>
        </w:rPr>
        <w:t>江淮丘陵区主要供水水源为上游六大水库，依靠淠史杭渠道工程以自流和提水方式引取水库下泄水量。该区域内人口密集，是六安市城市建成区所在地，在行政区划上主要包括金安区、裕安区、叶集区、金寨县东北部、霍山县北部以及舒城县中北部。结合区域地形地貌、水源条件、现状供水情况等，江淮丘陵区总体上划分为14个供水分区：金安区先生店水厂供水区、城北供水区、东河口水厂供水区、毛坦镇水厂供水区、三十铺利民水厂供水区，裕安区东北部平原供水区、中北部丘岗供水区、东部丘岗供水区、南部山丘供水区，叶集区城乡供水一体化分区，金寨县城乡供水管网延伸供水区，霍山县低山丘陵区，舒城县东北部平原圩区、江淮丘陵区。</w:t>
      </w:r>
    </w:p>
    <w:p>
      <w:pPr>
        <w:adjustRightInd w:val="0"/>
        <w:snapToGrid w:val="0"/>
        <w:spacing w:line="360" w:lineRule="auto"/>
        <w:ind w:firstLine="482" w:firstLineChars="200"/>
        <w:rPr>
          <w:b/>
          <w:bCs/>
          <w:sz w:val="24"/>
        </w:rPr>
      </w:pPr>
      <w:r>
        <w:rPr>
          <w:b/>
          <w:bCs/>
          <w:sz w:val="24"/>
        </w:rPr>
        <w:t>3</w:t>
      </w:r>
      <w:r>
        <w:rPr>
          <w:rFonts w:hint="eastAsia"/>
          <w:b/>
          <w:bCs/>
          <w:sz w:val="24"/>
        </w:rPr>
        <w:t>、西南大别山区</w:t>
      </w:r>
    </w:p>
    <w:p>
      <w:pPr>
        <w:adjustRightInd w:val="0"/>
        <w:snapToGrid w:val="0"/>
        <w:spacing w:line="360" w:lineRule="auto"/>
        <w:ind w:firstLine="480" w:firstLineChars="200"/>
        <w:rPr>
          <w:sz w:val="24"/>
        </w:rPr>
      </w:pPr>
      <w:r>
        <w:rPr>
          <w:rFonts w:hint="eastAsia"/>
          <w:sz w:val="24"/>
        </w:rPr>
        <w:t>西南大别山区水资源相对较丰富，水质较好。该区在行政区划上主要包括金寨县、霍山县、舒城县大部分区域以及裕安区局部。该区域多为山区，农村供水区域多位于六大水库上游，受地理条件限制，现有供水工程规模相对较小，分散供水工程相对较多，水源主 要为现有水库、山塘、河流等。结合各乡镇地形地势、水源、现状供水等特点，因地制宜划分供水片区4个，分别为金寨县乡镇联合规模化供水区、单乡镇规模化供水区，霍山县西南部深山区，舒城县大别山区。</w:t>
      </w:r>
    </w:p>
    <w:p>
      <w:pPr>
        <w:pStyle w:val="4"/>
        <w:spacing w:before="120" w:beforeLines="50" w:after="120" w:afterLines="50"/>
        <w:rPr>
          <w:sz w:val="28"/>
        </w:rPr>
      </w:pPr>
      <w:bookmarkStart w:id="534" w:name="_Toc95382552"/>
      <w:r>
        <w:rPr>
          <w:rFonts w:hint="eastAsia"/>
          <w:sz w:val="28"/>
        </w:rPr>
        <w:t>二、供水工程布局</w:t>
      </w:r>
      <w:bookmarkEnd w:id="534"/>
    </w:p>
    <w:p>
      <w:pPr>
        <w:spacing w:line="360" w:lineRule="auto"/>
        <w:ind w:firstLine="480" w:firstLineChars="200"/>
        <w:rPr>
          <w:sz w:val="24"/>
        </w:rPr>
      </w:pPr>
      <w:r>
        <w:rPr>
          <w:rFonts w:hint="eastAsia"/>
          <w:sz w:val="24"/>
        </w:rPr>
        <w:t>根据上述供水分区，在单个供水分区内，布置1~2处水厂、配水管网尽量采用环状敷设，分区内供水管网互通，具备条件的分区间管网互联。针对不具备城乡供水一体化、区域供水规模化条件的山区，按照“建大、并中、减小”的原则，优先布置规模化集中供水工程，从严控制偏远山区小型集中式供水工程建设，尽量实现片区农村集中供水全覆盖。</w:t>
      </w:r>
    </w:p>
    <w:p>
      <w:pPr>
        <w:pStyle w:val="4"/>
        <w:spacing w:before="120" w:beforeLines="50" w:after="120" w:afterLines="50"/>
        <w:rPr>
          <w:sz w:val="28"/>
        </w:rPr>
      </w:pPr>
      <w:bookmarkStart w:id="535" w:name="_Toc95382553"/>
      <w:r>
        <w:rPr>
          <w:rFonts w:hint="eastAsia"/>
          <w:sz w:val="28"/>
        </w:rPr>
        <w:t>三、县区建设内容</w:t>
      </w:r>
      <w:bookmarkEnd w:id="535"/>
    </w:p>
    <w:p>
      <w:pPr>
        <w:spacing w:line="360" w:lineRule="auto"/>
        <w:ind w:firstLine="482" w:firstLineChars="200"/>
        <w:rPr>
          <w:b/>
          <w:bCs/>
          <w:sz w:val="24"/>
        </w:rPr>
      </w:pPr>
      <w:r>
        <w:rPr>
          <w:rFonts w:hint="eastAsia"/>
          <w:b/>
          <w:bCs/>
          <w:sz w:val="24"/>
        </w:rPr>
        <w:t>1、金安区</w:t>
      </w:r>
    </w:p>
    <w:p>
      <w:pPr>
        <w:spacing w:line="360" w:lineRule="auto"/>
        <w:ind w:firstLine="480" w:firstLineChars="200"/>
        <w:rPr>
          <w:sz w:val="24"/>
        </w:rPr>
      </w:pPr>
      <w:r>
        <w:rPr>
          <w:rFonts w:hint="eastAsia"/>
          <w:sz w:val="24"/>
        </w:rPr>
        <w:t>金安区依托先生店水厂和城北水厂，分别承担南、北片主要供水任务。对毛坦厂水厂进行改扩建，对其余小规模水厂进行兼并整合，到“十四五”末，保留先生店、城北、东河口、毛坦厂四座水厂。</w:t>
      </w:r>
    </w:p>
    <w:p>
      <w:pPr>
        <w:spacing w:line="360" w:lineRule="auto"/>
        <w:ind w:firstLine="482" w:firstLineChars="200"/>
        <w:rPr>
          <w:b/>
          <w:bCs/>
          <w:sz w:val="24"/>
        </w:rPr>
      </w:pPr>
      <w:r>
        <w:rPr>
          <w:rFonts w:hint="eastAsia"/>
          <w:b/>
          <w:bCs/>
          <w:sz w:val="24"/>
        </w:rPr>
        <w:t>2、裕安区</w:t>
      </w:r>
    </w:p>
    <w:p>
      <w:pPr>
        <w:spacing w:line="360" w:lineRule="auto"/>
        <w:ind w:firstLine="480" w:firstLineChars="200"/>
        <w:rPr>
          <w:sz w:val="24"/>
        </w:rPr>
      </w:pPr>
      <w:r>
        <w:rPr>
          <w:rFonts w:hint="eastAsia"/>
          <w:sz w:val="24"/>
        </w:rPr>
        <w:t>裕安区南片区域，实施裕安区水厂扩建工程，日供水能力至2.1万吨，完成对苏埠镇、韩摆渡镇、青山镇供水工程联网或直供管道的铺设。裕安区西北片区域，完成裕安第二自来水厂建设（一期2.5万吨），向南岳庙水厂、分路口水厂、徐集水厂、丁集水厂、罗集水厂和固镇水厂供水区域进行补水，逐步推进兼并整合。裕安区东北片区域，依托城市自来水建设东北部城乡供水一体化工程，向新安镇、顺河镇、单王乡进行供水。</w:t>
      </w:r>
    </w:p>
    <w:p>
      <w:pPr>
        <w:spacing w:line="360" w:lineRule="auto"/>
        <w:ind w:firstLine="482" w:firstLineChars="200"/>
        <w:rPr>
          <w:b/>
          <w:bCs/>
          <w:sz w:val="24"/>
        </w:rPr>
      </w:pPr>
      <w:r>
        <w:rPr>
          <w:rFonts w:hint="eastAsia"/>
          <w:b/>
          <w:bCs/>
          <w:sz w:val="24"/>
        </w:rPr>
        <w:t>3、叶集区</w:t>
      </w:r>
    </w:p>
    <w:p>
      <w:pPr>
        <w:spacing w:line="360" w:lineRule="auto"/>
        <w:ind w:firstLine="480" w:firstLineChars="200"/>
        <w:rPr>
          <w:sz w:val="24"/>
        </w:rPr>
      </w:pPr>
      <w:r>
        <w:rPr>
          <w:rFonts w:hint="eastAsia"/>
          <w:sz w:val="24"/>
        </w:rPr>
        <w:t>叶集区全境实施城乡一体化工程，兼并大桥、来富贵两座水厂的供水范围。</w:t>
      </w:r>
    </w:p>
    <w:p>
      <w:pPr>
        <w:spacing w:line="360" w:lineRule="auto"/>
        <w:ind w:firstLine="482" w:firstLineChars="200"/>
        <w:rPr>
          <w:b/>
          <w:bCs/>
          <w:sz w:val="24"/>
        </w:rPr>
      </w:pPr>
      <w:r>
        <w:rPr>
          <w:b/>
          <w:bCs/>
          <w:sz w:val="24"/>
        </w:rPr>
        <w:t>4</w:t>
      </w:r>
      <w:r>
        <w:rPr>
          <w:rFonts w:hint="eastAsia"/>
          <w:b/>
          <w:bCs/>
          <w:sz w:val="24"/>
        </w:rPr>
        <w:t>、霍邱县</w:t>
      </w:r>
    </w:p>
    <w:p>
      <w:pPr>
        <w:spacing w:line="360" w:lineRule="auto"/>
        <w:ind w:firstLine="480" w:firstLineChars="200"/>
        <w:rPr>
          <w:sz w:val="24"/>
        </w:rPr>
      </w:pPr>
      <w:r>
        <w:rPr>
          <w:rFonts w:hint="eastAsia"/>
          <w:sz w:val="24"/>
        </w:rPr>
        <w:t>霍邱县实施日供水10万吨临淮水厂，汲河沿线的夏店水厂扩建工程（3万吨）、城东湖取水的孟集水厂扩建工程（2万吨）、城西湖取水的邵五水厂扩建工程（2万吨）、沣西干渠龙潭水库取水的龙马水厂扩建工程（2.5万吨）。</w:t>
      </w:r>
    </w:p>
    <w:p>
      <w:pPr>
        <w:spacing w:line="360" w:lineRule="auto"/>
        <w:ind w:firstLine="482" w:firstLineChars="200"/>
        <w:rPr>
          <w:b/>
          <w:bCs/>
          <w:sz w:val="24"/>
        </w:rPr>
      </w:pPr>
      <w:r>
        <w:rPr>
          <w:b/>
          <w:bCs/>
          <w:sz w:val="24"/>
        </w:rPr>
        <w:t>5</w:t>
      </w:r>
      <w:r>
        <w:rPr>
          <w:rFonts w:hint="eastAsia"/>
          <w:b/>
          <w:bCs/>
          <w:sz w:val="24"/>
        </w:rPr>
        <w:t>、舒城县</w:t>
      </w:r>
    </w:p>
    <w:p>
      <w:pPr>
        <w:spacing w:line="360" w:lineRule="auto"/>
        <w:ind w:firstLine="480" w:firstLineChars="200"/>
        <w:rPr>
          <w:sz w:val="24"/>
        </w:rPr>
      </w:pPr>
      <w:r>
        <w:rPr>
          <w:rFonts w:hint="eastAsia"/>
          <w:sz w:val="24"/>
        </w:rPr>
        <w:t>舒城县依托日供水4万吨的县城二水厂，日能力8万吨的县城三水厂（已建成）对棠树乡、柏林乡、干汊河镇、桃溪镇、千人桥镇、百神庙镇、南港镇和舒茶镇等8个乡镇进行管网延伸；对桃溪镇红光水厂，高峰乡水厂、百神庙中心水厂、河棚镇水厂等规模以上水厂进行升级改造。</w:t>
      </w:r>
    </w:p>
    <w:p>
      <w:pPr>
        <w:spacing w:line="360" w:lineRule="auto"/>
        <w:ind w:firstLine="482" w:firstLineChars="200"/>
        <w:rPr>
          <w:b/>
          <w:bCs/>
          <w:sz w:val="24"/>
        </w:rPr>
      </w:pPr>
      <w:r>
        <w:rPr>
          <w:rFonts w:hint="eastAsia"/>
          <w:b/>
          <w:bCs/>
          <w:sz w:val="24"/>
        </w:rPr>
        <w:t>6、金寨县</w:t>
      </w:r>
    </w:p>
    <w:p>
      <w:pPr>
        <w:spacing w:line="360" w:lineRule="auto"/>
        <w:ind w:firstLine="480" w:firstLineChars="200"/>
        <w:rPr>
          <w:sz w:val="24"/>
        </w:rPr>
      </w:pPr>
      <w:r>
        <w:rPr>
          <w:rFonts w:hint="eastAsia"/>
          <w:sz w:val="24"/>
        </w:rPr>
        <w:t>金寨县在县城自来水充分延伸的基础上，对当前集镇供水工程规模较小11个乡镇进行新建或改扩建至规模以上水厂。</w:t>
      </w:r>
    </w:p>
    <w:p>
      <w:pPr>
        <w:spacing w:line="360" w:lineRule="auto"/>
        <w:ind w:firstLine="482" w:firstLineChars="200"/>
        <w:rPr>
          <w:b/>
          <w:bCs/>
          <w:sz w:val="24"/>
        </w:rPr>
      </w:pPr>
      <w:r>
        <w:rPr>
          <w:rFonts w:hint="eastAsia"/>
          <w:b/>
          <w:bCs/>
          <w:sz w:val="24"/>
        </w:rPr>
        <w:t>7、霍山县</w:t>
      </w:r>
    </w:p>
    <w:p>
      <w:pPr>
        <w:spacing w:line="360" w:lineRule="auto"/>
        <w:ind w:firstLine="480" w:firstLineChars="200"/>
        <w:rPr>
          <w:sz w:val="24"/>
        </w:rPr>
      </w:pPr>
      <w:r>
        <w:rPr>
          <w:rFonts w:hint="eastAsia"/>
          <w:sz w:val="24"/>
        </w:rPr>
        <w:t>霍山县实施城区水厂管网延伸工程，覆盖下符桥镇、与儿街镇、黑石渡镇、但家庙镇全部区域和诸佛庵镇、落儿岭镇、佛子岭镇、衡山镇部分区域。</w:t>
      </w:r>
    </w:p>
    <w:p>
      <w:pPr>
        <w:keepNext/>
        <w:keepLines/>
        <w:adjustRightInd w:val="0"/>
        <w:snapToGrid w:val="0"/>
        <w:spacing w:before="240" w:beforeLines="100" w:after="240" w:afterLines="100" w:line="360" w:lineRule="auto"/>
        <w:jc w:val="center"/>
        <w:outlineLvl w:val="1"/>
        <w:rPr>
          <w:b/>
          <w:bCs/>
          <w:sz w:val="32"/>
          <w:szCs w:val="36"/>
        </w:rPr>
      </w:pPr>
      <w:bookmarkStart w:id="536" w:name="_Toc95382554"/>
      <w:r>
        <w:rPr>
          <w:b/>
          <w:bCs/>
          <w:sz w:val="32"/>
          <w:szCs w:val="36"/>
        </w:rPr>
        <w:t>第</w:t>
      </w:r>
      <w:r>
        <w:rPr>
          <w:rFonts w:hint="eastAsia"/>
          <w:b/>
          <w:bCs/>
          <w:sz w:val="32"/>
          <w:szCs w:val="36"/>
        </w:rPr>
        <w:t>五</w:t>
      </w:r>
      <w:r>
        <w:rPr>
          <w:b/>
          <w:bCs/>
          <w:sz w:val="32"/>
          <w:szCs w:val="36"/>
        </w:rPr>
        <w:t xml:space="preserve">节 </w:t>
      </w:r>
      <w:r>
        <w:rPr>
          <w:rFonts w:hint="eastAsia"/>
          <w:b/>
          <w:bCs/>
          <w:sz w:val="32"/>
          <w:szCs w:val="36"/>
        </w:rPr>
        <w:t>应急保障措施</w:t>
      </w:r>
      <w:bookmarkEnd w:id="536"/>
    </w:p>
    <w:p>
      <w:pPr>
        <w:spacing w:line="360" w:lineRule="auto"/>
        <w:ind w:firstLine="482" w:firstLineChars="200"/>
        <w:rPr>
          <w:b/>
          <w:bCs/>
          <w:sz w:val="24"/>
        </w:rPr>
      </w:pPr>
      <w:r>
        <w:rPr>
          <w:rFonts w:hint="eastAsia"/>
          <w:b/>
          <w:bCs/>
          <w:sz w:val="24"/>
        </w:rPr>
        <w:t>1、组织机构</w:t>
      </w:r>
    </w:p>
    <w:p>
      <w:pPr>
        <w:spacing w:line="360" w:lineRule="auto"/>
        <w:ind w:firstLine="480" w:firstLineChars="200"/>
        <w:rPr>
          <w:sz w:val="24"/>
        </w:rPr>
      </w:pPr>
      <w:r>
        <w:rPr>
          <w:rFonts w:hint="eastAsia"/>
          <w:sz w:val="24"/>
        </w:rPr>
        <w:t>由市政府统一领导并组织实施，成立县区供水应急领导小组。</w:t>
      </w:r>
    </w:p>
    <w:p>
      <w:pPr>
        <w:spacing w:line="360" w:lineRule="auto"/>
        <w:ind w:firstLine="480" w:firstLineChars="200"/>
        <w:rPr>
          <w:sz w:val="24"/>
        </w:rPr>
      </w:pPr>
      <w:r>
        <w:rPr>
          <w:rFonts w:hint="eastAsia"/>
          <w:sz w:val="24"/>
        </w:rPr>
        <w:t>健全应急管理机制，建立统一的应急指挥系统。常备不懈、积极兼容、统一指挥、分级管理、保护公众、保护水环境。通过应急机制建设，实现六安市应急管理模式的两个转变，从注重应急处置向预防、处置和恢复全过程管理的转变；从单项应急管理体制向部门联动、条块结合的综合应急管理体制转变。</w:t>
      </w:r>
    </w:p>
    <w:p>
      <w:pPr>
        <w:spacing w:line="360" w:lineRule="auto"/>
        <w:ind w:firstLine="480" w:firstLineChars="200"/>
        <w:rPr>
          <w:sz w:val="24"/>
        </w:rPr>
      </w:pPr>
      <w:r>
        <w:rPr>
          <w:rFonts w:hint="eastAsia"/>
          <w:sz w:val="24"/>
        </w:rPr>
        <w:t>完善和健全应急法规体系，加强六安市水环境污染突发事件预警应急综合和预警管理的法律法规保障。首先，依据国务院《突发公共卫生事件应急处理条例》中对突发性水污染事件的处理程序、办法和要求，严格贯彻突发性水污染事故的预警机制、报告制度、组织制度、程序规范、应急措施、善后处理等一系列重大措施；其次，通过法律及各项政策法规，对应急投入、队伍建设、物资供应等基础工作予以法律保障；同时规范各级主体的行为，明确责任，加强日常的危机管理和防范。同时在健全法制方面，各级地方政府也应该研究地方综合应急法制管理制度，编制地方应急管理条例，确保饮用水源地污染突发事件预警应急管理有法可依。</w:t>
      </w:r>
    </w:p>
    <w:p>
      <w:pPr>
        <w:spacing w:line="360" w:lineRule="auto"/>
        <w:ind w:firstLine="482" w:firstLineChars="200"/>
        <w:rPr>
          <w:b/>
          <w:bCs/>
          <w:sz w:val="24"/>
        </w:rPr>
      </w:pPr>
      <w:r>
        <w:rPr>
          <w:b/>
          <w:bCs/>
          <w:sz w:val="24"/>
        </w:rPr>
        <w:t>2</w:t>
      </w:r>
      <w:r>
        <w:rPr>
          <w:rFonts w:hint="eastAsia"/>
          <w:b/>
          <w:bCs/>
          <w:sz w:val="24"/>
        </w:rPr>
        <w:t>、应急预案</w:t>
      </w:r>
    </w:p>
    <w:p>
      <w:pPr>
        <w:spacing w:line="360" w:lineRule="auto"/>
        <w:ind w:firstLine="480" w:firstLineChars="200"/>
        <w:rPr>
          <w:sz w:val="24"/>
        </w:rPr>
      </w:pPr>
      <w:r>
        <w:rPr>
          <w:rFonts w:hint="eastAsia"/>
          <w:sz w:val="24"/>
        </w:rPr>
        <w:t>（1）应急预案类型</w:t>
      </w:r>
    </w:p>
    <w:p>
      <w:pPr>
        <w:spacing w:line="360" w:lineRule="auto"/>
        <w:ind w:firstLine="480" w:firstLineChars="200"/>
        <w:rPr>
          <w:sz w:val="24"/>
        </w:rPr>
      </w:pPr>
      <w:r>
        <w:rPr>
          <w:rFonts w:hint="eastAsia"/>
          <w:sz w:val="24"/>
        </w:rPr>
        <w:t>应急预案主要有水量和水质两类类型。</w:t>
      </w:r>
    </w:p>
    <w:p>
      <w:pPr>
        <w:spacing w:line="360" w:lineRule="auto"/>
        <w:ind w:firstLine="480" w:firstLineChars="200"/>
        <w:rPr>
          <w:sz w:val="24"/>
        </w:rPr>
      </w:pPr>
      <w:r>
        <w:rPr>
          <w:rFonts w:hint="eastAsia"/>
          <w:sz w:val="24"/>
        </w:rPr>
        <w:t>水量应急类包括气候干旱型和工程事故型两种。气候干旱型属于居民供水主要受来水影响，这种应急预案的编制要考虑到有一定的持续时间，应提高预见性和储备量。工程事故型是考虑洪水、地震等自然灾害或人为因素的冲击，属于突发的短期应急，持续时间相对较短。</w:t>
      </w:r>
    </w:p>
    <w:p>
      <w:pPr>
        <w:spacing w:line="360" w:lineRule="auto"/>
        <w:ind w:firstLine="480" w:firstLineChars="200"/>
        <w:rPr>
          <w:sz w:val="24"/>
        </w:rPr>
      </w:pPr>
      <w:r>
        <w:rPr>
          <w:rFonts w:hint="eastAsia"/>
          <w:sz w:val="24"/>
        </w:rPr>
        <w:t>水质应急类包括常规污染型和突发卫生事故型：由于气温等自然原因，导致局部污染或集中污染的爆发而影响供水的属于常规污染型。突发卫生事故型一般发生时间短，但危害大，必须加强防范，在出现事故的情况下，提出保障一定时期供水的措施。</w:t>
      </w:r>
    </w:p>
    <w:p>
      <w:pPr>
        <w:spacing w:line="360" w:lineRule="auto"/>
        <w:ind w:firstLine="480" w:firstLineChars="200"/>
        <w:rPr>
          <w:sz w:val="24"/>
        </w:rPr>
      </w:pPr>
      <w:r>
        <w:rPr>
          <w:rFonts w:hint="eastAsia"/>
          <w:sz w:val="24"/>
        </w:rPr>
        <w:t>（2）水量应急对策</w:t>
      </w:r>
    </w:p>
    <w:p>
      <w:pPr>
        <w:spacing w:line="360" w:lineRule="auto"/>
        <w:ind w:firstLine="480" w:firstLineChars="200"/>
        <w:rPr>
          <w:sz w:val="24"/>
        </w:rPr>
      </w:pPr>
      <w:r>
        <w:rPr>
          <w:rFonts w:hint="eastAsia"/>
          <w:sz w:val="24"/>
        </w:rPr>
        <w:t>①优先用水对策。在水资源出现短缺、供水紧急状态下，坚持遵循“先生活，后生产”的原则，应首先保证城市人民生活需要，维护社会安定为基本原则，保障人民基本生活供水；其次是保证生活必需品的生产供水；三是保证支柱产业的重点工业用水。</w:t>
      </w:r>
    </w:p>
    <w:p>
      <w:pPr>
        <w:spacing w:line="360" w:lineRule="auto"/>
        <w:ind w:firstLine="480" w:firstLineChars="200"/>
        <w:rPr>
          <w:sz w:val="24"/>
        </w:rPr>
      </w:pPr>
      <w:r>
        <w:rPr>
          <w:rFonts w:hint="eastAsia"/>
          <w:sz w:val="24"/>
        </w:rPr>
        <w:t>②降低标准对策。居民用水可以降低用水标准进行供应，来保障基本生活用水。实行限量定额供水，对一切用水单位，包括工矿企业、事业单位、机关团体、宾馆等公共场所要实行总量控制，努力降低用水定额，减少用水量。</w:t>
      </w:r>
    </w:p>
    <w:p>
      <w:pPr>
        <w:spacing w:line="360" w:lineRule="auto"/>
        <w:ind w:firstLine="480" w:firstLineChars="200"/>
        <w:rPr>
          <w:sz w:val="24"/>
        </w:rPr>
      </w:pPr>
      <w:r>
        <w:rPr>
          <w:rFonts w:hint="eastAsia"/>
          <w:sz w:val="24"/>
        </w:rPr>
        <w:t>③压缩用水对策。严格实行控制性供水。停止高用水行业，适当压缩工业用水；削减农作物灌溉用水量；特枯年份除保证城市生活、菜田和副食品生产用水外，其它用水都要压缩。</w:t>
      </w:r>
    </w:p>
    <w:p>
      <w:pPr>
        <w:spacing w:line="360" w:lineRule="auto"/>
        <w:ind w:firstLine="480" w:firstLineChars="200"/>
        <w:rPr>
          <w:sz w:val="24"/>
        </w:rPr>
      </w:pPr>
      <w:r>
        <w:rPr>
          <w:rFonts w:hint="eastAsia"/>
          <w:sz w:val="24"/>
        </w:rPr>
        <w:t>④水资源调控对策。建立和完善干旱及水质的监测和预报系统，及时掌握水资源供需状况，提高预测干旱灾害的能力。对现有水资源实行统一优化调度。布设水源地水位、流量、水质等动态监测网，对各水源地水量、水质等进行预报。</w:t>
      </w:r>
    </w:p>
    <w:p>
      <w:pPr>
        <w:spacing w:line="360" w:lineRule="auto"/>
        <w:ind w:firstLine="480" w:firstLineChars="200"/>
        <w:rPr>
          <w:sz w:val="24"/>
        </w:rPr>
      </w:pPr>
      <w:r>
        <w:rPr>
          <w:rFonts w:hint="eastAsia"/>
          <w:sz w:val="24"/>
        </w:rPr>
        <w:t>（3）水质应急预案</w:t>
      </w:r>
    </w:p>
    <w:p>
      <w:pPr>
        <w:spacing w:line="360" w:lineRule="auto"/>
        <w:ind w:firstLine="480" w:firstLineChars="200"/>
        <w:rPr>
          <w:sz w:val="24"/>
        </w:rPr>
      </w:pPr>
      <w:r>
        <w:rPr>
          <w:rFonts w:hint="eastAsia"/>
          <w:sz w:val="24"/>
        </w:rPr>
        <w:t>①应急设施建设</w:t>
      </w:r>
    </w:p>
    <w:p>
      <w:pPr>
        <w:spacing w:line="360" w:lineRule="auto"/>
        <w:ind w:firstLine="480" w:firstLineChars="200"/>
        <w:rPr>
          <w:sz w:val="24"/>
        </w:rPr>
      </w:pPr>
      <w:r>
        <w:rPr>
          <w:rFonts w:hint="eastAsia"/>
          <w:sz w:val="24"/>
        </w:rPr>
        <w:t>建立和完善水质动态监测站网，及时发现和跟踪监测水污染事故的发生和迁移过程。在敏感河段和重要居民供水水源地建设必要的自动检测系统，确保供水安全。为预防和应对输水沿线的突发性水污染事故和灾害，应建立起相对的移动监测系统。</w:t>
      </w:r>
    </w:p>
    <w:p>
      <w:pPr>
        <w:spacing w:line="360" w:lineRule="auto"/>
        <w:ind w:firstLine="480" w:firstLineChars="200"/>
        <w:rPr>
          <w:sz w:val="24"/>
        </w:rPr>
      </w:pPr>
      <w:r>
        <w:rPr>
          <w:rFonts w:hint="eastAsia"/>
          <w:sz w:val="24"/>
        </w:rPr>
        <w:t>监测技术的软件体系是以采集的水质数据为基础，通过建立水质综合数据库和水质分析指标体系标准，利用数据库、地理信息系统和数据分析技术，记录各类水体、水环境监测数据，分析其变化规律，并进行水质变化趋势预测，从而建立起水资源质量评价系统。</w:t>
      </w:r>
    </w:p>
    <w:p>
      <w:pPr>
        <w:spacing w:line="360" w:lineRule="auto"/>
        <w:ind w:firstLine="480" w:firstLineChars="200"/>
        <w:rPr>
          <w:sz w:val="24"/>
        </w:rPr>
      </w:pPr>
      <w:r>
        <w:rPr>
          <w:rFonts w:hint="eastAsia"/>
          <w:sz w:val="24"/>
        </w:rPr>
        <w:t>加强应急供水或备用水源地水质监测，确保在发生突发性水污染事故时能及时启用，保障人民的生活用水安全和社会经济的可持续发展。实施建设水生态保护与修复工程，为水生态的尽快修复打下坚实的基础。</w:t>
      </w:r>
    </w:p>
    <w:p>
      <w:pPr>
        <w:spacing w:line="360" w:lineRule="auto"/>
        <w:ind w:firstLine="480" w:firstLineChars="200"/>
        <w:rPr>
          <w:sz w:val="24"/>
        </w:rPr>
      </w:pPr>
      <w:r>
        <w:rPr>
          <w:rFonts w:hint="eastAsia"/>
          <w:sz w:val="24"/>
        </w:rPr>
        <w:t>②水污染应急对策</w:t>
      </w:r>
    </w:p>
    <w:p>
      <w:pPr>
        <w:spacing w:line="360" w:lineRule="auto"/>
        <w:ind w:firstLine="480" w:firstLineChars="200"/>
        <w:rPr>
          <w:sz w:val="24"/>
        </w:rPr>
      </w:pPr>
      <w:r>
        <w:rPr>
          <w:rFonts w:hint="eastAsia"/>
          <w:sz w:val="24"/>
        </w:rPr>
        <w:t>建立水环境污染突发事件预警应急计划，逐步完善应急规划和应急预案体系，处理好危机时应急管理和常态管理中的应急管理的关系，提倡“事先预警应急管理”模式。在规划中各种应急规划应综合起来，与经济发展计划相衔接，做到平战结合、常规管理与危机应急管理的结合。</w:t>
      </w:r>
    </w:p>
    <w:p>
      <w:pPr>
        <w:spacing w:line="360" w:lineRule="auto"/>
        <w:ind w:firstLine="480" w:firstLineChars="200"/>
        <w:rPr>
          <w:sz w:val="24"/>
        </w:rPr>
      </w:pPr>
      <w:r>
        <w:rPr>
          <w:rFonts w:hint="eastAsia"/>
          <w:sz w:val="24"/>
        </w:rPr>
        <w:t>建立透明的水环境应急信息管理机制，健全应急社会网络。建立和完善水环境信息公开机制，建立多远的信息系统，确保多元信息系统的常规运作。同时确保建立一个高效的应急信息管理中心，确立信息报告的可信度和权威性。</w:t>
      </w:r>
    </w:p>
    <w:p>
      <w:pPr>
        <w:spacing w:line="360" w:lineRule="auto"/>
        <w:ind w:firstLine="480" w:firstLineChars="200"/>
        <w:rPr>
          <w:sz w:val="24"/>
        </w:rPr>
      </w:pPr>
    </w:p>
    <w:p>
      <w:pPr>
        <w:rPr>
          <w:szCs w:val="32"/>
        </w:rPr>
      </w:pPr>
    </w:p>
    <w:p>
      <w:pPr>
        <w:keepNext/>
        <w:keepLines/>
        <w:adjustRightInd w:val="0"/>
        <w:snapToGrid w:val="0"/>
        <w:spacing w:before="240" w:beforeLines="100" w:after="240" w:afterLines="100" w:line="360" w:lineRule="auto"/>
        <w:ind w:left="403"/>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537" w:name="_Toc26751"/>
      <w:bookmarkStart w:id="538" w:name="_Toc20239"/>
      <w:bookmarkStart w:id="539" w:name="_Toc8083"/>
      <w:bookmarkStart w:id="540" w:name="_Toc17053"/>
      <w:bookmarkStart w:id="541" w:name="_Toc22918"/>
      <w:bookmarkStart w:id="542" w:name="_Toc29608"/>
      <w:bookmarkStart w:id="543" w:name="_Toc4134"/>
    </w:p>
    <w:bookmarkEnd w:id="537"/>
    <w:bookmarkEnd w:id="538"/>
    <w:bookmarkEnd w:id="539"/>
    <w:bookmarkEnd w:id="540"/>
    <w:bookmarkEnd w:id="541"/>
    <w:bookmarkEnd w:id="542"/>
    <w:bookmarkEnd w:id="543"/>
    <w:p>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544" w:name="_Toc22368"/>
      <w:bookmarkStart w:id="545" w:name="_Toc4311"/>
      <w:bookmarkStart w:id="546" w:name="_Toc14592"/>
      <w:bookmarkStart w:id="547" w:name="_Toc9154"/>
      <w:bookmarkStart w:id="548" w:name="_Toc24441"/>
      <w:bookmarkStart w:id="549" w:name="_Toc16332"/>
      <w:bookmarkStart w:id="550" w:name="_Toc8052"/>
      <w:bookmarkStart w:id="551" w:name="_Toc95382555"/>
      <w:r>
        <w:rPr>
          <w:rFonts w:hint="eastAsia" w:ascii="黑体" w:hAnsi="黑体" w:eastAsia="黑体" w:cs="黑体"/>
          <w:bCs/>
          <w:kern w:val="44"/>
          <w:sz w:val="36"/>
          <w:szCs w:val="36"/>
        </w:rPr>
        <w:t>第九章 水资源</w:t>
      </w:r>
      <w:bookmarkEnd w:id="544"/>
      <w:bookmarkEnd w:id="545"/>
      <w:bookmarkEnd w:id="546"/>
      <w:bookmarkEnd w:id="547"/>
      <w:bookmarkEnd w:id="548"/>
      <w:bookmarkEnd w:id="549"/>
      <w:bookmarkEnd w:id="550"/>
      <w:r>
        <w:rPr>
          <w:rFonts w:hint="eastAsia" w:ascii="黑体" w:hAnsi="黑体" w:eastAsia="黑体" w:cs="黑体"/>
          <w:bCs/>
          <w:kern w:val="44"/>
          <w:sz w:val="36"/>
          <w:szCs w:val="36"/>
        </w:rPr>
        <w:t>监测</w:t>
      </w:r>
      <w:bookmarkEnd w:id="551"/>
    </w:p>
    <w:p>
      <w:pPr>
        <w:keepNext/>
        <w:keepLines/>
        <w:adjustRightInd w:val="0"/>
        <w:snapToGrid w:val="0"/>
        <w:spacing w:before="240" w:beforeLines="100" w:after="240" w:afterLines="100" w:line="360" w:lineRule="auto"/>
        <w:jc w:val="center"/>
        <w:outlineLvl w:val="1"/>
        <w:rPr>
          <w:b/>
          <w:bCs/>
          <w:sz w:val="32"/>
          <w:szCs w:val="36"/>
        </w:rPr>
      </w:pPr>
      <w:bookmarkStart w:id="552" w:name="_Toc293556919"/>
      <w:bookmarkStart w:id="553" w:name="_Toc95382556"/>
      <w:bookmarkStart w:id="554" w:name="_Toc370202436"/>
      <w:bookmarkStart w:id="555" w:name="_Toc312309977"/>
      <w:bookmarkStart w:id="556" w:name="_Toc432782613"/>
      <w:bookmarkStart w:id="557" w:name="_Toc382472285"/>
      <w:bookmarkStart w:id="558" w:name="_Toc10391"/>
      <w:bookmarkStart w:id="559" w:name="_Toc30573"/>
      <w:bookmarkStart w:id="560" w:name="_Toc21090"/>
      <w:bookmarkStart w:id="561" w:name="_Toc26095"/>
      <w:bookmarkStart w:id="562" w:name="_Toc30761"/>
      <w:bookmarkStart w:id="563" w:name="_Toc11510"/>
      <w:bookmarkStart w:id="564" w:name="_Toc28525"/>
      <w:r>
        <w:rPr>
          <w:rFonts w:hint="eastAsia"/>
          <w:b/>
          <w:bCs/>
          <w:sz w:val="32"/>
          <w:szCs w:val="36"/>
        </w:rPr>
        <w:t>第一节</w:t>
      </w:r>
      <w:r>
        <w:rPr>
          <w:b/>
          <w:bCs/>
          <w:sz w:val="32"/>
          <w:szCs w:val="36"/>
        </w:rPr>
        <w:t xml:space="preserve"> 水资源监测现状</w:t>
      </w:r>
      <w:bookmarkEnd w:id="552"/>
      <w:bookmarkEnd w:id="553"/>
      <w:bookmarkEnd w:id="554"/>
      <w:bookmarkEnd w:id="555"/>
      <w:bookmarkEnd w:id="556"/>
      <w:bookmarkEnd w:id="557"/>
    </w:p>
    <w:p>
      <w:pPr>
        <w:spacing w:line="360" w:lineRule="auto"/>
        <w:ind w:firstLine="480" w:firstLineChars="200"/>
        <w:rPr>
          <w:sz w:val="24"/>
        </w:rPr>
      </w:pPr>
      <w:r>
        <w:rPr>
          <w:rFonts w:hint="eastAsia"/>
          <w:sz w:val="24"/>
        </w:rPr>
        <w:t>六安市</w:t>
      </w:r>
      <w:r>
        <w:rPr>
          <w:sz w:val="24"/>
        </w:rPr>
        <w:t>现有分属于水利、环保、城建、自来水厂等有关部门的水资源监测站网，各行业站网侧重点不尽相同，已初步形成了覆盖全市主要水域的水资源监测站点</w:t>
      </w:r>
      <w:r>
        <w:rPr>
          <w:rFonts w:hint="eastAsia"/>
          <w:sz w:val="24"/>
        </w:rPr>
        <w:t>。</w:t>
      </w:r>
      <w:r>
        <w:rPr>
          <w:sz w:val="24"/>
        </w:rPr>
        <w:t>其中，</w:t>
      </w:r>
      <w:r>
        <w:rPr>
          <w:rFonts w:hint="eastAsia"/>
          <w:sz w:val="24"/>
        </w:rPr>
        <w:t>地表水水体监测站点2</w:t>
      </w:r>
      <w:r>
        <w:rPr>
          <w:sz w:val="24"/>
        </w:rPr>
        <w:t>1</w:t>
      </w:r>
      <w:r>
        <w:rPr>
          <w:rFonts w:hint="eastAsia"/>
          <w:sz w:val="24"/>
        </w:rPr>
        <w:t>个，地下水水体监测站点6个，农业用水监测站点4</w:t>
      </w:r>
      <w:r>
        <w:rPr>
          <w:sz w:val="24"/>
        </w:rPr>
        <w:t>2</w:t>
      </w:r>
      <w:r>
        <w:rPr>
          <w:rFonts w:hint="eastAsia"/>
          <w:sz w:val="24"/>
        </w:rPr>
        <w:t>个，工业和生活用水监测站点1</w:t>
      </w:r>
      <w:r>
        <w:rPr>
          <w:sz w:val="24"/>
        </w:rPr>
        <w:t>36</w:t>
      </w:r>
      <w:r>
        <w:rPr>
          <w:rFonts w:hint="eastAsia"/>
          <w:sz w:val="24"/>
        </w:rPr>
        <w:t>个，生态流量监测站点3个</w:t>
      </w:r>
      <w:r>
        <w:rPr>
          <w:sz w:val="24"/>
        </w:rPr>
        <w:t>，监测范围基本覆盖全市主要水体、饮用水水源地</w:t>
      </w:r>
      <w:r>
        <w:rPr>
          <w:rFonts w:hint="eastAsia"/>
          <w:sz w:val="24"/>
        </w:rPr>
        <w:t>和主要农业、工业、生活取水</w:t>
      </w:r>
      <w:r>
        <w:rPr>
          <w:sz w:val="24"/>
        </w:rPr>
        <w:t>，每年向各级政府提供大量水资源监测信息，为流域、省、市、县水资源管理与保护、水环境综合治理、水资源调度、防洪调度与管理、水利工程建设与管理等打下了一定的基础。</w:t>
      </w:r>
    </w:p>
    <w:p>
      <w:pPr>
        <w:keepNext/>
        <w:keepLines/>
        <w:adjustRightInd w:val="0"/>
        <w:snapToGrid w:val="0"/>
        <w:spacing w:before="240" w:beforeLines="100" w:after="240" w:afterLines="100" w:line="360" w:lineRule="auto"/>
        <w:jc w:val="center"/>
        <w:outlineLvl w:val="1"/>
        <w:rPr>
          <w:b/>
          <w:bCs/>
          <w:sz w:val="32"/>
          <w:szCs w:val="36"/>
        </w:rPr>
      </w:pPr>
      <w:bookmarkStart w:id="565" w:name="_Toc293556920"/>
      <w:bookmarkStart w:id="566" w:name="_Toc370202437"/>
      <w:bookmarkStart w:id="567" w:name="_Toc382472286"/>
      <w:bookmarkStart w:id="568" w:name="_Toc432782614"/>
      <w:bookmarkStart w:id="569" w:name="_Toc312309978"/>
      <w:bookmarkStart w:id="570" w:name="_Toc95382557"/>
      <w:r>
        <w:rPr>
          <w:rFonts w:hint="eastAsia"/>
          <w:b/>
          <w:bCs/>
          <w:sz w:val="32"/>
          <w:szCs w:val="36"/>
        </w:rPr>
        <w:t>第二节</w:t>
      </w:r>
      <w:r>
        <w:rPr>
          <w:b/>
          <w:bCs/>
          <w:sz w:val="32"/>
          <w:szCs w:val="36"/>
        </w:rPr>
        <w:t xml:space="preserve"> 水资源监测规划目标、原则和建设内容</w:t>
      </w:r>
      <w:bookmarkEnd w:id="565"/>
      <w:bookmarkEnd w:id="566"/>
      <w:bookmarkEnd w:id="567"/>
      <w:bookmarkEnd w:id="568"/>
      <w:bookmarkEnd w:id="569"/>
      <w:bookmarkEnd w:id="570"/>
    </w:p>
    <w:p>
      <w:pPr>
        <w:pStyle w:val="4"/>
        <w:spacing w:before="120" w:beforeLines="50" w:after="120" w:afterLines="50"/>
        <w:rPr>
          <w:sz w:val="28"/>
        </w:rPr>
      </w:pPr>
      <w:bookmarkStart w:id="571" w:name="_Toc293556921"/>
      <w:bookmarkStart w:id="572" w:name="_Toc382472287"/>
      <w:bookmarkStart w:id="573" w:name="_Toc95382558"/>
      <w:bookmarkStart w:id="574" w:name="_Toc312309979"/>
      <w:bookmarkStart w:id="575" w:name="_Toc370202438"/>
      <w:bookmarkStart w:id="576" w:name="_Toc432782615"/>
      <w:r>
        <w:rPr>
          <w:rFonts w:hint="eastAsia"/>
          <w:sz w:val="28"/>
        </w:rPr>
        <w:t>一、</w:t>
      </w:r>
      <w:r>
        <w:rPr>
          <w:sz w:val="28"/>
        </w:rPr>
        <w:t>规划目标</w:t>
      </w:r>
      <w:bookmarkEnd w:id="571"/>
      <w:bookmarkEnd w:id="572"/>
      <w:bookmarkEnd w:id="573"/>
      <w:bookmarkEnd w:id="574"/>
      <w:bookmarkEnd w:id="575"/>
      <w:bookmarkEnd w:id="576"/>
    </w:p>
    <w:p>
      <w:pPr>
        <w:tabs>
          <w:tab w:val="left" w:pos="525"/>
        </w:tabs>
        <w:adjustRightInd w:val="0"/>
        <w:snapToGrid w:val="0"/>
        <w:spacing w:line="360" w:lineRule="auto"/>
        <w:ind w:firstLine="482"/>
        <w:rPr>
          <w:sz w:val="24"/>
        </w:rPr>
      </w:pPr>
      <w:r>
        <w:rPr>
          <w:sz w:val="24"/>
        </w:rPr>
        <w:t>20</w:t>
      </w:r>
      <w:r>
        <w:rPr>
          <w:rFonts w:hint="eastAsia"/>
          <w:sz w:val="24"/>
        </w:rPr>
        <w:t>3</w:t>
      </w:r>
      <w:r>
        <w:rPr>
          <w:sz w:val="24"/>
        </w:rPr>
        <w:t>0年前，</w:t>
      </w:r>
      <w:r>
        <w:rPr>
          <w:rFonts w:hint="eastAsia"/>
          <w:sz w:val="24"/>
        </w:rPr>
        <w:t>全市</w:t>
      </w:r>
      <w:r>
        <w:rPr>
          <w:sz w:val="24"/>
        </w:rPr>
        <w:t>建立起相对完善的水资源监测站网，站点涵盖</w:t>
      </w:r>
      <w:r>
        <w:rPr>
          <w:rFonts w:hint="eastAsia"/>
          <w:sz w:val="24"/>
        </w:rPr>
        <w:t>各行业重点取水口水量、</w:t>
      </w:r>
      <w:r>
        <w:rPr>
          <w:sz w:val="24"/>
        </w:rPr>
        <w:t>主要河湖库</w:t>
      </w:r>
      <w:r>
        <w:rPr>
          <w:rFonts w:hint="eastAsia"/>
          <w:sz w:val="24"/>
        </w:rPr>
        <w:t>水量、</w:t>
      </w:r>
      <w:r>
        <w:rPr>
          <w:sz w:val="24"/>
        </w:rPr>
        <w:t>水质、重要城市供水水源地水量水质监测、主要河湖水生生态监测、污染事故跟踪监测等监测以及地下水水位、水质监测、取水许可水质管理监测。</w:t>
      </w:r>
    </w:p>
    <w:p>
      <w:pPr>
        <w:pStyle w:val="4"/>
        <w:spacing w:before="120" w:beforeLines="50" w:after="120" w:afterLines="50"/>
        <w:rPr>
          <w:sz w:val="28"/>
        </w:rPr>
      </w:pPr>
      <w:bookmarkStart w:id="577" w:name="_Toc293556922"/>
      <w:bookmarkStart w:id="578" w:name="_Toc370202439"/>
      <w:bookmarkStart w:id="579" w:name="_Toc382472288"/>
      <w:bookmarkStart w:id="580" w:name="_Toc95382559"/>
      <w:bookmarkStart w:id="581" w:name="_Toc312309980"/>
      <w:bookmarkStart w:id="582" w:name="_Toc432782616"/>
      <w:r>
        <w:rPr>
          <w:rFonts w:hint="eastAsia"/>
          <w:sz w:val="28"/>
        </w:rPr>
        <w:t>二、</w:t>
      </w:r>
      <w:r>
        <w:rPr>
          <w:sz w:val="28"/>
        </w:rPr>
        <w:t>规划原则</w:t>
      </w:r>
      <w:bookmarkEnd w:id="577"/>
      <w:bookmarkEnd w:id="578"/>
      <w:bookmarkEnd w:id="579"/>
      <w:bookmarkEnd w:id="580"/>
      <w:bookmarkEnd w:id="581"/>
      <w:bookmarkEnd w:id="582"/>
    </w:p>
    <w:p>
      <w:pPr>
        <w:spacing w:line="360" w:lineRule="auto"/>
        <w:ind w:firstLine="480" w:firstLineChars="200"/>
        <w:rPr>
          <w:rFonts w:hAnsi="宋体"/>
          <w:sz w:val="24"/>
        </w:rPr>
      </w:pPr>
      <w:r>
        <w:rPr>
          <w:rFonts w:hint="eastAsia"/>
          <w:sz w:val="24"/>
        </w:rPr>
        <w:t>（一）</w:t>
      </w:r>
      <w:r>
        <w:rPr>
          <w:rFonts w:hAnsi="宋体"/>
          <w:sz w:val="24"/>
        </w:rPr>
        <w:t>统一规划，分期实施，分级管理。</w:t>
      </w:r>
    </w:p>
    <w:p>
      <w:pPr>
        <w:tabs>
          <w:tab w:val="left" w:pos="525"/>
        </w:tabs>
        <w:adjustRightInd w:val="0"/>
        <w:snapToGrid w:val="0"/>
        <w:spacing w:line="360" w:lineRule="auto"/>
        <w:ind w:firstLine="480" w:firstLineChars="200"/>
        <w:rPr>
          <w:sz w:val="24"/>
        </w:rPr>
      </w:pPr>
      <w:r>
        <w:rPr>
          <w:sz w:val="24"/>
        </w:rPr>
        <w:t>在现有监测体系的基础上，统一规划实施全市水资源监测监控体系，以满足水资源可持续开发、利用与保护的需要。根据区域经济发展水平、站网的重要程度及其用途，对监测站网实行分期实施，分级管理。</w:t>
      </w:r>
    </w:p>
    <w:p>
      <w:pPr>
        <w:spacing w:line="360" w:lineRule="auto"/>
        <w:ind w:firstLine="480" w:firstLineChars="200"/>
        <w:rPr>
          <w:b/>
          <w:sz w:val="28"/>
          <w:szCs w:val="28"/>
        </w:rPr>
      </w:pPr>
      <w:r>
        <w:rPr>
          <w:rFonts w:hint="eastAsia"/>
          <w:sz w:val="24"/>
        </w:rPr>
        <w:t>（二）</w:t>
      </w:r>
      <w:r>
        <w:rPr>
          <w:rFonts w:hAnsi="宋体"/>
          <w:sz w:val="24"/>
        </w:rPr>
        <w:t>突出重点，适应多种需要，满足水资源保护和管理需求。</w:t>
      </w:r>
    </w:p>
    <w:p>
      <w:pPr>
        <w:tabs>
          <w:tab w:val="left" w:pos="525"/>
        </w:tabs>
        <w:adjustRightInd w:val="0"/>
        <w:snapToGrid w:val="0"/>
        <w:spacing w:line="360" w:lineRule="auto"/>
        <w:ind w:firstLine="480" w:firstLineChars="200"/>
        <w:rPr>
          <w:sz w:val="24"/>
        </w:rPr>
      </w:pPr>
      <w:r>
        <w:rPr>
          <w:sz w:val="24"/>
        </w:rPr>
        <w:t>监测规划重点考虑对重要河湖水资源量监测，供水水源地水量、水质安全监测，取水口水量、水质监测，污染物入河总量控制的监测，地下水水位、水质监测；同时，监测规划应满足省、市、县水资源管理、取水许可管理、排污口管理、地下水管理和水利工程等多层次管理的需求。</w:t>
      </w:r>
    </w:p>
    <w:p>
      <w:pPr>
        <w:spacing w:line="360" w:lineRule="auto"/>
        <w:ind w:firstLine="480" w:firstLineChars="200"/>
        <w:rPr>
          <w:rFonts w:hAnsi="宋体"/>
          <w:sz w:val="24"/>
        </w:rPr>
      </w:pPr>
      <w:r>
        <w:rPr>
          <w:rFonts w:hint="eastAsia"/>
          <w:sz w:val="24"/>
        </w:rPr>
        <w:t>（三）</w:t>
      </w:r>
      <w:r>
        <w:rPr>
          <w:rFonts w:hAnsi="宋体"/>
          <w:sz w:val="24"/>
        </w:rPr>
        <w:t>优势互补，多种监测方式并举。</w:t>
      </w:r>
    </w:p>
    <w:p>
      <w:pPr>
        <w:tabs>
          <w:tab w:val="left" w:pos="525"/>
        </w:tabs>
        <w:adjustRightInd w:val="0"/>
        <w:snapToGrid w:val="0"/>
        <w:spacing w:line="360" w:lineRule="auto"/>
        <w:ind w:firstLine="480" w:firstLineChars="200"/>
        <w:rPr>
          <w:sz w:val="24"/>
        </w:rPr>
      </w:pPr>
      <w:r>
        <w:rPr>
          <w:sz w:val="24"/>
        </w:rPr>
        <w:t>固定监测、动态监测、自动监测相结合各有优势，规划在相关重要河段开展自动监测和动态监测，逐步建立起固定监测、动态监测、自动监测相结合的监测体系。</w:t>
      </w:r>
    </w:p>
    <w:p>
      <w:pPr>
        <w:spacing w:line="360" w:lineRule="auto"/>
        <w:ind w:firstLine="480" w:firstLineChars="200"/>
        <w:rPr>
          <w:rFonts w:hAnsi="宋体"/>
          <w:sz w:val="24"/>
        </w:rPr>
      </w:pPr>
      <w:r>
        <w:rPr>
          <w:rFonts w:hint="eastAsia"/>
          <w:sz w:val="24"/>
        </w:rPr>
        <w:t>（四）</w:t>
      </w:r>
      <w:r>
        <w:rPr>
          <w:rFonts w:hAnsi="宋体"/>
          <w:sz w:val="24"/>
        </w:rPr>
        <w:t>量质并重，优化监测网络。</w:t>
      </w:r>
    </w:p>
    <w:p>
      <w:pPr>
        <w:tabs>
          <w:tab w:val="left" w:pos="525"/>
        </w:tabs>
        <w:adjustRightInd w:val="0"/>
        <w:snapToGrid w:val="0"/>
        <w:spacing w:line="360" w:lineRule="auto"/>
        <w:ind w:firstLine="480" w:firstLineChars="200"/>
        <w:rPr>
          <w:sz w:val="24"/>
        </w:rPr>
      </w:pPr>
      <w:r>
        <w:rPr>
          <w:sz w:val="24"/>
        </w:rPr>
        <w:t>以现有</w:t>
      </w:r>
      <w:r>
        <w:rPr>
          <w:rFonts w:hint="eastAsia"/>
          <w:sz w:val="24"/>
        </w:rPr>
        <w:t>监测站点</w:t>
      </w:r>
      <w:r>
        <w:rPr>
          <w:sz w:val="24"/>
        </w:rPr>
        <w:t>为基础，充分考虑水质、水量同步监测，以掌握水资源量、质为目标，优化布设</w:t>
      </w:r>
      <w:r>
        <w:rPr>
          <w:rFonts w:hint="eastAsia"/>
          <w:sz w:val="24"/>
        </w:rPr>
        <w:t>水资源</w:t>
      </w:r>
      <w:r>
        <w:rPr>
          <w:sz w:val="24"/>
        </w:rPr>
        <w:t>监测站网。</w:t>
      </w:r>
    </w:p>
    <w:p>
      <w:pPr>
        <w:pStyle w:val="4"/>
        <w:spacing w:before="120" w:beforeLines="50" w:after="120" w:afterLines="50"/>
        <w:rPr>
          <w:sz w:val="28"/>
        </w:rPr>
      </w:pPr>
      <w:bookmarkStart w:id="583" w:name="_Toc293556923"/>
      <w:bookmarkStart w:id="584" w:name="_Toc382472289"/>
      <w:bookmarkStart w:id="585" w:name="_Toc432782617"/>
      <w:bookmarkStart w:id="586" w:name="_Toc370202440"/>
      <w:bookmarkStart w:id="587" w:name="_Toc312309981"/>
      <w:bookmarkStart w:id="588" w:name="_Toc95382560"/>
      <w:r>
        <w:rPr>
          <w:rFonts w:hint="eastAsia"/>
          <w:sz w:val="28"/>
        </w:rPr>
        <w:t>三、</w:t>
      </w:r>
      <w:r>
        <w:rPr>
          <w:sz w:val="28"/>
        </w:rPr>
        <w:t>主要建设内容</w:t>
      </w:r>
      <w:bookmarkEnd w:id="583"/>
      <w:bookmarkEnd w:id="584"/>
      <w:bookmarkEnd w:id="585"/>
      <w:bookmarkEnd w:id="586"/>
      <w:bookmarkEnd w:id="587"/>
      <w:bookmarkEnd w:id="588"/>
    </w:p>
    <w:p>
      <w:pPr>
        <w:tabs>
          <w:tab w:val="left" w:pos="525"/>
        </w:tabs>
        <w:adjustRightInd w:val="0"/>
        <w:snapToGrid w:val="0"/>
        <w:spacing w:line="360" w:lineRule="auto"/>
        <w:ind w:firstLine="482"/>
        <w:rPr>
          <w:sz w:val="24"/>
        </w:rPr>
      </w:pPr>
      <w:r>
        <w:rPr>
          <w:sz w:val="24"/>
        </w:rPr>
        <w:t>水资源、水质监测站网建设，监测能力建设，水资源监控系统建设。按不同要求、不同类型，科学建设和改善水资源、水环境监测基础设施和软硬件设施，建立起能够满足水资源管理需要的水资源监测队伍。</w:t>
      </w:r>
    </w:p>
    <w:p>
      <w:pPr>
        <w:keepNext/>
        <w:keepLines/>
        <w:adjustRightInd w:val="0"/>
        <w:snapToGrid w:val="0"/>
        <w:spacing w:before="240" w:beforeLines="100" w:after="240" w:afterLines="100" w:line="360" w:lineRule="auto"/>
        <w:jc w:val="center"/>
        <w:outlineLvl w:val="1"/>
        <w:rPr>
          <w:b/>
          <w:bCs/>
          <w:sz w:val="32"/>
          <w:szCs w:val="36"/>
        </w:rPr>
      </w:pPr>
      <w:bookmarkStart w:id="589" w:name="_Toc95382561"/>
      <w:r>
        <w:rPr>
          <w:rFonts w:hint="eastAsia"/>
          <w:b/>
          <w:bCs/>
          <w:sz w:val="32"/>
          <w:szCs w:val="36"/>
        </w:rPr>
        <w:t>第三节</w:t>
      </w:r>
      <w:r>
        <w:rPr>
          <w:b/>
          <w:bCs/>
          <w:sz w:val="32"/>
          <w:szCs w:val="36"/>
        </w:rPr>
        <w:t xml:space="preserve"> 水资源</w:t>
      </w:r>
      <w:r>
        <w:rPr>
          <w:rFonts w:hint="eastAsia"/>
          <w:b/>
          <w:bCs/>
          <w:sz w:val="32"/>
          <w:szCs w:val="36"/>
        </w:rPr>
        <w:t>量监测</w:t>
      </w:r>
      <w:bookmarkEnd w:id="589"/>
    </w:p>
    <w:p>
      <w:pPr>
        <w:pStyle w:val="4"/>
        <w:spacing w:before="120" w:beforeLines="50" w:after="120" w:afterLines="50"/>
        <w:rPr>
          <w:sz w:val="28"/>
        </w:rPr>
      </w:pPr>
      <w:bookmarkStart w:id="590" w:name="_Toc95382562"/>
      <w:r>
        <w:rPr>
          <w:rFonts w:hint="eastAsia"/>
          <w:sz w:val="28"/>
        </w:rPr>
        <w:t>一、监测站点布设</w:t>
      </w:r>
      <w:bookmarkEnd w:id="590"/>
    </w:p>
    <w:p>
      <w:pPr>
        <w:tabs>
          <w:tab w:val="left" w:pos="525"/>
        </w:tabs>
        <w:adjustRightInd w:val="0"/>
        <w:snapToGrid w:val="0"/>
        <w:spacing w:line="360" w:lineRule="auto"/>
        <w:ind w:firstLine="480" w:firstLineChars="200"/>
        <w:rPr>
          <w:sz w:val="24"/>
        </w:rPr>
      </w:pPr>
      <w:r>
        <w:rPr>
          <w:rFonts w:hint="eastAsia"/>
          <w:sz w:val="24"/>
        </w:rPr>
        <w:t>1、县界水资源量监测</w:t>
      </w:r>
    </w:p>
    <w:p>
      <w:pPr>
        <w:tabs>
          <w:tab w:val="left" w:pos="525"/>
        </w:tabs>
        <w:adjustRightInd w:val="0"/>
        <w:snapToGrid w:val="0"/>
        <w:spacing w:line="360" w:lineRule="auto"/>
        <w:ind w:firstLine="480" w:firstLineChars="200"/>
        <w:rPr>
          <w:sz w:val="24"/>
        </w:rPr>
      </w:pPr>
      <w:r>
        <w:rPr>
          <w:rFonts w:hint="eastAsia"/>
          <w:sz w:val="24"/>
        </w:rPr>
        <w:t>在充分利用现有的水文站点的基础上，根据六安市水资源量管理对水资源量控制管理的需求，适当增加县界水资源量监测站点，形成较完整的水量监测网点。</w:t>
      </w:r>
    </w:p>
    <w:p>
      <w:pPr>
        <w:tabs>
          <w:tab w:val="left" w:pos="525"/>
        </w:tabs>
        <w:adjustRightInd w:val="0"/>
        <w:snapToGrid w:val="0"/>
        <w:spacing w:line="360" w:lineRule="auto"/>
        <w:ind w:firstLine="480" w:firstLineChars="200"/>
        <w:rPr>
          <w:sz w:val="24"/>
        </w:rPr>
      </w:pPr>
      <w:r>
        <w:rPr>
          <w:rFonts w:hint="eastAsia"/>
          <w:sz w:val="24"/>
        </w:rPr>
        <w:t>2、非农业取水口监测</w:t>
      </w:r>
    </w:p>
    <w:p>
      <w:pPr>
        <w:tabs>
          <w:tab w:val="left" w:pos="525"/>
        </w:tabs>
        <w:adjustRightInd w:val="0"/>
        <w:snapToGrid w:val="0"/>
        <w:spacing w:line="360" w:lineRule="auto"/>
        <w:ind w:firstLine="480" w:firstLineChars="200"/>
        <w:rPr>
          <w:sz w:val="24"/>
        </w:rPr>
      </w:pPr>
      <w:r>
        <w:rPr>
          <w:rFonts w:hint="eastAsia"/>
          <w:sz w:val="24"/>
        </w:rPr>
        <w:t>非农业取水监测是贯彻落实最严格的水资源管理制的重要任务，是细化取用水管理，量化取水指标，指导工业生活节水工作的前提，在全市境内主要取水大户设置取水量监测点，规划至</w:t>
      </w:r>
      <w:r>
        <w:rPr>
          <w:sz w:val="24"/>
        </w:rPr>
        <w:t>2030</w:t>
      </w:r>
      <w:r>
        <w:rPr>
          <w:rFonts w:hint="eastAsia"/>
          <w:sz w:val="24"/>
        </w:rPr>
        <w:t>年完成年所有许可水量超过</w:t>
      </w:r>
      <w:r>
        <w:rPr>
          <w:sz w:val="24"/>
        </w:rPr>
        <w:t>1</w:t>
      </w:r>
      <w:r>
        <w:rPr>
          <w:rFonts w:hint="eastAsia"/>
          <w:sz w:val="24"/>
        </w:rPr>
        <w:t>万m³的非农业取用水户的在线监测建设任务。</w:t>
      </w:r>
    </w:p>
    <w:p>
      <w:pPr>
        <w:spacing w:line="360" w:lineRule="auto"/>
        <w:ind w:firstLine="480" w:firstLineChars="200"/>
        <w:jc w:val="left"/>
        <w:rPr>
          <w:sz w:val="24"/>
        </w:rPr>
      </w:pPr>
      <w:r>
        <w:rPr>
          <w:rFonts w:hint="eastAsia"/>
          <w:sz w:val="24"/>
        </w:rPr>
        <w:t>3、农业取水口监测</w:t>
      </w:r>
    </w:p>
    <w:p>
      <w:pPr>
        <w:numPr>
          <w:ilvl w:val="2"/>
          <w:numId w:val="0"/>
        </w:numPr>
        <w:spacing w:line="360" w:lineRule="auto"/>
        <w:ind w:firstLine="480" w:firstLineChars="200"/>
        <w:jc w:val="left"/>
        <w:rPr>
          <w:sz w:val="24"/>
        </w:rPr>
      </w:pPr>
      <w:r>
        <w:rPr>
          <w:rFonts w:hint="eastAsia"/>
          <w:sz w:val="24"/>
        </w:rPr>
        <w:t>农业取水监测是提高农业用水效率，建设节水型社会的基础依据。六安市域境内有淠史杭大型灌区和一些水库及提水工程的中小型灌区。规划</w:t>
      </w:r>
      <w:r>
        <w:rPr>
          <w:sz w:val="24"/>
        </w:rPr>
        <w:t>2030</w:t>
      </w:r>
      <w:r>
        <w:rPr>
          <w:rFonts w:hint="eastAsia"/>
          <w:sz w:val="24"/>
        </w:rPr>
        <w:t>年前完成中型灌区农业灌溉取用水在线监测建设，实现农业取用水精细化管理。</w:t>
      </w:r>
    </w:p>
    <w:p>
      <w:pPr>
        <w:spacing w:line="360" w:lineRule="auto"/>
        <w:ind w:firstLine="480" w:firstLineChars="200"/>
        <w:jc w:val="left"/>
        <w:rPr>
          <w:sz w:val="24"/>
        </w:rPr>
      </w:pPr>
      <w:r>
        <w:rPr>
          <w:rFonts w:hint="eastAsia"/>
          <w:sz w:val="24"/>
        </w:rPr>
        <w:t>（4）生态流量监测</w:t>
      </w:r>
    </w:p>
    <w:p>
      <w:pPr>
        <w:numPr>
          <w:ilvl w:val="2"/>
          <w:numId w:val="0"/>
        </w:numPr>
        <w:spacing w:line="360" w:lineRule="auto"/>
        <w:ind w:firstLine="480" w:firstLineChars="200"/>
        <w:jc w:val="left"/>
        <w:rPr>
          <w:sz w:val="24"/>
        </w:rPr>
      </w:pPr>
      <w:r>
        <w:rPr>
          <w:rFonts w:hint="eastAsia"/>
          <w:sz w:val="24"/>
        </w:rPr>
        <w:t>为满足生态流量控制管理，应在布设的</w:t>
      </w:r>
      <w:r>
        <w:rPr>
          <w:sz w:val="24"/>
        </w:rPr>
        <w:t>生态流量</w:t>
      </w:r>
      <w:r>
        <w:rPr>
          <w:rFonts w:hint="eastAsia"/>
          <w:sz w:val="24"/>
        </w:rPr>
        <w:t>控制断面新建流量自动测报系统，加强对生态流量的监控。规划至2030年在六安市的主要河流上布设生态流量自动监测站点，实现流量在线监测。</w:t>
      </w:r>
    </w:p>
    <w:p>
      <w:pPr>
        <w:pStyle w:val="4"/>
        <w:spacing w:before="120" w:beforeLines="50" w:after="120" w:afterLines="50"/>
        <w:rPr>
          <w:sz w:val="28"/>
        </w:rPr>
      </w:pPr>
      <w:bookmarkStart w:id="591" w:name="_Toc95382563"/>
      <w:r>
        <w:rPr>
          <w:rFonts w:hint="eastAsia"/>
          <w:sz w:val="28"/>
        </w:rPr>
        <w:t>二、监测方法</w:t>
      </w:r>
      <w:bookmarkEnd w:id="591"/>
    </w:p>
    <w:p>
      <w:pPr>
        <w:spacing w:line="360" w:lineRule="auto"/>
        <w:ind w:firstLine="480" w:firstLineChars="200"/>
        <w:jc w:val="left"/>
        <w:rPr>
          <w:sz w:val="24"/>
        </w:rPr>
      </w:pPr>
      <w:r>
        <w:rPr>
          <w:rFonts w:hint="eastAsia"/>
          <w:sz w:val="24"/>
        </w:rPr>
        <w:t>以在线监测为主，人工监测为辅，规划期间对新增取水口水量均考虑实施在线监测。</w:t>
      </w:r>
    </w:p>
    <w:p>
      <w:pPr>
        <w:pStyle w:val="4"/>
        <w:spacing w:before="120" w:beforeLines="50" w:after="120" w:afterLines="50"/>
        <w:rPr>
          <w:sz w:val="28"/>
        </w:rPr>
      </w:pPr>
      <w:bookmarkStart w:id="592" w:name="_Toc95382564"/>
      <w:r>
        <w:rPr>
          <w:rFonts w:hint="eastAsia"/>
          <w:sz w:val="28"/>
        </w:rPr>
        <w:t>三、监测频次</w:t>
      </w:r>
      <w:bookmarkEnd w:id="592"/>
    </w:p>
    <w:p>
      <w:pPr>
        <w:spacing w:line="360" w:lineRule="auto"/>
        <w:ind w:firstLine="480" w:firstLineChars="200"/>
        <w:jc w:val="left"/>
        <w:rPr>
          <w:sz w:val="24"/>
        </w:rPr>
      </w:pPr>
      <w:r>
        <w:rPr>
          <w:rFonts w:hint="eastAsia"/>
          <w:sz w:val="24"/>
        </w:rPr>
        <w:t>河流（渠道）站点监测频次具体执行《水文监测规范》规定的监测频次进行监测；在线监测根据设备参数和监测要求进行；人工监测根据监测精度要求进行，作为在线监测的校核比对，特殊期间监测频次根据需要适当增加。</w:t>
      </w:r>
    </w:p>
    <w:p>
      <w:pPr>
        <w:keepNext/>
        <w:keepLines/>
        <w:adjustRightInd w:val="0"/>
        <w:snapToGrid w:val="0"/>
        <w:spacing w:before="240" w:beforeLines="100" w:after="240" w:afterLines="100" w:line="360" w:lineRule="auto"/>
        <w:jc w:val="center"/>
        <w:outlineLvl w:val="1"/>
        <w:rPr>
          <w:b/>
          <w:bCs/>
          <w:sz w:val="32"/>
          <w:szCs w:val="36"/>
        </w:rPr>
      </w:pPr>
      <w:bookmarkStart w:id="593" w:name="_Toc500928014"/>
      <w:bookmarkStart w:id="594" w:name="_Toc95382565"/>
      <w:bookmarkStart w:id="595" w:name="_Toc492308299"/>
      <w:r>
        <w:rPr>
          <w:rFonts w:hint="eastAsia"/>
          <w:b/>
          <w:bCs/>
          <w:sz w:val="32"/>
          <w:szCs w:val="36"/>
        </w:rPr>
        <w:t>第四节 水质监测</w:t>
      </w:r>
      <w:bookmarkEnd w:id="593"/>
      <w:bookmarkEnd w:id="594"/>
      <w:bookmarkEnd w:id="595"/>
    </w:p>
    <w:p>
      <w:pPr>
        <w:pStyle w:val="4"/>
        <w:spacing w:before="120" w:beforeLines="50" w:after="120" w:afterLines="50"/>
        <w:rPr>
          <w:sz w:val="28"/>
        </w:rPr>
      </w:pPr>
      <w:bookmarkStart w:id="596" w:name="_Toc95382566"/>
      <w:r>
        <w:rPr>
          <w:rFonts w:hint="eastAsia"/>
          <w:sz w:val="28"/>
        </w:rPr>
        <w:t>一</w:t>
      </w:r>
      <w:r>
        <w:rPr>
          <w:sz w:val="28"/>
        </w:rPr>
        <w:t>、监测站点布设</w:t>
      </w:r>
      <w:bookmarkEnd w:id="596"/>
    </w:p>
    <w:p>
      <w:pPr>
        <w:spacing w:line="360" w:lineRule="auto"/>
        <w:ind w:firstLine="480" w:firstLineChars="200"/>
        <w:jc w:val="left"/>
        <w:rPr>
          <w:sz w:val="24"/>
        </w:rPr>
      </w:pPr>
      <w:r>
        <w:rPr>
          <w:rFonts w:hint="eastAsia"/>
          <w:sz w:val="24"/>
        </w:rPr>
        <w:t>规划至2</w:t>
      </w:r>
      <w:r>
        <w:rPr>
          <w:sz w:val="24"/>
        </w:rPr>
        <w:t>030</w:t>
      </w:r>
      <w:r>
        <w:rPr>
          <w:rFonts w:hint="eastAsia"/>
          <w:sz w:val="24"/>
        </w:rPr>
        <w:t>年在全市境内增加河流（湖库）水质监测站点、市界水质监测站点</w:t>
      </w:r>
      <w:bookmarkStart w:id="597" w:name="_Hlk73695795"/>
      <w:r>
        <w:rPr>
          <w:rFonts w:hint="eastAsia"/>
          <w:sz w:val="24"/>
        </w:rPr>
        <w:t>和集中式饮用水水源地监测站点，在重要饮用水水源地取水口新建水质自动监测站点。</w:t>
      </w:r>
      <w:bookmarkEnd w:id="597"/>
    </w:p>
    <w:p>
      <w:pPr>
        <w:pStyle w:val="4"/>
        <w:spacing w:before="120" w:beforeLines="50" w:after="120" w:afterLines="50"/>
        <w:rPr>
          <w:sz w:val="28"/>
        </w:rPr>
      </w:pPr>
      <w:bookmarkStart w:id="598" w:name="_Toc95382567"/>
      <w:r>
        <w:rPr>
          <w:rFonts w:hint="eastAsia"/>
          <w:sz w:val="28"/>
        </w:rPr>
        <w:t>二</w:t>
      </w:r>
      <w:r>
        <w:rPr>
          <w:sz w:val="28"/>
        </w:rPr>
        <w:t>、监测方法</w:t>
      </w:r>
      <w:bookmarkEnd w:id="598"/>
    </w:p>
    <w:p>
      <w:pPr>
        <w:spacing w:line="360" w:lineRule="auto"/>
        <w:ind w:firstLine="480" w:firstLineChars="200"/>
        <w:jc w:val="left"/>
        <w:rPr>
          <w:sz w:val="24"/>
        </w:rPr>
      </w:pPr>
      <w:r>
        <w:rPr>
          <w:rFonts w:hint="eastAsia"/>
          <w:sz w:val="24"/>
        </w:rPr>
        <w:t>2025年之前前，河流（湖库）、市界水质监测站点、饮用水水源地取水口进行人工定期监测；</w:t>
      </w:r>
      <w:r>
        <w:rPr>
          <w:sz w:val="24"/>
        </w:rPr>
        <w:t>入河排污口、取水大户取水口位置等实施巡测。</w:t>
      </w:r>
    </w:p>
    <w:p>
      <w:pPr>
        <w:spacing w:line="360" w:lineRule="auto"/>
        <w:ind w:firstLine="480" w:firstLineChars="200"/>
        <w:jc w:val="left"/>
        <w:rPr>
          <w:sz w:val="24"/>
        </w:rPr>
      </w:pPr>
      <w:r>
        <w:rPr>
          <w:sz w:val="24"/>
        </w:rPr>
        <w:t>2030年之前，在继续做好人工水质监测工作的同时，</w:t>
      </w:r>
      <w:r>
        <w:rPr>
          <w:rFonts w:hint="eastAsia"/>
          <w:sz w:val="24"/>
        </w:rPr>
        <w:t>逐步</w:t>
      </w:r>
      <w:r>
        <w:rPr>
          <w:sz w:val="24"/>
        </w:rPr>
        <w:t>完成</w:t>
      </w:r>
      <w:r>
        <w:rPr>
          <w:rFonts w:hint="eastAsia"/>
          <w:sz w:val="24"/>
        </w:rPr>
        <w:t>集中式饮用水水源地的水质</w:t>
      </w:r>
      <w:r>
        <w:rPr>
          <w:sz w:val="24"/>
        </w:rPr>
        <w:t>在线监测。对取水大户和主要入河排污口水质、水量实施在线监测。</w:t>
      </w:r>
    </w:p>
    <w:p>
      <w:pPr>
        <w:pStyle w:val="4"/>
        <w:spacing w:before="120" w:beforeLines="50" w:after="120" w:afterLines="50"/>
        <w:rPr>
          <w:sz w:val="28"/>
        </w:rPr>
      </w:pPr>
      <w:bookmarkStart w:id="599" w:name="_Toc95382568"/>
      <w:r>
        <w:rPr>
          <w:rFonts w:hint="eastAsia"/>
          <w:sz w:val="28"/>
        </w:rPr>
        <w:t>三</w:t>
      </w:r>
      <w:r>
        <w:rPr>
          <w:sz w:val="28"/>
        </w:rPr>
        <w:t>、监测项目</w:t>
      </w:r>
      <w:bookmarkEnd w:id="599"/>
    </w:p>
    <w:p>
      <w:pPr>
        <w:tabs>
          <w:tab w:val="left" w:pos="525"/>
        </w:tabs>
        <w:adjustRightInd w:val="0"/>
        <w:snapToGrid w:val="0"/>
        <w:spacing w:line="360" w:lineRule="auto"/>
        <w:ind w:firstLine="482"/>
        <w:rPr>
          <w:sz w:val="24"/>
        </w:rPr>
      </w:pPr>
      <w:r>
        <w:rPr>
          <w:sz w:val="24"/>
        </w:rPr>
        <w:t>近期，对水库水质主要按照《地表水环境质量标准》（GB3838-2002）中所确定的29项评价指标进行监测，河道水质监测项目按照《地表水环境质量标准》（GB3838-2002）中所确定的24项评价指标进行监测，对入河排污口进行流量、水温、pH、化学需氧量、氨氮、总磷、总氮、挥发酚、砷、氰化物监测。</w:t>
      </w:r>
    </w:p>
    <w:p>
      <w:pPr>
        <w:tabs>
          <w:tab w:val="left" w:pos="525"/>
        </w:tabs>
        <w:adjustRightInd w:val="0"/>
        <w:snapToGrid w:val="0"/>
        <w:spacing w:line="360" w:lineRule="auto"/>
        <w:ind w:firstLine="482"/>
        <w:jc w:val="left"/>
        <w:rPr>
          <w:sz w:val="24"/>
        </w:rPr>
      </w:pPr>
      <w:r>
        <w:rPr>
          <w:sz w:val="24"/>
        </w:rPr>
        <w:t>远期，水库在原监测项目基础上增加集中式生活饮用水地表水源地特定的20项指标。</w:t>
      </w:r>
    </w:p>
    <w:p>
      <w:pPr>
        <w:pStyle w:val="4"/>
        <w:spacing w:before="120" w:beforeLines="50" w:after="120" w:afterLines="50"/>
        <w:rPr>
          <w:sz w:val="28"/>
        </w:rPr>
      </w:pPr>
      <w:bookmarkStart w:id="600" w:name="_Toc95382569"/>
      <w:bookmarkStart w:id="601" w:name="_Toc370202449"/>
      <w:bookmarkStart w:id="602" w:name="_Toc312309990"/>
      <w:bookmarkStart w:id="603" w:name="_Toc382472298"/>
      <w:bookmarkStart w:id="604" w:name="_Toc432782626"/>
      <w:r>
        <w:rPr>
          <w:rFonts w:hint="eastAsia"/>
          <w:sz w:val="28"/>
        </w:rPr>
        <w:t>四</w:t>
      </w:r>
      <w:r>
        <w:rPr>
          <w:sz w:val="28"/>
        </w:rPr>
        <w:t>、监测频次</w:t>
      </w:r>
      <w:bookmarkEnd w:id="600"/>
      <w:bookmarkEnd w:id="601"/>
      <w:bookmarkEnd w:id="602"/>
      <w:bookmarkEnd w:id="603"/>
      <w:bookmarkEnd w:id="604"/>
    </w:p>
    <w:p>
      <w:pPr>
        <w:pStyle w:val="24"/>
        <w:spacing w:line="360" w:lineRule="auto"/>
        <w:ind w:firstLine="480" w:firstLineChars="200"/>
        <w:jc w:val="both"/>
        <w:rPr>
          <w:sz w:val="24"/>
        </w:rPr>
      </w:pPr>
      <w:r>
        <w:rPr>
          <w:rFonts w:hint="eastAsia"/>
          <w:sz w:val="24"/>
        </w:rPr>
        <w:t>河流（湖库）、市界水质、饮用水水源地取水口水质监测站点一般</w:t>
      </w:r>
      <w:r>
        <w:rPr>
          <w:sz w:val="24"/>
        </w:rPr>
        <w:t>每月监测1次。入河排污口水质根据需要确定监测次数，原则上每年汛期、枯水期监测次数不少于一次。在线监测进行适时监测。突发性水污染事故期间监测每天监测次数不少于1次。</w:t>
      </w:r>
    </w:p>
    <w:p>
      <w:pPr>
        <w:keepNext/>
        <w:keepLines/>
        <w:adjustRightInd w:val="0"/>
        <w:snapToGrid w:val="0"/>
        <w:spacing w:before="240" w:beforeLines="100" w:after="240" w:afterLines="100" w:line="360" w:lineRule="auto"/>
        <w:jc w:val="center"/>
        <w:outlineLvl w:val="1"/>
        <w:rPr>
          <w:b/>
          <w:bCs/>
          <w:sz w:val="32"/>
          <w:szCs w:val="36"/>
        </w:rPr>
      </w:pPr>
      <w:bookmarkStart w:id="605" w:name="_Toc95382570"/>
      <w:r>
        <w:rPr>
          <w:rFonts w:hint="eastAsia"/>
          <w:b/>
          <w:bCs/>
          <w:sz w:val="32"/>
          <w:szCs w:val="36"/>
        </w:rPr>
        <w:t>第五节 水利信息化建设</w:t>
      </w:r>
      <w:bookmarkEnd w:id="605"/>
    </w:p>
    <w:p>
      <w:pPr>
        <w:pStyle w:val="24"/>
        <w:spacing w:line="360" w:lineRule="auto"/>
        <w:ind w:firstLine="480" w:firstLineChars="200"/>
        <w:rPr>
          <w:bCs/>
          <w:sz w:val="24"/>
          <w:szCs w:val="24"/>
        </w:rPr>
      </w:pPr>
      <w:r>
        <w:rPr>
          <w:rFonts w:hint="eastAsia"/>
          <w:bCs/>
          <w:sz w:val="24"/>
          <w:szCs w:val="24"/>
        </w:rPr>
        <w:t>水利信息化是水利现代化的基础和标志，是水利产业优化升级和提升现代办公效能的重要手段。按照“网络化、智慧化”的要求，围绕水旱灾害防御、河湖管理、行业监督管理等主要领域，开展水安全监测、水利信息化基础设施、涉水业务智能应用系统建设，提升水利信息化水平。</w:t>
      </w:r>
    </w:p>
    <w:p>
      <w:pPr>
        <w:pStyle w:val="24"/>
        <w:spacing w:line="360" w:lineRule="auto"/>
        <w:ind w:firstLine="480" w:firstLineChars="200"/>
        <w:rPr>
          <w:bCs/>
          <w:sz w:val="24"/>
          <w:szCs w:val="24"/>
        </w:rPr>
      </w:pPr>
      <w:r>
        <w:rPr>
          <w:rFonts w:hint="eastAsia"/>
          <w:bCs/>
          <w:sz w:val="24"/>
          <w:szCs w:val="24"/>
        </w:rPr>
        <w:t>切实提升水利信息化水平。一要加强水文、水资源、水生态等水利数据采集，提升信息资源利用水平和服务能力，同时依据市政府云数据支撑平台不断夯实、补齐水利基础数据、实时数据和空间地理数据，解决水利信息资源不足和资源共享困难等突出问题。二要大力推进市“智慧水利”管理综合应用平台建设和水利工程信息化建设，充分利用物联网、云计算、大数据、移动互联网等新技术，以信息技术与水利业务深度融合为基础，以整合优化与共享利用信息资源为重点，以水利建设管理需求为导向，建立六安水利信息中心，负责统筹规划，协调有序推进全市水利基础设施网络现代化建设和水资源、水土保持网格化数据监测，为行业监管能力和科学决策提供依据。</w:t>
      </w:r>
    </w:p>
    <w:p>
      <w:pPr>
        <w:pStyle w:val="24"/>
        <w:spacing w:line="360" w:lineRule="auto"/>
        <w:ind w:firstLine="480" w:firstLineChars="200"/>
        <w:rPr>
          <w:bCs/>
          <w:sz w:val="24"/>
          <w:szCs w:val="24"/>
        </w:rPr>
      </w:pPr>
      <w:r>
        <w:rPr>
          <w:rFonts w:hint="eastAsia"/>
          <w:bCs/>
          <w:sz w:val="24"/>
          <w:szCs w:val="24"/>
        </w:rPr>
        <w:t>构建完善监测预报预警系统。一要加快构建中小型水库水情自动监测与预报预警系统，提高防汛防台抗旱应急响应速度和精度，促进小型水库规范化精细化常态化管理。二要健全和完善山洪灾害防御网格化责任体系，推进山洪灾害防治非工程措施建设及运行管理，实施农村基层防汛预报预警体系项目建设，从而进一步完善水旱灾害防御指挥系统，接入市“智慧水利”管理综合应用平台，统一调度。</w:t>
      </w:r>
    </w:p>
    <w:p>
      <w:pPr>
        <w:pStyle w:val="24"/>
        <w:spacing w:line="360" w:lineRule="auto"/>
        <w:ind w:firstLine="480" w:firstLineChars="200"/>
        <w:jc w:val="both"/>
        <w:rPr>
          <w:bCs/>
          <w:sz w:val="24"/>
          <w:szCs w:val="24"/>
        </w:rPr>
      </w:pPr>
      <w:r>
        <w:rPr>
          <w:rFonts w:hint="eastAsia"/>
          <w:bCs/>
          <w:sz w:val="24"/>
          <w:szCs w:val="24"/>
        </w:rPr>
        <w:t>全面推进河长制信息化。全面启用省河长制决策系统及省河长通APP巡河，及时更新维护河长湖长信息及相关河湖长制基础数据，不断提高河长制信息化工作水平。</w:t>
      </w:r>
    </w:p>
    <w:bookmarkEnd w:id="558"/>
    <w:bookmarkEnd w:id="559"/>
    <w:bookmarkEnd w:id="560"/>
    <w:bookmarkEnd w:id="561"/>
    <w:bookmarkEnd w:id="562"/>
    <w:bookmarkEnd w:id="563"/>
    <w:bookmarkEnd w:id="564"/>
    <w:p>
      <w:pPr>
        <w:spacing w:line="360" w:lineRule="auto"/>
        <w:ind w:firstLine="480"/>
        <w:rPr>
          <w:sz w:val="24"/>
        </w:rPr>
      </w:pPr>
    </w:p>
    <w:p>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606" w:name="_Toc3764"/>
      <w:bookmarkStart w:id="607" w:name="_Toc21070"/>
      <w:bookmarkStart w:id="608" w:name="_Toc20869"/>
      <w:bookmarkStart w:id="609" w:name="_Toc7242"/>
      <w:bookmarkStart w:id="610" w:name="_Toc7900"/>
      <w:bookmarkStart w:id="611" w:name="_Toc3159"/>
      <w:bookmarkStart w:id="612" w:name="_Toc4878"/>
    </w:p>
    <w:p>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613" w:name="_Toc95382571"/>
      <w:r>
        <w:rPr>
          <w:rFonts w:ascii="黑体" w:hAnsi="黑体" w:eastAsia="黑体" w:cs="黑体"/>
          <w:bCs/>
          <w:kern w:val="44"/>
          <w:sz w:val="36"/>
          <w:szCs w:val="36"/>
        </w:rPr>
        <w:t>第</w:t>
      </w:r>
      <w:r>
        <w:rPr>
          <w:rFonts w:hint="eastAsia" w:ascii="黑体" w:hAnsi="黑体" w:eastAsia="黑体" w:cs="黑体"/>
          <w:bCs/>
          <w:kern w:val="44"/>
          <w:sz w:val="36"/>
          <w:szCs w:val="36"/>
        </w:rPr>
        <w:t>十</w:t>
      </w:r>
      <w:r>
        <w:rPr>
          <w:rFonts w:ascii="黑体" w:hAnsi="黑体" w:eastAsia="黑体" w:cs="黑体"/>
          <w:bCs/>
          <w:kern w:val="44"/>
          <w:sz w:val="36"/>
          <w:szCs w:val="36"/>
        </w:rPr>
        <w:t>章 规划</w:t>
      </w:r>
      <w:r>
        <w:rPr>
          <w:rFonts w:hint="eastAsia" w:ascii="黑体" w:hAnsi="黑体" w:eastAsia="黑体" w:cs="黑体"/>
          <w:bCs/>
          <w:kern w:val="44"/>
          <w:sz w:val="36"/>
          <w:szCs w:val="36"/>
        </w:rPr>
        <w:t>实施方案、</w:t>
      </w:r>
      <w:r>
        <w:rPr>
          <w:rFonts w:ascii="黑体" w:hAnsi="黑体" w:eastAsia="黑体" w:cs="黑体"/>
          <w:bCs/>
          <w:kern w:val="44"/>
          <w:sz w:val="36"/>
          <w:szCs w:val="36"/>
        </w:rPr>
        <w:t>投资估算及效果评价</w:t>
      </w:r>
      <w:bookmarkEnd w:id="606"/>
      <w:bookmarkEnd w:id="607"/>
      <w:bookmarkEnd w:id="608"/>
      <w:bookmarkEnd w:id="609"/>
      <w:bookmarkEnd w:id="610"/>
      <w:bookmarkEnd w:id="611"/>
      <w:bookmarkEnd w:id="612"/>
      <w:bookmarkEnd w:id="613"/>
    </w:p>
    <w:p>
      <w:pPr>
        <w:keepNext/>
        <w:keepLines/>
        <w:adjustRightInd w:val="0"/>
        <w:snapToGrid w:val="0"/>
        <w:spacing w:before="240" w:beforeLines="100" w:after="240" w:afterLines="100" w:line="360" w:lineRule="auto"/>
        <w:jc w:val="center"/>
        <w:outlineLvl w:val="1"/>
        <w:rPr>
          <w:b/>
          <w:bCs/>
          <w:sz w:val="32"/>
          <w:szCs w:val="36"/>
        </w:rPr>
      </w:pPr>
      <w:bookmarkStart w:id="614" w:name="_Toc95382572"/>
      <w:bookmarkStart w:id="615" w:name="_Toc12616"/>
      <w:bookmarkStart w:id="616" w:name="_Toc6719"/>
      <w:bookmarkStart w:id="617" w:name="_Toc13433"/>
      <w:bookmarkStart w:id="618" w:name="_Toc12502"/>
      <w:bookmarkStart w:id="619" w:name="_Toc10443"/>
      <w:bookmarkStart w:id="620" w:name="_Toc30353"/>
      <w:bookmarkStart w:id="621" w:name="_Toc7531"/>
      <w:bookmarkStart w:id="622" w:name="_Toc55459957"/>
      <w:r>
        <w:rPr>
          <w:b/>
          <w:bCs/>
          <w:sz w:val="32"/>
          <w:szCs w:val="36"/>
        </w:rPr>
        <w:t xml:space="preserve">第一节 </w:t>
      </w:r>
      <w:r>
        <w:rPr>
          <w:rFonts w:hint="eastAsia"/>
          <w:b/>
          <w:bCs/>
          <w:sz w:val="32"/>
          <w:szCs w:val="36"/>
        </w:rPr>
        <w:t>规划实施方案</w:t>
      </w:r>
      <w:bookmarkEnd w:id="614"/>
    </w:p>
    <w:p>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根据《六安市水利发展“十四五”规划》、《六安市水资源保护规划》等规划中的主要措施，归纳总结制定本次综合规划中六安市规划实施方案和近期主要建设内容。</w:t>
      </w:r>
    </w:p>
    <w:p>
      <w:pPr>
        <w:pStyle w:val="4"/>
        <w:spacing w:before="120" w:beforeLines="50" w:after="120" w:afterLines="50"/>
        <w:rPr>
          <w:sz w:val="28"/>
        </w:rPr>
      </w:pPr>
      <w:bookmarkStart w:id="623" w:name="_Toc95382573"/>
      <w:r>
        <w:rPr>
          <w:rFonts w:hint="eastAsia"/>
          <w:sz w:val="28"/>
        </w:rPr>
        <w:t>一、节水实施方案</w:t>
      </w:r>
      <w:bookmarkEnd w:id="623"/>
    </w:p>
    <w:p>
      <w:pPr>
        <w:spacing w:line="360" w:lineRule="auto"/>
        <w:ind w:firstLine="482" w:firstLineChars="200"/>
        <w:rPr>
          <w:b/>
          <w:bCs/>
          <w:sz w:val="24"/>
          <w:szCs w:val="28"/>
        </w:rPr>
      </w:pPr>
      <w:r>
        <w:rPr>
          <w:rFonts w:hint="eastAsia"/>
          <w:b/>
          <w:bCs/>
          <w:sz w:val="24"/>
          <w:szCs w:val="28"/>
        </w:rPr>
        <w:t>1、节水灌区创建</w:t>
      </w:r>
    </w:p>
    <w:p>
      <w:pPr>
        <w:spacing w:line="360" w:lineRule="auto"/>
        <w:ind w:firstLine="480" w:firstLineChars="200"/>
        <w:rPr>
          <w:sz w:val="24"/>
          <w:szCs w:val="28"/>
        </w:rPr>
      </w:pPr>
      <w:r>
        <w:rPr>
          <w:rFonts w:hint="eastAsia"/>
          <w:sz w:val="24"/>
          <w:szCs w:val="28"/>
        </w:rPr>
        <w:t>大中型灌区续建配套与现代化改造工程：继续推进大中型灌区续建配套与现代化改造工程，优化农业节水工程措施；加强旱涝保收高标准农田建设，推广农业节水技术，在经济作物种植和农业规模化经济地区，积极推广喷灌、微灌、膜下滴灌等高效节水灌溉技术，探索互联网+现代农业，创建现代化农业示范区，采用数据化智慧农业灌溉和水肥一体化技术。</w:t>
      </w:r>
    </w:p>
    <w:p>
      <w:pPr>
        <w:spacing w:line="360" w:lineRule="auto"/>
        <w:ind w:firstLine="480" w:firstLineChars="200"/>
        <w:rPr>
          <w:sz w:val="24"/>
          <w:szCs w:val="28"/>
        </w:rPr>
      </w:pPr>
      <w:r>
        <w:rPr>
          <w:rFonts w:hint="eastAsia"/>
          <w:sz w:val="24"/>
          <w:szCs w:val="28"/>
        </w:rPr>
        <w:t>到2025年，基本构建完善淠史杭灌区“蓄引提调”水资源配置与保障体系，基本完成灌区分干渠以上渠道工程配套和现代化改造，实现骨干工程完好率70%以上，渠系水利用系数0.54；“两费”落实率达到90%以上，灌区信息化覆盖率达到65%以上；灌溉供水保障程度达到90%以上。至2025年，六安市开展7片中型灌区续建配套与现代化改造，创建节水型灌区2片。</w:t>
      </w:r>
    </w:p>
    <w:p>
      <w:pPr>
        <w:spacing w:line="360" w:lineRule="auto"/>
        <w:ind w:firstLine="480" w:firstLineChars="200"/>
        <w:rPr>
          <w:sz w:val="24"/>
          <w:szCs w:val="28"/>
        </w:rPr>
      </w:pPr>
      <w:r>
        <w:rPr>
          <w:rFonts w:hint="eastAsia"/>
          <w:sz w:val="24"/>
          <w:szCs w:val="28"/>
        </w:rPr>
        <w:t>高标准农田建设：至2025年，结合高标准农田建设和农田水利“最后一公里”工程，创建节水灌溉工程控制面积100万亩。</w:t>
      </w:r>
    </w:p>
    <w:p>
      <w:pPr>
        <w:spacing w:line="360" w:lineRule="auto"/>
        <w:ind w:firstLine="482" w:firstLineChars="200"/>
        <w:rPr>
          <w:b/>
          <w:bCs/>
          <w:sz w:val="24"/>
          <w:szCs w:val="28"/>
        </w:rPr>
      </w:pPr>
      <w:r>
        <w:rPr>
          <w:rFonts w:hint="eastAsia"/>
          <w:b/>
          <w:bCs/>
          <w:sz w:val="24"/>
          <w:szCs w:val="28"/>
        </w:rPr>
        <w:t>2、节水园区创建</w:t>
      </w:r>
    </w:p>
    <w:p>
      <w:pPr>
        <w:spacing w:line="360" w:lineRule="auto"/>
        <w:ind w:firstLine="480" w:firstLineChars="200"/>
        <w:rPr>
          <w:sz w:val="24"/>
          <w:szCs w:val="28"/>
        </w:rPr>
      </w:pPr>
      <w:r>
        <w:rPr>
          <w:rFonts w:hint="eastAsia"/>
          <w:sz w:val="24"/>
          <w:szCs w:val="28"/>
        </w:rPr>
        <w:t>积极推进水循环梯级利用。推进现有企业和园区开展以节水为重点内容的绿色高质量转型升级和循环化改造，加快节水及水循环利用设施建设，促进企业间水梯级串联循环利用。新建企业和园区要在规划布局时，统筹供排水、水处理及循环利用设施建设，推动企业间用水系统集成优化。至2025年，继续争创一批节水型企业。</w:t>
      </w:r>
    </w:p>
    <w:p>
      <w:pPr>
        <w:spacing w:line="360" w:lineRule="auto"/>
        <w:ind w:firstLine="480" w:firstLineChars="200"/>
        <w:rPr>
          <w:sz w:val="24"/>
          <w:szCs w:val="28"/>
        </w:rPr>
      </w:pPr>
      <w:r>
        <w:rPr>
          <w:rFonts w:hint="eastAsia"/>
          <w:sz w:val="24"/>
          <w:szCs w:val="28"/>
        </w:rPr>
        <w:t>构建有利于水循环的园区产业体系，将节水及水循环利用作为园区资源循环化改造的重要内容。鼓励入园企业开展企业间的串联用水，分质用水、一水多用和循环利用，建立园区企业间循环、节约用水产业体系。新建园区应当规划建立适当的供排水、水处理及梯级循环利用设施，工业废水必须经预处理达到集中处理要求方可进入污水处理设施。</w:t>
      </w:r>
    </w:p>
    <w:p>
      <w:pPr>
        <w:spacing w:line="360" w:lineRule="auto"/>
        <w:ind w:firstLine="482" w:firstLineChars="200"/>
        <w:rPr>
          <w:b/>
          <w:bCs/>
          <w:sz w:val="24"/>
          <w:szCs w:val="28"/>
        </w:rPr>
      </w:pPr>
      <w:r>
        <w:rPr>
          <w:rFonts w:hint="eastAsia"/>
          <w:b/>
          <w:bCs/>
          <w:sz w:val="24"/>
          <w:szCs w:val="28"/>
        </w:rPr>
        <w:t>3、生活节水</w:t>
      </w:r>
    </w:p>
    <w:p>
      <w:pPr>
        <w:spacing w:line="360" w:lineRule="auto"/>
        <w:ind w:firstLine="480" w:firstLineChars="200"/>
        <w:rPr>
          <w:sz w:val="24"/>
          <w:szCs w:val="28"/>
        </w:rPr>
      </w:pPr>
      <w:r>
        <w:rPr>
          <w:rFonts w:hint="eastAsia"/>
          <w:sz w:val="24"/>
          <w:szCs w:val="28"/>
        </w:rPr>
        <w:t>规划期逐步推进城乡供水一体化进程。将城区水厂、乡镇中心水厂和新建地表水厂联合供水，以城镇供水设施辐射周边农村，城乡统筹促进农村用水事业发展，同时加强农村人畜饮水困难地区的饮用水工程建设，保证城乡居民饮水安全。</w:t>
      </w:r>
    </w:p>
    <w:p>
      <w:pPr>
        <w:spacing w:line="360" w:lineRule="auto"/>
        <w:ind w:firstLine="480" w:firstLineChars="200"/>
        <w:rPr>
          <w:b/>
          <w:bCs/>
          <w:sz w:val="24"/>
          <w:szCs w:val="28"/>
        </w:rPr>
      </w:pPr>
      <w:r>
        <w:rPr>
          <w:rFonts w:hint="eastAsia"/>
          <w:sz w:val="24"/>
          <w:szCs w:val="28"/>
        </w:rPr>
        <w:t>“十四五”期间，发展城市供水管网优化配置建造设计技术，采用工程优化技术和数值模拟方法，统筹传统清水系统和再生水输配系统，科学制定和实施管网改造技术方案，减少供水系统漏损。加大新型防漏、防爆、防污染管材的更新力度。发展用水远程计量技术，防止和严惩盗水行为。完善管网检漏制度，推广先进检漏技术，提高检测手段，降低供水管网漏失率。至2025年，全面推广节水型器具，节水器具普及率力争达到100%。</w:t>
      </w:r>
    </w:p>
    <w:p>
      <w:pPr>
        <w:spacing w:line="360" w:lineRule="auto"/>
        <w:ind w:firstLine="482" w:firstLineChars="200"/>
        <w:rPr>
          <w:b/>
          <w:bCs/>
          <w:sz w:val="24"/>
          <w:szCs w:val="28"/>
        </w:rPr>
      </w:pPr>
      <w:r>
        <w:rPr>
          <w:rFonts w:hint="eastAsia"/>
          <w:b/>
          <w:bCs/>
          <w:sz w:val="24"/>
          <w:szCs w:val="28"/>
        </w:rPr>
        <w:t>4、非常规水源利用</w:t>
      </w:r>
    </w:p>
    <w:p>
      <w:pPr>
        <w:spacing w:line="360" w:lineRule="auto"/>
        <w:ind w:firstLine="480" w:firstLineChars="200"/>
        <w:rPr>
          <w:sz w:val="24"/>
          <w:szCs w:val="24"/>
        </w:rPr>
      </w:pPr>
      <w:r>
        <w:rPr>
          <w:sz w:val="24"/>
          <w:szCs w:val="24"/>
        </w:rPr>
        <w:t>加强缺水地区非常规水利用。加强再生水、雨水、矿坑排水等非常规水梯级、安全利用。强制推动非常规水纳入水资源统一配置，逐年提高非常规水利用比例。新建小区、城市道路、公共绿地等因地制宜配套建设雨水集蓄利用设施，生态景观优先使用非常规水。至2025年，六安市污水处理厂污水处理规模达41.5万m</w:t>
      </w:r>
      <w:r>
        <w:rPr>
          <w:sz w:val="24"/>
          <w:szCs w:val="24"/>
          <w:vertAlign w:val="superscript"/>
        </w:rPr>
        <w:t>3</w:t>
      </w:r>
      <w:r>
        <w:rPr>
          <w:sz w:val="24"/>
          <w:szCs w:val="24"/>
        </w:rPr>
        <w:t>/d，中水回收利用量13万m</w:t>
      </w:r>
      <w:r>
        <w:rPr>
          <w:sz w:val="24"/>
          <w:szCs w:val="24"/>
          <w:vertAlign w:val="superscript"/>
        </w:rPr>
        <w:t>3</w:t>
      </w:r>
      <w:r>
        <w:rPr>
          <w:sz w:val="24"/>
          <w:szCs w:val="24"/>
        </w:rPr>
        <w:t>/d。</w:t>
      </w:r>
    </w:p>
    <w:p>
      <w:pPr>
        <w:spacing w:line="360" w:lineRule="auto"/>
        <w:ind w:firstLine="480" w:firstLineChars="200"/>
        <w:rPr>
          <w:sz w:val="24"/>
          <w:szCs w:val="28"/>
        </w:rPr>
      </w:pPr>
      <w:r>
        <w:rPr>
          <w:rFonts w:hint="eastAsia"/>
          <w:sz w:val="24"/>
          <w:szCs w:val="28"/>
        </w:rPr>
        <w:t>规划至2</w:t>
      </w:r>
      <w:r>
        <w:rPr>
          <w:sz w:val="24"/>
          <w:szCs w:val="28"/>
        </w:rPr>
        <w:t>030</w:t>
      </w:r>
      <w:r>
        <w:rPr>
          <w:rFonts w:hint="eastAsia"/>
          <w:sz w:val="24"/>
          <w:szCs w:val="28"/>
        </w:rPr>
        <w:t>年，建设完成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p>
      <w:pPr>
        <w:pStyle w:val="4"/>
        <w:spacing w:before="120" w:beforeLines="50" w:after="120" w:afterLines="50"/>
        <w:rPr>
          <w:sz w:val="28"/>
        </w:rPr>
      </w:pPr>
      <w:bookmarkStart w:id="624" w:name="_Toc95382574"/>
      <w:r>
        <w:rPr>
          <w:rFonts w:hint="eastAsia"/>
          <w:sz w:val="28"/>
        </w:rPr>
        <w:t>二、供水实施方案</w:t>
      </w:r>
      <w:bookmarkEnd w:id="624"/>
    </w:p>
    <w:p>
      <w:pPr>
        <w:spacing w:line="360" w:lineRule="auto"/>
        <w:ind w:firstLine="480" w:firstLineChars="200"/>
        <w:rPr>
          <w:sz w:val="24"/>
          <w:szCs w:val="28"/>
        </w:rPr>
      </w:pPr>
      <w:r>
        <w:rPr>
          <w:rFonts w:hint="eastAsia"/>
          <w:sz w:val="24"/>
          <w:szCs w:val="28"/>
        </w:rPr>
        <w:t>根据供水预测和水资源合理配置确定的供水目标、任务和要求以及不同地区的水资源条件，考虑技术经济因素、对生态环境的影响、不同水质的用水要求和利用其他水源的可行性等，在充分发挥现有工程效益的基础上，规划新的水工程项目，提出不同地区增加新的供水能力的水源地。</w:t>
      </w:r>
    </w:p>
    <w:p>
      <w:pPr>
        <w:spacing w:line="360" w:lineRule="auto"/>
        <w:ind w:firstLine="480" w:firstLineChars="200"/>
        <w:rPr>
          <w:sz w:val="24"/>
          <w:szCs w:val="28"/>
        </w:rPr>
      </w:pPr>
    </w:p>
    <w:p>
      <w:pPr>
        <w:spacing w:line="360" w:lineRule="auto"/>
        <w:ind w:firstLine="482" w:firstLineChars="200"/>
        <w:rPr>
          <w:b/>
          <w:bCs/>
          <w:sz w:val="24"/>
          <w:szCs w:val="28"/>
        </w:rPr>
      </w:pPr>
      <w:r>
        <w:rPr>
          <w:rFonts w:hint="eastAsia"/>
          <w:b/>
          <w:bCs/>
          <w:sz w:val="24"/>
          <w:szCs w:val="28"/>
        </w:rPr>
        <w:t>1、现有供水工程的更新改造</w:t>
      </w:r>
    </w:p>
    <w:p>
      <w:pPr>
        <w:spacing w:line="360" w:lineRule="auto"/>
        <w:ind w:firstLine="480" w:firstLineChars="200"/>
        <w:rPr>
          <w:sz w:val="24"/>
          <w:szCs w:val="28"/>
        </w:rPr>
      </w:pPr>
      <w:r>
        <w:rPr>
          <w:rFonts w:hint="eastAsia"/>
          <w:sz w:val="24"/>
          <w:szCs w:val="28"/>
        </w:rPr>
        <w:t>水库（水闸）除险加固工程：至2025年，六安市继续实施水库（水闸）除险加固，完成列入全国大中型病险水闸加固规划内的除险加固任务；全面完成中小型病险水库、水闸除险加固。规划加固和重建水闸27座，其中大中型水闸25座、小型水闸2座；加固中型水库1座（霍邱县龙潭水库），小型水库146座。</w:t>
      </w:r>
    </w:p>
    <w:p>
      <w:pPr>
        <w:spacing w:line="360" w:lineRule="auto"/>
        <w:ind w:firstLine="480" w:firstLineChars="200"/>
        <w:rPr>
          <w:sz w:val="24"/>
        </w:rPr>
      </w:pPr>
      <w:r>
        <w:rPr>
          <w:rFonts w:hint="eastAsia"/>
          <w:sz w:val="24"/>
        </w:rPr>
        <w:t>水库清淤工程：至2</w:t>
      </w:r>
      <w:r>
        <w:rPr>
          <w:sz w:val="24"/>
        </w:rPr>
        <w:t>025</w:t>
      </w:r>
      <w:r>
        <w:rPr>
          <w:rFonts w:hint="eastAsia"/>
          <w:sz w:val="24"/>
        </w:rPr>
        <w:t>年，六安市规划对龙河口、梅山、响洪甸、佛子岭、磨子潭5座大型水库库尾进行清淤，有效增加水库蓄水量。</w:t>
      </w:r>
    </w:p>
    <w:p>
      <w:pPr>
        <w:spacing w:line="360" w:lineRule="auto"/>
        <w:ind w:firstLine="482" w:firstLineChars="200"/>
        <w:rPr>
          <w:b/>
          <w:bCs/>
          <w:sz w:val="24"/>
          <w:szCs w:val="28"/>
        </w:rPr>
      </w:pPr>
      <w:r>
        <w:rPr>
          <w:rFonts w:hint="eastAsia"/>
          <w:b/>
          <w:bCs/>
          <w:sz w:val="24"/>
          <w:szCs w:val="28"/>
        </w:rPr>
        <w:t>2、新增供水工程</w:t>
      </w:r>
    </w:p>
    <w:p>
      <w:pPr>
        <w:adjustRightInd w:val="0"/>
        <w:snapToGrid w:val="0"/>
        <w:spacing w:line="360" w:lineRule="auto"/>
        <w:ind w:firstLine="600" w:firstLineChars="250"/>
        <w:rPr>
          <w:b/>
          <w:sz w:val="24"/>
        </w:rPr>
      </w:pPr>
      <w:r>
        <w:rPr>
          <w:rFonts w:hint="eastAsia"/>
          <w:bCs/>
          <w:sz w:val="24"/>
        </w:rPr>
        <w:t>新增蓄水工程</w:t>
      </w:r>
      <w:r>
        <w:rPr>
          <w:rFonts w:hint="eastAsia"/>
          <w:b/>
          <w:sz w:val="24"/>
        </w:rPr>
        <w:t>：</w:t>
      </w:r>
      <w:r>
        <w:rPr>
          <w:sz w:val="24"/>
        </w:rPr>
        <w:t>至2025年</w:t>
      </w:r>
      <w:r>
        <w:rPr>
          <w:rFonts w:hint="eastAsia"/>
          <w:sz w:val="24"/>
        </w:rPr>
        <w:t>，</w:t>
      </w:r>
      <w:r>
        <w:rPr>
          <w:sz w:val="24"/>
        </w:rPr>
        <w:t>六安市</w:t>
      </w:r>
      <w:r>
        <w:rPr>
          <w:rFonts w:hint="eastAsia"/>
          <w:sz w:val="24"/>
        </w:rPr>
        <w:t>规划新建中型水库2座，小型水库3</w:t>
      </w:r>
      <w:r>
        <w:rPr>
          <w:sz w:val="24"/>
        </w:rPr>
        <w:t>5</w:t>
      </w:r>
      <w:r>
        <w:rPr>
          <w:rFonts w:hint="eastAsia"/>
          <w:sz w:val="24"/>
        </w:rPr>
        <w:t>座。其中中型水库为东河口水库、天仓水库，总库容4996万m</w:t>
      </w:r>
      <w:r>
        <w:rPr>
          <w:rFonts w:hint="eastAsia"/>
          <w:sz w:val="24"/>
          <w:vertAlign w:val="superscript"/>
        </w:rPr>
        <w:t>2</w:t>
      </w:r>
      <w:r>
        <w:rPr>
          <w:rFonts w:hint="eastAsia"/>
          <w:sz w:val="24"/>
        </w:rPr>
        <w:t>；小型水库包括中河水库、三龙井水库、李楼水库、苗冲水库、冯郢水库、石河水库、白石岩水库等，总库容</w:t>
      </w:r>
      <w:r>
        <w:rPr>
          <w:sz w:val="24"/>
        </w:rPr>
        <w:t>8335.92</w:t>
      </w:r>
      <w:r>
        <w:rPr>
          <w:rFonts w:hint="eastAsia"/>
          <w:sz w:val="24"/>
        </w:rPr>
        <w:t>万m</w:t>
      </w:r>
      <w:r>
        <w:rPr>
          <w:sz w:val="24"/>
          <w:vertAlign w:val="superscript"/>
        </w:rPr>
        <w:t>3</w:t>
      </w:r>
      <w:r>
        <w:rPr>
          <w:rFonts w:hint="eastAsia"/>
          <w:sz w:val="24"/>
        </w:rPr>
        <w:t>。</w:t>
      </w:r>
    </w:p>
    <w:p>
      <w:pPr>
        <w:adjustRightInd w:val="0"/>
        <w:snapToGrid w:val="0"/>
        <w:spacing w:line="360" w:lineRule="auto"/>
        <w:ind w:firstLine="600" w:firstLineChars="250"/>
        <w:rPr>
          <w:b/>
          <w:sz w:val="24"/>
        </w:rPr>
      </w:pPr>
      <w:r>
        <w:rPr>
          <w:rFonts w:hint="eastAsia"/>
          <w:bCs/>
          <w:sz w:val="24"/>
        </w:rPr>
        <w:t>新增引提水工程：</w:t>
      </w:r>
      <w:r>
        <w:rPr>
          <w:sz w:val="24"/>
        </w:rPr>
        <w:t>至2025年</w:t>
      </w:r>
      <w:r>
        <w:rPr>
          <w:rFonts w:hint="eastAsia"/>
          <w:sz w:val="24"/>
        </w:rPr>
        <w:t>，</w:t>
      </w:r>
      <w:r>
        <w:rPr>
          <w:sz w:val="24"/>
        </w:rPr>
        <w:t>六安市</w:t>
      </w:r>
      <w:r>
        <w:rPr>
          <w:rFonts w:hint="eastAsia"/>
          <w:sz w:val="24"/>
        </w:rPr>
        <w:t>规划新建中型水闸1座，为金安区黄店节制闸，过闸流量150</w:t>
      </w:r>
      <w:r>
        <w:rPr>
          <w:sz w:val="24"/>
        </w:rPr>
        <w:t xml:space="preserve"> </w:t>
      </w:r>
      <w:r>
        <w:rPr>
          <w:rFonts w:hint="eastAsia"/>
          <w:sz w:val="24"/>
        </w:rPr>
        <w:t>m</w:t>
      </w:r>
      <w:r>
        <w:rPr>
          <w:rFonts w:hint="eastAsia"/>
          <w:sz w:val="24"/>
          <w:vertAlign w:val="superscript"/>
        </w:rPr>
        <w:t>3</w:t>
      </w:r>
      <w:r>
        <w:rPr>
          <w:rFonts w:hint="eastAsia"/>
          <w:sz w:val="24"/>
        </w:rPr>
        <w:t>/s。至2</w:t>
      </w:r>
      <w:r>
        <w:rPr>
          <w:sz w:val="24"/>
        </w:rPr>
        <w:t>025</w:t>
      </w:r>
      <w:r>
        <w:rPr>
          <w:rFonts w:hint="eastAsia"/>
          <w:sz w:val="24"/>
        </w:rPr>
        <w:t>年，六安市规划对部分现有泵站进行改扩建并新建必要的提水泵站。建设提水泵站</w:t>
      </w:r>
      <w:r>
        <w:rPr>
          <w:sz w:val="24"/>
        </w:rPr>
        <w:t>4</w:t>
      </w:r>
      <w:r>
        <w:rPr>
          <w:rFonts w:hint="eastAsia"/>
          <w:sz w:val="24"/>
        </w:rPr>
        <w:t>座（裕安区分路口鲍家杠提水站工程、裕安区窦堰头一级站工程、裕安区窦堰头二级站工程、霍邱县陈村排灌站工程）, 设计提水流量6</w:t>
      </w:r>
      <w:r>
        <w:rPr>
          <w:sz w:val="24"/>
        </w:rPr>
        <w:t xml:space="preserve">7.6 </w:t>
      </w:r>
      <w:r>
        <w:rPr>
          <w:rFonts w:hint="eastAsia"/>
          <w:sz w:val="24"/>
        </w:rPr>
        <w:t>m</w:t>
      </w:r>
      <w:r>
        <w:rPr>
          <w:rFonts w:hint="eastAsia"/>
          <w:sz w:val="24"/>
          <w:vertAlign w:val="superscript"/>
        </w:rPr>
        <w:t>3</w:t>
      </w:r>
      <w:r>
        <w:rPr>
          <w:rFonts w:hint="eastAsia"/>
          <w:sz w:val="24"/>
        </w:rPr>
        <w:t>/s。</w:t>
      </w:r>
    </w:p>
    <w:p>
      <w:pPr>
        <w:adjustRightInd w:val="0"/>
        <w:snapToGrid w:val="0"/>
        <w:spacing w:line="360" w:lineRule="auto"/>
        <w:ind w:firstLine="480" w:firstLineChars="200"/>
        <w:rPr>
          <w:sz w:val="24"/>
        </w:rPr>
      </w:pPr>
      <w:r>
        <w:rPr>
          <w:rFonts w:hint="eastAsia"/>
          <w:bCs/>
          <w:sz w:val="24"/>
        </w:rPr>
        <w:t>实施城乡集中供水</w:t>
      </w:r>
      <w:r>
        <w:rPr>
          <w:bCs/>
          <w:sz w:val="24"/>
        </w:rPr>
        <w:t>工程</w:t>
      </w:r>
      <w:r>
        <w:rPr>
          <w:rFonts w:hint="eastAsia"/>
          <w:bCs/>
          <w:sz w:val="24"/>
        </w:rPr>
        <w:t>：至2</w:t>
      </w:r>
      <w:r>
        <w:rPr>
          <w:bCs/>
          <w:sz w:val="24"/>
        </w:rPr>
        <w:t>025</w:t>
      </w:r>
      <w:r>
        <w:rPr>
          <w:rFonts w:hint="eastAsia"/>
          <w:bCs/>
          <w:sz w:val="24"/>
        </w:rPr>
        <w:t>年，实施六安市城乡一体化供水工程，设计供</w:t>
      </w:r>
      <w:r>
        <w:rPr>
          <w:rFonts w:hint="eastAsia"/>
          <w:sz w:val="24"/>
        </w:rPr>
        <w:t>水规模85.71万m</w:t>
      </w:r>
      <w:r>
        <w:rPr>
          <w:rFonts w:hint="eastAsia"/>
          <w:sz w:val="24"/>
          <w:vertAlign w:val="superscript"/>
        </w:rPr>
        <w:t>3</w:t>
      </w:r>
      <w:r>
        <w:rPr>
          <w:rFonts w:hint="eastAsia"/>
          <w:sz w:val="24"/>
        </w:rPr>
        <w:t>/d，设计供水人口389.9万人。</w:t>
      </w:r>
    </w:p>
    <w:p>
      <w:pPr>
        <w:spacing w:line="360" w:lineRule="auto"/>
        <w:ind w:firstLine="482" w:firstLineChars="200"/>
        <w:rPr>
          <w:b/>
          <w:bCs/>
          <w:sz w:val="24"/>
          <w:szCs w:val="28"/>
        </w:rPr>
      </w:pPr>
      <w:r>
        <w:rPr>
          <w:rFonts w:hint="eastAsia"/>
          <w:b/>
          <w:bCs/>
          <w:sz w:val="24"/>
          <w:szCs w:val="28"/>
        </w:rPr>
        <w:t>3、水资源配置工程</w:t>
      </w:r>
    </w:p>
    <w:p>
      <w:pPr>
        <w:spacing w:line="360" w:lineRule="auto"/>
        <w:ind w:firstLine="480" w:firstLineChars="200"/>
        <w:rPr>
          <w:sz w:val="24"/>
          <w:szCs w:val="28"/>
        </w:rPr>
      </w:pPr>
      <w:r>
        <w:rPr>
          <w:rFonts w:hint="eastAsia"/>
          <w:sz w:val="24"/>
          <w:szCs w:val="28"/>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龙河口引水工程等工作，提升区域水资源配置及保障能力。</w:t>
      </w:r>
    </w:p>
    <w:p>
      <w:pPr>
        <w:pStyle w:val="4"/>
        <w:spacing w:before="120" w:beforeLines="50" w:after="120" w:afterLines="50"/>
        <w:rPr>
          <w:sz w:val="28"/>
        </w:rPr>
      </w:pPr>
      <w:bookmarkStart w:id="625" w:name="_Toc95382575"/>
      <w:r>
        <w:rPr>
          <w:rFonts w:hint="eastAsia"/>
          <w:sz w:val="28"/>
        </w:rPr>
        <w:t>三、水资源保护和水生态修复实施方案</w:t>
      </w:r>
      <w:bookmarkEnd w:id="625"/>
    </w:p>
    <w:p>
      <w:pPr>
        <w:spacing w:line="360" w:lineRule="auto"/>
        <w:ind w:firstLine="482" w:firstLineChars="200"/>
        <w:rPr>
          <w:b/>
          <w:bCs/>
          <w:sz w:val="24"/>
          <w:szCs w:val="28"/>
        </w:rPr>
      </w:pPr>
      <w:r>
        <w:rPr>
          <w:rFonts w:hint="eastAsia"/>
          <w:b/>
          <w:bCs/>
          <w:sz w:val="24"/>
          <w:szCs w:val="28"/>
        </w:rPr>
        <w:t>1、中小河流治理工程</w:t>
      </w:r>
    </w:p>
    <w:p>
      <w:pPr>
        <w:spacing w:line="360" w:lineRule="auto"/>
        <w:ind w:firstLine="480" w:firstLineChars="200"/>
        <w:rPr>
          <w:sz w:val="24"/>
          <w:szCs w:val="28"/>
        </w:rPr>
      </w:pPr>
      <w:r>
        <w:rPr>
          <w:rFonts w:hint="eastAsia"/>
          <w:sz w:val="24"/>
          <w:szCs w:val="28"/>
        </w:rPr>
        <w:t>加快流域面积200～3000k</w:t>
      </w:r>
      <w:r>
        <w:rPr>
          <w:sz w:val="24"/>
          <w:szCs w:val="28"/>
        </w:rPr>
        <w:t>m</w:t>
      </w:r>
      <w:r>
        <w:rPr>
          <w:sz w:val="24"/>
          <w:szCs w:val="28"/>
          <w:vertAlign w:val="superscript"/>
        </w:rPr>
        <w:t>2</w:t>
      </w:r>
      <w:r>
        <w:rPr>
          <w:rFonts w:hint="eastAsia"/>
          <w:sz w:val="24"/>
          <w:szCs w:val="28"/>
        </w:rPr>
        <w:t>中小河流治理工作，治理内容为河道整治、堤防加固、疏浚及水系连通等，加大以流域为单元的河湖水系综合治理。至2</w:t>
      </w:r>
      <w:r>
        <w:rPr>
          <w:sz w:val="24"/>
          <w:szCs w:val="28"/>
        </w:rPr>
        <w:t>025</w:t>
      </w:r>
      <w:r>
        <w:rPr>
          <w:rFonts w:hint="eastAsia"/>
          <w:sz w:val="24"/>
          <w:szCs w:val="28"/>
        </w:rPr>
        <w:t>年，规划治理项目共</w:t>
      </w:r>
      <w:r>
        <w:rPr>
          <w:sz w:val="24"/>
          <w:szCs w:val="28"/>
        </w:rPr>
        <w:t>44</w:t>
      </w:r>
      <w:r>
        <w:rPr>
          <w:rFonts w:hint="eastAsia"/>
          <w:sz w:val="24"/>
          <w:szCs w:val="28"/>
        </w:rPr>
        <w:t>个，治理总河长</w:t>
      </w:r>
      <w:r>
        <w:rPr>
          <w:sz w:val="24"/>
          <w:szCs w:val="28"/>
        </w:rPr>
        <w:t>623.5</w:t>
      </w:r>
      <w:r>
        <w:rPr>
          <w:rFonts w:hint="eastAsia"/>
          <w:sz w:val="24"/>
          <w:szCs w:val="28"/>
        </w:rPr>
        <w:t>km。其中淮河流域项目</w:t>
      </w:r>
      <w:r>
        <w:rPr>
          <w:sz w:val="24"/>
          <w:szCs w:val="28"/>
        </w:rPr>
        <w:t>33</w:t>
      </w:r>
      <w:r>
        <w:rPr>
          <w:rFonts w:hint="eastAsia"/>
          <w:sz w:val="24"/>
          <w:szCs w:val="28"/>
        </w:rPr>
        <w:t>个，治理河长</w:t>
      </w:r>
      <w:r>
        <w:rPr>
          <w:sz w:val="24"/>
          <w:szCs w:val="28"/>
        </w:rPr>
        <w:t>478</w:t>
      </w:r>
      <w:r>
        <w:rPr>
          <w:rFonts w:hint="eastAsia"/>
          <w:sz w:val="24"/>
          <w:szCs w:val="28"/>
        </w:rPr>
        <w:t>.3km；长江流域项目11个，治理河长145.2km。</w:t>
      </w:r>
    </w:p>
    <w:p>
      <w:pPr>
        <w:spacing w:line="360" w:lineRule="auto"/>
        <w:ind w:firstLine="482" w:firstLineChars="200"/>
        <w:rPr>
          <w:b/>
          <w:bCs/>
          <w:sz w:val="24"/>
          <w:szCs w:val="28"/>
        </w:rPr>
      </w:pPr>
      <w:r>
        <w:rPr>
          <w:rFonts w:hint="eastAsia"/>
          <w:b/>
          <w:bCs/>
          <w:sz w:val="24"/>
          <w:szCs w:val="28"/>
        </w:rPr>
        <w:t>2、水生态环境修复工程</w:t>
      </w:r>
    </w:p>
    <w:p>
      <w:pPr>
        <w:spacing w:line="360" w:lineRule="auto"/>
        <w:ind w:firstLine="480" w:firstLineChars="200"/>
        <w:rPr>
          <w:sz w:val="24"/>
          <w:szCs w:val="28"/>
        </w:rPr>
      </w:pPr>
      <w:r>
        <w:rPr>
          <w:rFonts w:hint="eastAsia"/>
          <w:sz w:val="24"/>
          <w:szCs w:val="24"/>
        </w:rPr>
        <w:t>坚持综合施策、协同推进，针对河湖“四水”突出问题，加大河湖修复保护和综合治理，保护河湖结构与功能，构建河湖生态廊道。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p>
      <w:pPr>
        <w:spacing w:line="360" w:lineRule="auto"/>
        <w:ind w:firstLine="482" w:firstLineChars="200"/>
        <w:rPr>
          <w:b/>
          <w:bCs/>
          <w:sz w:val="24"/>
          <w:szCs w:val="28"/>
        </w:rPr>
      </w:pPr>
      <w:r>
        <w:rPr>
          <w:rFonts w:hint="eastAsia"/>
          <w:b/>
          <w:bCs/>
          <w:sz w:val="24"/>
          <w:szCs w:val="28"/>
        </w:rPr>
        <w:t>3、农村水系综合整治工程</w:t>
      </w:r>
    </w:p>
    <w:p>
      <w:pPr>
        <w:spacing w:line="360" w:lineRule="auto"/>
        <w:ind w:firstLine="480" w:firstLineChars="200"/>
        <w:rPr>
          <w:sz w:val="24"/>
          <w:szCs w:val="28"/>
        </w:rPr>
      </w:pPr>
      <w:r>
        <w:rPr>
          <w:rFonts w:hint="eastAsia"/>
          <w:sz w:val="24"/>
          <w:szCs w:val="28"/>
        </w:rPr>
        <w:t>针对农村水系存在的突出问题，立足乡村河流特点，以县域为单元、河流为脉络、村庄为节点，通过清淤疏浚，岸坡整治、水系连通、水源涵养与水土保持等多种措施，集中连片推进，水域岸线并治，开展霍邱县、霍山县、金寨县、舒城县、金安区、裕安区、叶集区农村水系综合整治，使农村河湖生态、防洪排涝、灌溉供水等基本功能得到恢复，为打造幸福河湖奠定基础。</w:t>
      </w:r>
    </w:p>
    <w:p>
      <w:pPr>
        <w:pStyle w:val="4"/>
        <w:spacing w:before="120" w:beforeLines="50" w:after="120" w:afterLines="50"/>
        <w:rPr>
          <w:sz w:val="28"/>
        </w:rPr>
      </w:pPr>
      <w:bookmarkStart w:id="626" w:name="_Toc95382576"/>
      <w:r>
        <w:rPr>
          <w:rFonts w:hint="eastAsia"/>
          <w:sz w:val="28"/>
        </w:rPr>
        <w:t>四、水资源监测实施方案</w:t>
      </w:r>
      <w:bookmarkEnd w:id="626"/>
    </w:p>
    <w:p>
      <w:pPr>
        <w:spacing w:line="360" w:lineRule="auto"/>
        <w:ind w:firstLine="480" w:firstLineChars="200"/>
        <w:rPr>
          <w:sz w:val="24"/>
        </w:rPr>
      </w:pPr>
      <w:r>
        <w:rPr>
          <w:rFonts w:hint="eastAsia"/>
          <w:sz w:val="24"/>
        </w:rPr>
        <w:t>加强水资源监测系统监测，制定实行水资源数量与质量、供水与用水、排污与环境相结合的统一监测网络体系，建立和完善供用排水计量设施，建立现代水资源监测系统。</w:t>
      </w:r>
    </w:p>
    <w:p>
      <w:pPr>
        <w:spacing w:line="360" w:lineRule="auto"/>
        <w:ind w:firstLine="482" w:firstLineChars="200"/>
        <w:rPr>
          <w:b/>
          <w:bCs/>
          <w:sz w:val="24"/>
        </w:rPr>
      </w:pPr>
      <w:r>
        <w:rPr>
          <w:rFonts w:hint="eastAsia"/>
          <w:b/>
          <w:bCs/>
          <w:sz w:val="24"/>
        </w:rPr>
        <w:t>1、水量监测</w:t>
      </w:r>
    </w:p>
    <w:p>
      <w:pPr>
        <w:spacing w:line="360" w:lineRule="auto"/>
        <w:ind w:firstLine="480" w:firstLineChars="200"/>
        <w:rPr>
          <w:sz w:val="24"/>
        </w:rPr>
      </w:pPr>
      <w:r>
        <w:rPr>
          <w:rFonts w:hint="eastAsia"/>
          <w:sz w:val="24"/>
        </w:rPr>
        <w:t>根据六安市水资源管理中对水资源量控制的需求，适当增加县界水资源量监测站点，形成较完整的水量监测网点。</w:t>
      </w:r>
      <w:r>
        <w:rPr>
          <w:sz w:val="24"/>
          <w:szCs w:val="21"/>
        </w:rPr>
        <w:t>加强灌区计量设施建设，</w:t>
      </w:r>
      <w:r>
        <w:rPr>
          <w:rFonts w:hint="eastAsia"/>
          <w:sz w:val="24"/>
          <w:szCs w:val="21"/>
        </w:rPr>
        <w:t>逐步完成全市</w:t>
      </w:r>
      <w:r>
        <w:rPr>
          <w:sz w:val="24"/>
          <w:szCs w:val="21"/>
        </w:rPr>
        <w:t>中型灌区（灌溉水源分散型灌区除外）渠首</w:t>
      </w:r>
      <w:r>
        <w:rPr>
          <w:rFonts w:hint="eastAsia"/>
          <w:sz w:val="24"/>
          <w:szCs w:val="21"/>
        </w:rPr>
        <w:t>取水量在线监测</w:t>
      </w:r>
      <w:r>
        <w:rPr>
          <w:sz w:val="24"/>
          <w:szCs w:val="21"/>
        </w:rPr>
        <w:t>。</w:t>
      </w:r>
      <w:r>
        <w:rPr>
          <w:rFonts w:hint="eastAsia"/>
          <w:sz w:val="24"/>
        </w:rPr>
        <w:t>对全市重点及中等企业取水口安装计量监控设备，实施远程在线监测。规划至2030年在六安市的主要河流上布设生态流量自动监测站点，实现流量在线监测。</w:t>
      </w:r>
    </w:p>
    <w:p>
      <w:pPr>
        <w:spacing w:line="360" w:lineRule="auto"/>
        <w:ind w:firstLine="482" w:firstLineChars="200"/>
        <w:rPr>
          <w:b/>
          <w:bCs/>
          <w:sz w:val="24"/>
        </w:rPr>
      </w:pPr>
      <w:r>
        <w:rPr>
          <w:rFonts w:hint="eastAsia"/>
          <w:b/>
          <w:bCs/>
          <w:sz w:val="24"/>
        </w:rPr>
        <w:t>2、水质监测</w:t>
      </w:r>
    </w:p>
    <w:p>
      <w:pPr>
        <w:spacing w:line="360" w:lineRule="auto"/>
        <w:ind w:firstLine="480" w:firstLineChars="200"/>
        <w:rPr>
          <w:sz w:val="24"/>
        </w:rPr>
      </w:pPr>
      <w:r>
        <w:rPr>
          <w:rFonts w:hint="eastAsia"/>
          <w:sz w:val="24"/>
        </w:rPr>
        <w:t>规划至2</w:t>
      </w:r>
      <w:r>
        <w:rPr>
          <w:sz w:val="24"/>
        </w:rPr>
        <w:t>030</w:t>
      </w:r>
      <w:r>
        <w:rPr>
          <w:rFonts w:hint="eastAsia"/>
          <w:sz w:val="24"/>
        </w:rPr>
        <w:t>年在全市境内增加河流（湖库）水质监测站点、市界水质监测站点和集中式饮用水水源地监测站点，在重要饮用水水源地取水口新建水质自动监测站点。</w:t>
      </w:r>
    </w:p>
    <w:p>
      <w:pPr>
        <w:spacing w:line="360" w:lineRule="auto"/>
        <w:ind w:firstLine="482" w:firstLineChars="200"/>
        <w:rPr>
          <w:b/>
          <w:bCs/>
          <w:sz w:val="24"/>
        </w:rPr>
      </w:pPr>
      <w:r>
        <w:rPr>
          <w:rFonts w:hint="eastAsia"/>
          <w:b/>
          <w:bCs/>
          <w:sz w:val="24"/>
        </w:rPr>
        <w:t>3、水利信息化建设</w:t>
      </w:r>
    </w:p>
    <w:p>
      <w:pPr>
        <w:spacing w:line="360" w:lineRule="auto"/>
        <w:ind w:firstLine="480" w:firstLineChars="200"/>
        <w:rPr>
          <w:sz w:val="24"/>
        </w:rPr>
      </w:pPr>
      <w:r>
        <w:rPr>
          <w:rFonts w:hint="eastAsia"/>
          <w:sz w:val="24"/>
        </w:rPr>
        <w:t>开展小型水库水文监测预警设施、中型水库水文监测预警设施、中小河流水文监测预警设施、大江大河水文站、大江大河水位站、省界水文站、重点城市防洪排涝水文监测设施、墒情站、地下水监测站、水质自动监测站等监测设施的建设。充分利用云计算、物联网、大数据、移动互联、人工智能等新一代信息技术，强化水利业务与信息技术深度融合，构建基础大平台、建立水利大数据、整合应用大系统、建设网络大安全。</w:t>
      </w:r>
    </w:p>
    <w:p>
      <w:pPr>
        <w:spacing w:line="360" w:lineRule="auto"/>
        <w:ind w:firstLine="480" w:firstLineChars="200"/>
        <w:rPr>
          <w:sz w:val="24"/>
        </w:rPr>
      </w:pPr>
      <w:r>
        <w:rPr>
          <w:rFonts w:hint="eastAsia"/>
          <w:sz w:val="24"/>
        </w:rPr>
        <w:t>建立六安水利信息中心，负责统筹规划，协调有序推进全市水利基础设施网络现代化建设和水资源、水土保持网格化数据监测，为行业监管能力和科学决策提供依据。</w:t>
      </w:r>
    </w:p>
    <w:p>
      <w:pPr>
        <w:keepNext/>
        <w:keepLines/>
        <w:adjustRightInd w:val="0"/>
        <w:snapToGrid w:val="0"/>
        <w:spacing w:before="240" w:beforeLines="100" w:after="240" w:afterLines="100" w:line="360" w:lineRule="auto"/>
        <w:jc w:val="center"/>
        <w:outlineLvl w:val="1"/>
        <w:rPr>
          <w:b/>
          <w:bCs/>
          <w:sz w:val="32"/>
          <w:szCs w:val="36"/>
        </w:rPr>
      </w:pPr>
      <w:bookmarkStart w:id="627" w:name="_Toc95382577"/>
      <w:r>
        <w:rPr>
          <w:b/>
          <w:bCs/>
          <w:sz w:val="32"/>
          <w:szCs w:val="36"/>
        </w:rPr>
        <w:t>第</w:t>
      </w:r>
      <w:r>
        <w:rPr>
          <w:rFonts w:hint="eastAsia"/>
          <w:b/>
          <w:bCs/>
          <w:sz w:val="32"/>
          <w:szCs w:val="36"/>
        </w:rPr>
        <w:t>二</w:t>
      </w:r>
      <w:r>
        <w:rPr>
          <w:b/>
          <w:bCs/>
          <w:sz w:val="32"/>
          <w:szCs w:val="36"/>
        </w:rPr>
        <w:t xml:space="preserve">节 </w:t>
      </w:r>
      <w:r>
        <w:rPr>
          <w:rFonts w:hint="eastAsia"/>
          <w:b/>
          <w:bCs/>
          <w:sz w:val="32"/>
          <w:szCs w:val="36"/>
        </w:rPr>
        <w:t>规划</w:t>
      </w:r>
      <w:r>
        <w:rPr>
          <w:b/>
          <w:bCs/>
          <w:sz w:val="32"/>
          <w:szCs w:val="36"/>
        </w:rPr>
        <w:t>投资</w:t>
      </w:r>
      <w:bookmarkEnd w:id="615"/>
      <w:bookmarkEnd w:id="616"/>
      <w:bookmarkEnd w:id="617"/>
      <w:bookmarkEnd w:id="618"/>
      <w:bookmarkEnd w:id="619"/>
      <w:bookmarkEnd w:id="620"/>
      <w:bookmarkEnd w:id="621"/>
      <w:bookmarkEnd w:id="622"/>
      <w:r>
        <w:rPr>
          <w:rFonts w:hint="eastAsia"/>
          <w:b/>
          <w:bCs/>
          <w:sz w:val="32"/>
          <w:szCs w:val="36"/>
        </w:rPr>
        <w:t>估算</w:t>
      </w:r>
      <w:bookmarkEnd w:id="627"/>
    </w:p>
    <w:p>
      <w:pPr>
        <w:suppressAutoHyphens/>
        <w:autoSpaceDE w:val="0"/>
        <w:autoSpaceDN w:val="0"/>
        <w:adjustRightInd w:val="0"/>
        <w:snapToGrid w:val="0"/>
        <w:spacing w:line="360" w:lineRule="auto"/>
        <w:ind w:firstLine="480" w:firstLineChars="200"/>
        <w:rPr>
          <w:kern w:val="1"/>
          <w:sz w:val="24"/>
          <w:szCs w:val="24"/>
        </w:rPr>
      </w:pPr>
      <w:r>
        <w:rPr>
          <w:rFonts w:hint="eastAsia"/>
          <w:kern w:val="1"/>
          <w:sz w:val="24"/>
          <w:szCs w:val="24"/>
        </w:rPr>
        <w:t>根据《六安市水利发展“十四五”规划》、《六安市水资源保护规划》等规划中的工程项目的投资估算，对上述规划实施方案的投资进行简单估算。</w:t>
      </w:r>
    </w:p>
    <w:p>
      <w:pPr>
        <w:suppressAutoHyphens/>
        <w:autoSpaceDE w:val="0"/>
        <w:autoSpaceDN w:val="0"/>
        <w:adjustRightInd w:val="0"/>
        <w:snapToGrid w:val="0"/>
        <w:spacing w:line="360" w:lineRule="auto"/>
        <w:ind w:firstLine="480" w:firstLineChars="200"/>
        <w:rPr>
          <w:sz w:val="24"/>
        </w:rPr>
      </w:pPr>
      <w:r>
        <w:rPr>
          <w:rFonts w:hint="eastAsia"/>
          <w:sz w:val="24"/>
        </w:rPr>
        <w:t>规划实施方案总投资约为</w:t>
      </w:r>
      <w:r>
        <w:rPr>
          <w:sz w:val="24"/>
        </w:rPr>
        <w:t>495.69</w:t>
      </w:r>
      <w:r>
        <w:rPr>
          <w:rFonts w:hint="eastAsia"/>
          <w:sz w:val="24"/>
        </w:rPr>
        <w:t>亿元，“十四五”期间投资约为</w:t>
      </w:r>
      <w:r>
        <w:rPr>
          <w:sz w:val="24"/>
        </w:rPr>
        <w:t>170.80</w:t>
      </w:r>
      <w:r>
        <w:rPr>
          <w:rFonts w:hint="eastAsia"/>
          <w:sz w:val="24"/>
        </w:rPr>
        <w:t>亿元，主要包括节水工程、供水工程、水生态修复工程和水资源监测等4个方面的内容。详见表</w:t>
      </w:r>
      <w:r>
        <w:rPr>
          <w:sz w:val="24"/>
        </w:rPr>
        <w:t>10.2.1</w:t>
      </w:r>
      <w:r>
        <w:rPr>
          <w:rFonts w:hint="eastAsia"/>
          <w:sz w:val="24"/>
        </w:rPr>
        <w:t>。</w:t>
      </w:r>
    </w:p>
    <w:p>
      <w:pPr>
        <w:spacing w:line="360" w:lineRule="auto"/>
        <w:jc w:val="center"/>
        <w:rPr>
          <w:b/>
          <w:bCs/>
          <w:sz w:val="24"/>
          <w:szCs w:val="24"/>
        </w:rPr>
      </w:pPr>
      <w:r>
        <w:rPr>
          <w:b/>
          <w:bCs/>
          <w:sz w:val="24"/>
          <w:szCs w:val="24"/>
        </w:rPr>
        <w:t>表10.2</w:t>
      </w:r>
      <w:r>
        <w:rPr>
          <w:rFonts w:hint="eastAsia"/>
          <w:b/>
          <w:bCs/>
          <w:sz w:val="24"/>
          <w:szCs w:val="24"/>
        </w:rPr>
        <w:t>.</w:t>
      </w:r>
      <w:r>
        <w:rPr>
          <w:b/>
          <w:bCs/>
          <w:sz w:val="24"/>
          <w:szCs w:val="24"/>
        </w:rPr>
        <w:t>1  六安市</w:t>
      </w:r>
      <w:r>
        <w:rPr>
          <w:rFonts w:hint="eastAsia"/>
          <w:b/>
          <w:bCs/>
          <w:sz w:val="24"/>
          <w:szCs w:val="24"/>
        </w:rPr>
        <w:t>水资源综合规划实施方案</w:t>
      </w:r>
      <w:r>
        <w:rPr>
          <w:b/>
          <w:bCs/>
          <w:sz w:val="24"/>
          <w:szCs w:val="24"/>
        </w:rPr>
        <w:t>投资</w:t>
      </w:r>
      <w:r>
        <w:rPr>
          <w:rFonts w:hint="eastAsia"/>
          <w:b/>
          <w:bCs/>
          <w:sz w:val="24"/>
          <w:szCs w:val="24"/>
        </w:rPr>
        <w:t>估算</w:t>
      </w:r>
      <w:r>
        <w:rPr>
          <w:b/>
          <w:bCs/>
          <w:sz w:val="24"/>
          <w:szCs w:val="24"/>
        </w:rPr>
        <w:t>表</w:t>
      </w:r>
    </w:p>
    <w:tbl>
      <w:tblPr>
        <w:tblStyle w:val="3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92"/>
        <w:gridCol w:w="5174"/>
        <w:gridCol w:w="901"/>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771" w:type="dxa"/>
            <w:shd w:val="clear" w:color="auto" w:fill="auto"/>
            <w:vAlign w:val="center"/>
          </w:tcPr>
          <w:p>
            <w:pPr>
              <w:widowControl/>
              <w:jc w:val="center"/>
              <w:rPr>
                <w:rFonts w:ascii="宋体" w:hAnsi="宋体" w:cs="宋体"/>
                <w:color w:val="000000"/>
                <w:kern w:val="0"/>
                <w:sz w:val="18"/>
                <w:szCs w:val="18"/>
              </w:rPr>
            </w:pPr>
            <w:bookmarkStart w:id="628" w:name="RANGE!A1"/>
            <w:r>
              <w:rPr>
                <w:rFonts w:hint="eastAsia" w:ascii="宋体" w:hAnsi="宋体" w:cs="宋体"/>
                <w:color w:val="000000"/>
                <w:kern w:val="0"/>
                <w:sz w:val="18"/>
                <w:szCs w:val="18"/>
              </w:rPr>
              <w:t>项目分类</w:t>
            </w:r>
            <w:bookmarkEnd w:id="628"/>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503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项目内容</w:t>
            </w:r>
          </w:p>
        </w:tc>
        <w:tc>
          <w:tcPr>
            <w:tcW w:w="87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总投资（亿元）</w:t>
            </w:r>
          </w:p>
        </w:tc>
        <w:tc>
          <w:tcPr>
            <w:tcW w:w="84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十四五期间估算投资（亿元）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节水实施方案</w:t>
            </w: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农业节水</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开展</w:t>
            </w:r>
            <w:r>
              <w:rPr>
                <w:color w:val="000000"/>
                <w:kern w:val="0"/>
                <w:sz w:val="18"/>
                <w:szCs w:val="18"/>
              </w:rPr>
              <w:t>7</w:t>
            </w:r>
            <w:r>
              <w:rPr>
                <w:rFonts w:hint="eastAsia" w:ascii="宋体" w:hAnsi="宋体" w:cs="宋体"/>
                <w:color w:val="000000"/>
                <w:kern w:val="0"/>
                <w:sz w:val="18"/>
                <w:szCs w:val="18"/>
              </w:rPr>
              <w:t>片中型灌区续建配套与现代化改造，创建节水型灌区</w:t>
            </w:r>
            <w:r>
              <w:rPr>
                <w:color w:val="000000"/>
                <w:kern w:val="0"/>
                <w:sz w:val="18"/>
                <w:szCs w:val="18"/>
              </w:rPr>
              <w:t>2</w:t>
            </w:r>
            <w:r>
              <w:rPr>
                <w:rFonts w:hint="eastAsia" w:ascii="宋体" w:hAnsi="宋体" w:cs="宋体"/>
                <w:color w:val="000000"/>
                <w:kern w:val="0"/>
                <w:sz w:val="18"/>
                <w:szCs w:val="18"/>
              </w:rPr>
              <w:t>片；创建节水灌溉工程控制面积</w:t>
            </w:r>
            <w:r>
              <w:rPr>
                <w:color w:val="000000"/>
                <w:kern w:val="0"/>
                <w:sz w:val="18"/>
                <w:szCs w:val="18"/>
              </w:rPr>
              <w:t>100</w:t>
            </w:r>
            <w:r>
              <w:rPr>
                <w:rFonts w:hint="eastAsia" w:ascii="宋体" w:hAnsi="宋体" w:cs="宋体"/>
                <w:color w:val="000000"/>
                <w:kern w:val="0"/>
                <w:sz w:val="18"/>
                <w:szCs w:val="18"/>
              </w:rPr>
              <w:t>万亩。</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92.62</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continue"/>
            <w:vAlign w:val="center"/>
          </w:tcPr>
          <w:p>
            <w:pPr>
              <w:widowControl/>
              <w:jc w:val="left"/>
              <w:rPr>
                <w:rFonts w:ascii="宋体" w:hAnsi="宋体" w:cs="宋体"/>
                <w:color w:val="000000"/>
                <w:kern w:val="0"/>
                <w:sz w:val="18"/>
                <w:szCs w:val="18"/>
              </w:rPr>
            </w:pP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工业和生活节水</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争创一批节水型企业和节水型园区；改造及新建供水管网长度约</w:t>
            </w:r>
            <w:r>
              <w:rPr>
                <w:color w:val="000000"/>
                <w:kern w:val="0"/>
                <w:sz w:val="18"/>
                <w:szCs w:val="18"/>
              </w:rPr>
              <w:t>300km</w:t>
            </w:r>
            <w:r>
              <w:rPr>
                <w:rFonts w:hint="eastAsia" w:ascii="宋体" w:hAnsi="宋体" w:cs="宋体"/>
                <w:color w:val="000000"/>
                <w:kern w:val="0"/>
                <w:sz w:val="18"/>
                <w:szCs w:val="18"/>
              </w:rPr>
              <w:t>，全面推广节水型器具。</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2</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71" w:type="dxa"/>
            <w:vMerge w:val="continue"/>
            <w:vAlign w:val="center"/>
          </w:tcPr>
          <w:p>
            <w:pPr>
              <w:widowControl/>
              <w:jc w:val="left"/>
              <w:rPr>
                <w:rFonts w:ascii="宋体" w:hAnsi="宋体" w:cs="宋体"/>
                <w:color w:val="000000"/>
                <w:kern w:val="0"/>
                <w:sz w:val="18"/>
                <w:szCs w:val="18"/>
              </w:rPr>
            </w:pP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非常规水源利用</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建设完成六安市行政中心雨水利用工程、南屏公园雨水利用工程、河西景观带雨水利用工程、舒城县一中雨水利用工程、金寨县一中雨水利用工程、裕安区苏埠镇再生水利用工程、叶集区污水处理厂废水再生利用工程、金寨县开发区污水处理厂中水利用工程。</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0.32</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7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供水实施方案</w:t>
            </w: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现有供水工程的更新改造</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规划加固和重建水闸25座，其中大中型水闸24座、小型水闸2座；加固中型水库1座（霍邱县龙潭水库），小型水库146座；规划对龙河口、梅山、响洪甸、佛子岭、磨子潭5座大型水库库尾进行清淤。</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11.71</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1" w:type="dxa"/>
            <w:vMerge w:val="continue"/>
            <w:vAlign w:val="center"/>
          </w:tcPr>
          <w:p>
            <w:pPr>
              <w:widowControl/>
              <w:jc w:val="left"/>
              <w:rPr>
                <w:rFonts w:ascii="宋体" w:hAnsi="宋体" w:cs="宋体"/>
                <w:color w:val="000000"/>
                <w:kern w:val="0"/>
                <w:sz w:val="18"/>
                <w:szCs w:val="18"/>
              </w:rPr>
            </w:pP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新增供水工程</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规划新建中型水库2座，小型水库35座；新建中型水闸1座；新建提水泵站4座。实施六安市城乡一体化供水工程，设计供水规模85.71万m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/d。</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76.92</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71" w:type="dxa"/>
            <w:vMerge w:val="continue"/>
            <w:vAlign w:val="center"/>
          </w:tcPr>
          <w:p>
            <w:pPr>
              <w:widowControl/>
              <w:jc w:val="left"/>
              <w:rPr>
                <w:rFonts w:ascii="宋体" w:hAnsi="宋体" w:cs="宋体"/>
                <w:color w:val="000000"/>
                <w:kern w:val="0"/>
                <w:sz w:val="18"/>
                <w:szCs w:val="18"/>
              </w:rPr>
            </w:pP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水资源配置工程</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加快临淮岗枢纽综合利用工程，开展江淮分水岭地区水资源优化配置工程、淠河灌区和杭埠河灌区连通工程、霍山县骨干抗旱应急水源工程、霍山县引淠入杭水系连通工程、黑石渡水资源配置工程、舒城县活水引源工程一期上游引水水源蓄水工程、龙河口引水工程等工作，提升区域水资源配置及保障能力。</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106.07</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水资源保护和水生态修复实施方案</w:t>
            </w: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中小河流治理工程</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加快流域面积200～3000平方公里中小河流治理工作，治理内容为河道整治、堤防加固、疏浚及水系连通等，加大以流域为单元的河湖水系综合治理。至2025年，规划治理项目共44个，治理总河长623.5km。</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13</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7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水资源保护和水生态修复实施方案</w:t>
            </w: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水生态环境修复工程</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重点实施巢湖流域水生态修复与治理，大别山六安水网建设，六安市淠河城南段水环境综合治理，霍山县东淠河上游水系综合治理，金安区水系综合治理等工程；推进东淠河、柳林河、幽芳河、高庙河与城区南北城河、淠源渠水系连通，史淠河水系连通及水生态环境修复与保护工程，金寨县史洪河（史河、洪家河）水系连通及生态长廊，叶集区沿岗河下游生态湿地建设，六安市淠河总干渠水生态综合治理，六安市河湖岸线整治等项目。</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183.57</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1" w:type="dxa"/>
            <w:vMerge w:val="continue"/>
            <w:vAlign w:val="center"/>
          </w:tcPr>
          <w:p>
            <w:pPr>
              <w:widowControl/>
              <w:jc w:val="left"/>
              <w:rPr>
                <w:rFonts w:ascii="宋体" w:hAnsi="宋体" w:cs="宋体"/>
                <w:color w:val="000000"/>
                <w:kern w:val="0"/>
                <w:sz w:val="18"/>
                <w:szCs w:val="18"/>
              </w:rPr>
            </w:pP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农村水系综合整治工程</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规划开展霍邱县、霍山县、金寨县、舒城县、金安区、裕安区、叶集区农村水系综合整治，主要包括：清淤疏浚，岸坡整治、水系连通、水源涵养与水土保持等多种措施。</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3</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7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水资源监测实施方案</w:t>
            </w: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水量监测</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适当增加县界水资源量监测站点；逐步完成全市中型灌区渠首取水量在线监测；对全市重点及中等企业取水口安装计量监控设备，实施远程在线监测；规划至</w:t>
            </w:r>
            <w:r>
              <w:rPr>
                <w:color w:val="000000"/>
                <w:kern w:val="0"/>
                <w:sz w:val="18"/>
                <w:szCs w:val="18"/>
              </w:rPr>
              <w:t>2030</w:t>
            </w:r>
            <w:r>
              <w:rPr>
                <w:rFonts w:hint="eastAsia" w:ascii="宋体" w:hAnsi="宋体" w:cs="宋体"/>
                <w:color w:val="000000"/>
                <w:kern w:val="0"/>
                <w:sz w:val="18"/>
                <w:szCs w:val="18"/>
              </w:rPr>
              <w:t>年在六安市的主要河流上布设生态流量自动监测站点，实现流量在线监测。</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0.5</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71" w:type="dxa"/>
            <w:vMerge w:val="continue"/>
            <w:vAlign w:val="center"/>
          </w:tcPr>
          <w:p>
            <w:pPr>
              <w:widowControl/>
              <w:jc w:val="left"/>
              <w:rPr>
                <w:rFonts w:ascii="宋体" w:hAnsi="宋体" w:cs="宋体"/>
                <w:color w:val="000000"/>
                <w:kern w:val="0"/>
                <w:sz w:val="18"/>
                <w:szCs w:val="18"/>
              </w:rPr>
            </w:pP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水质监测</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规划至</w:t>
            </w:r>
            <w:r>
              <w:rPr>
                <w:color w:val="000000"/>
                <w:kern w:val="0"/>
                <w:sz w:val="18"/>
                <w:szCs w:val="18"/>
              </w:rPr>
              <w:t>2030</w:t>
            </w:r>
            <w:r>
              <w:rPr>
                <w:rFonts w:hint="eastAsia" w:ascii="宋体" w:hAnsi="宋体" w:cs="宋体"/>
                <w:color w:val="000000"/>
                <w:kern w:val="0"/>
                <w:sz w:val="18"/>
                <w:szCs w:val="18"/>
              </w:rPr>
              <w:t>年在全市境内增加河流（湖库）水质监测站点、市界水质监测站点和集中式饮用水水源地监测站点，在重要饮用水水源地取水口新建水质自动监测站点。</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0.3</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71" w:type="dxa"/>
            <w:vMerge w:val="continue"/>
            <w:vAlign w:val="center"/>
          </w:tcPr>
          <w:p>
            <w:pPr>
              <w:widowControl/>
              <w:jc w:val="left"/>
              <w:rPr>
                <w:rFonts w:ascii="宋体" w:hAnsi="宋体" w:cs="宋体"/>
                <w:color w:val="000000"/>
                <w:kern w:val="0"/>
                <w:sz w:val="18"/>
                <w:szCs w:val="18"/>
              </w:rPr>
            </w:pPr>
          </w:p>
        </w:tc>
        <w:tc>
          <w:tcPr>
            <w:tcW w:w="77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水利信息化建设</w:t>
            </w:r>
          </w:p>
        </w:tc>
        <w:tc>
          <w:tcPr>
            <w:tcW w:w="5037" w:type="dxa"/>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开展小型水库水文监测预警设施、中型水库水文监测预警设施、中小河流水文监测预警设施、大江大河水文站、大江大河水位站、省界水文站、重点城市防洪排涝水文监测设施、墒情站、地下水监测站、水质自动监测站等监测设施的建设。建立六安水利信息中心。</w:t>
            </w:r>
          </w:p>
        </w:tc>
        <w:tc>
          <w:tcPr>
            <w:tcW w:w="877"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5.68</w:t>
            </w:r>
          </w:p>
        </w:tc>
        <w:tc>
          <w:tcPr>
            <w:tcW w:w="846" w:type="dxa"/>
            <w:shd w:val="clear" w:color="auto" w:fill="auto"/>
            <w:vAlign w:val="center"/>
          </w:tcPr>
          <w:p>
            <w:pPr>
              <w:widowControl/>
              <w:jc w:val="center"/>
              <w:rPr>
                <w:rFonts w:eastAsia="等线"/>
                <w:color w:val="000000"/>
                <w:kern w:val="0"/>
                <w:sz w:val="18"/>
                <w:szCs w:val="18"/>
              </w:rPr>
            </w:pPr>
            <w:r>
              <w:rPr>
                <w:rFonts w:eastAsia="等线"/>
                <w:color w:val="000000"/>
                <w:kern w:val="0"/>
                <w:sz w:val="18"/>
                <w:szCs w:val="18"/>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579" w:type="dxa"/>
            <w:gridSpan w:val="3"/>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77" w:type="dxa"/>
            <w:shd w:val="clear" w:color="auto" w:fill="auto"/>
            <w:vAlign w:val="center"/>
          </w:tcPr>
          <w:p>
            <w:pPr>
              <w:widowControl/>
              <w:jc w:val="center"/>
              <w:rPr>
                <w:rFonts w:eastAsia="等线"/>
                <w:color w:val="000000"/>
                <w:kern w:val="0"/>
                <w:sz w:val="18"/>
                <w:szCs w:val="18"/>
              </w:rPr>
            </w:pPr>
            <w:r>
              <w:rPr>
                <w:rFonts w:hint="eastAsia" w:eastAsia="等线"/>
                <w:color w:val="000000"/>
                <w:kern w:val="0"/>
                <w:sz w:val="18"/>
                <w:szCs w:val="18"/>
              </w:rPr>
              <w:t>4</w:t>
            </w:r>
            <w:r>
              <w:rPr>
                <w:rFonts w:eastAsia="等线"/>
                <w:color w:val="000000"/>
                <w:kern w:val="0"/>
                <w:sz w:val="18"/>
                <w:szCs w:val="18"/>
              </w:rPr>
              <w:t>95.69</w:t>
            </w:r>
          </w:p>
        </w:tc>
        <w:tc>
          <w:tcPr>
            <w:tcW w:w="846" w:type="dxa"/>
            <w:shd w:val="clear" w:color="auto" w:fill="auto"/>
            <w:vAlign w:val="center"/>
          </w:tcPr>
          <w:p>
            <w:pPr>
              <w:widowControl/>
              <w:jc w:val="center"/>
              <w:rPr>
                <w:rFonts w:eastAsia="等线"/>
                <w:color w:val="000000"/>
                <w:kern w:val="0"/>
                <w:sz w:val="18"/>
                <w:szCs w:val="18"/>
              </w:rPr>
            </w:pPr>
            <w:r>
              <w:rPr>
                <w:rFonts w:hint="eastAsia" w:eastAsia="等线"/>
                <w:color w:val="000000"/>
                <w:kern w:val="0"/>
                <w:sz w:val="18"/>
                <w:szCs w:val="18"/>
              </w:rPr>
              <w:t>1</w:t>
            </w:r>
            <w:r>
              <w:rPr>
                <w:rFonts w:eastAsia="等线"/>
                <w:color w:val="000000"/>
                <w:kern w:val="0"/>
                <w:sz w:val="18"/>
                <w:szCs w:val="18"/>
              </w:rPr>
              <w:t>70.80</w:t>
            </w:r>
          </w:p>
        </w:tc>
      </w:tr>
    </w:tbl>
    <w:p/>
    <w:p>
      <w:pPr>
        <w:keepNext/>
        <w:keepLines/>
        <w:adjustRightInd w:val="0"/>
        <w:snapToGrid w:val="0"/>
        <w:spacing w:before="240" w:beforeLines="100" w:after="240" w:afterLines="100" w:line="360" w:lineRule="auto"/>
        <w:jc w:val="center"/>
        <w:outlineLvl w:val="1"/>
        <w:rPr>
          <w:b/>
          <w:bCs/>
          <w:sz w:val="32"/>
          <w:szCs w:val="36"/>
        </w:rPr>
      </w:pPr>
      <w:bookmarkStart w:id="629" w:name="_Toc17803"/>
      <w:bookmarkStart w:id="630" w:name="_Toc462"/>
      <w:bookmarkStart w:id="631" w:name="_Toc10511"/>
      <w:bookmarkStart w:id="632" w:name="_Toc10441"/>
      <w:bookmarkStart w:id="633" w:name="_Toc11159818"/>
      <w:bookmarkStart w:id="634" w:name="_Toc13477"/>
      <w:bookmarkStart w:id="635" w:name="_Toc22744"/>
      <w:bookmarkStart w:id="636" w:name="_Toc413249392"/>
      <w:bookmarkStart w:id="637" w:name="_Toc95382578"/>
      <w:bookmarkStart w:id="638" w:name="_Toc3378"/>
      <w:r>
        <w:rPr>
          <w:b/>
          <w:bCs/>
          <w:sz w:val="32"/>
          <w:szCs w:val="36"/>
        </w:rPr>
        <w:t>第</w:t>
      </w:r>
      <w:r>
        <w:rPr>
          <w:rFonts w:hint="eastAsia"/>
          <w:b/>
          <w:bCs/>
          <w:sz w:val="32"/>
          <w:szCs w:val="36"/>
        </w:rPr>
        <w:t>三</w:t>
      </w:r>
      <w:r>
        <w:rPr>
          <w:b/>
          <w:bCs/>
          <w:sz w:val="32"/>
          <w:szCs w:val="36"/>
        </w:rPr>
        <w:t xml:space="preserve">节 </w:t>
      </w:r>
      <w:r>
        <w:rPr>
          <w:rFonts w:hint="eastAsia"/>
          <w:b/>
          <w:bCs/>
          <w:sz w:val="32"/>
          <w:szCs w:val="36"/>
        </w:rPr>
        <w:t>规划实施效果</w:t>
      </w:r>
      <w:r>
        <w:rPr>
          <w:b/>
          <w:bCs/>
          <w:sz w:val="32"/>
          <w:szCs w:val="36"/>
        </w:rPr>
        <w:t>评价</w:t>
      </w:r>
      <w:bookmarkEnd w:id="629"/>
      <w:bookmarkEnd w:id="630"/>
      <w:bookmarkEnd w:id="631"/>
      <w:bookmarkEnd w:id="632"/>
      <w:bookmarkEnd w:id="633"/>
      <w:bookmarkEnd w:id="634"/>
      <w:bookmarkEnd w:id="635"/>
      <w:bookmarkEnd w:id="636"/>
      <w:bookmarkEnd w:id="637"/>
      <w:bookmarkEnd w:id="638"/>
    </w:p>
    <w:p>
      <w:pPr>
        <w:pStyle w:val="4"/>
        <w:spacing w:before="120" w:beforeLines="50" w:after="120" w:afterLines="50"/>
        <w:rPr>
          <w:sz w:val="28"/>
        </w:rPr>
      </w:pPr>
      <w:bookmarkStart w:id="639" w:name="_Toc95382579"/>
      <w:r>
        <w:rPr>
          <w:rFonts w:hint="eastAsia"/>
          <w:sz w:val="28"/>
        </w:rPr>
        <w:t>一、综合评价</w:t>
      </w:r>
      <w:bookmarkEnd w:id="639"/>
    </w:p>
    <w:p>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重点节水工程以及重要区域水资源配置工程以及全面推行河长制的实施等，逐步建立水资源安全供给网络体系，水资源配置能力和供水保障程度将显著提高，基本满足经济社会发展对水资源的合理需求。通过水资源合理配置与高效利用，至203</w:t>
      </w:r>
      <w:r>
        <w:rPr>
          <w:rFonts w:hint="eastAsia"/>
          <w:snapToGrid w:val="0"/>
          <w:color w:val="000000"/>
          <w:kern w:val="0"/>
          <w:sz w:val="24"/>
          <w:szCs w:val="24"/>
          <w:lang w:bidi="zh-TW"/>
        </w:rPr>
        <w:t>0</w:t>
      </w:r>
      <w:r>
        <w:rPr>
          <w:snapToGrid w:val="0"/>
          <w:color w:val="000000"/>
          <w:kern w:val="0"/>
          <w:sz w:val="24"/>
          <w:szCs w:val="24"/>
          <w:lang w:bidi="zh-TW"/>
        </w:rPr>
        <w:t>年，一般年份、中等干旱年份以及特殊干旱年份可基本实现供需平衡。河道内生态环境用水状况得到明显改善，水资源保护和管理工作得到进一步加强。</w:t>
      </w:r>
    </w:p>
    <w:p>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本规划全面贯彻国家新时期的治水方针，落实习近平总书记“节水优先、空间均衡、系统治理、两手发力”的治水新思路，在充分分析区域水资源条件和水环境承载能力的基础上，立足六安市基本情况和国民经济发展总体布局，以六安市城市发展规划确定的城市范围为重点配置区域，以城市集中供水用水户为重点配置对象，合理抑制需求、有效增加供水、积极保护生态环境，对不同区域、不同水源进行水资源优化配置。规划实施后，能够有效落实最严格水资源管理制度要求，同时目前存在的水资源问题均在一定程度上得到缓解。</w:t>
      </w:r>
    </w:p>
    <w:p>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规划实施后，在厉行节约、保护生态的前提下，203</w:t>
      </w:r>
      <w:r>
        <w:rPr>
          <w:rFonts w:hint="eastAsia"/>
          <w:snapToGrid w:val="0"/>
          <w:color w:val="000000"/>
          <w:kern w:val="0"/>
          <w:sz w:val="24"/>
          <w:szCs w:val="24"/>
          <w:lang w:bidi="zh-TW"/>
        </w:rPr>
        <w:t>0</w:t>
      </w:r>
      <w:r>
        <w:rPr>
          <w:snapToGrid w:val="0"/>
          <w:color w:val="000000"/>
          <w:kern w:val="0"/>
          <w:sz w:val="24"/>
          <w:szCs w:val="24"/>
          <w:lang w:bidi="zh-TW"/>
        </w:rPr>
        <w:t>年</w:t>
      </w:r>
      <w:r>
        <w:rPr>
          <w:rFonts w:hint="eastAsia"/>
          <w:snapToGrid w:val="0"/>
          <w:color w:val="000000"/>
          <w:kern w:val="0"/>
          <w:sz w:val="24"/>
          <w:szCs w:val="24"/>
          <w:lang w:bidi="zh-TW"/>
        </w:rPr>
        <w:t>六安市</w:t>
      </w:r>
      <w:r>
        <w:rPr>
          <w:snapToGrid w:val="0"/>
          <w:color w:val="000000"/>
          <w:kern w:val="0"/>
          <w:sz w:val="24"/>
          <w:szCs w:val="24"/>
          <w:lang w:bidi="zh-TW"/>
        </w:rPr>
        <w:t>配置水量控制在25.70亿m³以内，能够有效支撑六安市经济社会的可持续发展。规划实施后，通过建设一批节水工程、水源调蓄工程和重要区域水资源配置工程等，对流域水资源进行合理配置，使现有水资源配置格局得到改善，地表水与地下水、河道外与河道内、跨流域水资源配置状况将得到较大改善，流域水资源配置能力将显著提高。</w:t>
      </w:r>
    </w:p>
    <w:p>
      <w:pPr>
        <w:adjustRightInd w:val="0"/>
        <w:snapToGrid w:val="0"/>
        <w:spacing w:line="360" w:lineRule="auto"/>
        <w:ind w:firstLine="480" w:firstLineChars="200"/>
        <w:rPr>
          <w:snapToGrid w:val="0"/>
          <w:kern w:val="0"/>
          <w:sz w:val="24"/>
          <w:szCs w:val="24"/>
          <w:lang w:bidi="zh-TW"/>
        </w:rPr>
      </w:pPr>
      <w:r>
        <w:rPr>
          <w:snapToGrid w:val="0"/>
          <w:color w:val="000000"/>
          <w:kern w:val="0"/>
          <w:sz w:val="24"/>
          <w:szCs w:val="24"/>
          <w:lang w:bidi="zh-TW"/>
        </w:rPr>
        <w:t>节约用水和科学用水应成为水资源合理利用的核心和水资源管理的首要任务，通过进一步大中型灌区续建配套与现代化改造，提高水分利用效率，达到农业节水增产的目的；通过循环用水，提高用水的重复利用率，降低工业用水定额和减少排污量；城市生活用水应推广节水生活器具，减少生活用水的浪费，大力强城市和工业节水工作，通过节水教育宣传、征收水资源费、调整水价、实行计划供水和取水许可制度等手段，加强水资源的统一管理，保证节水目标的实现。规划实施后，</w:t>
      </w:r>
      <w:r>
        <w:rPr>
          <w:rFonts w:hint="eastAsia"/>
          <w:snapToGrid w:val="0"/>
          <w:kern w:val="0"/>
          <w:sz w:val="24"/>
          <w:szCs w:val="24"/>
          <w:lang w:bidi="zh-TW"/>
        </w:rPr>
        <w:t>到20</w:t>
      </w:r>
      <w:r>
        <w:rPr>
          <w:snapToGrid w:val="0"/>
          <w:kern w:val="0"/>
          <w:sz w:val="24"/>
          <w:szCs w:val="24"/>
          <w:lang w:bidi="zh-TW"/>
        </w:rPr>
        <w:t>25</w:t>
      </w:r>
      <w:r>
        <w:rPr>
          <w:rFonts w:hint="eastAsia"/>
          <w:snapToGrid w:val="0"/>
          <w:kern w:val="0"/>
          <w:sz w:val="24"/>
          <w:szCs w:val="24"/>
          <w:lang w:bidi="zh-TW"/>
        </w:rPr>
        <w:t>年，全市水资源利用效率大幅度提高，万元GDP用水量较现状2</w:t>
      </w:r>
      <w:r>
        <w:rPr>
          <w:snapToGrid w:val="0"/>
          <w:kern w:val="0"/>
          <w:sz w:val="24"/>
          <w:szCs w:val="24"/>
          <w:lang w:bidi="zh-TW"/>
        </w:rPr>
        <w:t>020</w:t>
      </w:r>
      <w:r>
        <w:rPr>
          <w:rFonts w:hint="eastAsia"/>
          <w:snapToGrid w:val="0"/>
          <w:kern w:val="0"/>
          <w:sz w:val="24"/>
          <w:szCs w:val="24"/>
          <w:lang w:bidi="zh-TW"/>
        </w:rPr>
        <w:t>年下降幅度达到2</w:t>
      </w:r>
      <w:r>
        <w:rPr>
          <w:snapToGrid w:val="0"/>
          <w:kern w:val="0"/>
          <w:sz w:val="24"/>
          <w:szCs w:val="24"/>
          <w:lang w:bidi="zh-TW"/>
        </w:rPr>
        <w:t>0</w:t>
      </w:r>
      <w:r>
        <w:rPr>
          <w:rFonts w:hint="eastAsia"/>
          <w:snapToGrid w:val="0"/>
          <w:kern w:val="0"/>
          <w:sz w:val="24"/>
          <w:szCs w:val="24"/>
          <w:lang w:bidi="zh-TW"/>
        </w:rPr>
        <w:t>%，万元工业增加值用水量较现状2</w:t>
      </w:r>
      <w:r>
        <w:rPr>
          <w:snapToGrid w:val="0"/>
          <w:kern w:val="0"/>
          <w:sz w:val="24"/>
          <w:szCs w:val="24"/>
          <w:lang w:bidi="zh-TW"/>
        </w:rPr>
        <w:t>020</w:t>
      </w:r>
      <w:r>
        <w:rPr>
          <w:rFonts w:hint="eastAsia"/>
          <w:snapToGrid w:val="0"/>
          <w:kern w:val="0"/>
          <w:sz w:val="24"/>
          <w:szCs w:val="24"/>
          <w:lang w:bidi="zh-TW"/>
        </w:rPr>
        <w:t>年下降幅度达到1</w:t>
      </w:r>
      <w:r>
        <w:rPr>
          <w:snapToGrid w:val="0"/>
          <w:kern w:val="0"/>
          <w:sz w:val="24"/>
          <w:szCs w:val="24"/>
          <w:lang w:bidi="zh-TW"/>
        </w:rPr>
        <w:t>8</w:t>
      </w:r>
      <w:r>
        <w:rPr>
          <w:rFonts w:hint="eastAsia"/>
          <w:snapToGrid w:val="0"/>
          <w:kern w:val="0"/>
          <w:sz w:val="24"/>
          <w:szCs w:val="24"/>
          <w:lang w:bidi="zh-TW"/>
        </w:rPr>
        <w:t>%，农业灌溉水利用系数由20</w:t>
      </w:r>
      <w:r>
        <w:rPr>
          <w:snapToGrid w:val="0"/>
          <w:kern w:val="0"/>
          <w:sz w:val="24"/>
          <w:szCs w:val="24"/>
          <w:lang w:bidi="zh-TW"/>
        </w:rPr>
        <w:t>20</w:t>
      </w:r>
      <w:r>
        <w:rPr>
          <w:rFonts w:hint="eastAsia"/>
          <w:snapToGrid w:val="0"/>
          <w:kern w:val="0"/>
          <w:sz w:val="24"/>
          <w:szCs w:val="24"/>
          <w:lang w:bidi="zh-TW"/>
        </w:rPr>
        <w:t>年的0.</w:t>
      </w:r>
      <w:r>
        <w:rPr>
          <w:snapToGrid w:val="0"/>
          <w:kern w:val="0"/>
          <w:sz w:val="24"/>
          <w:szCs w:val="24"/>
          <w:lang w:bidi="zh-TW"/>
        </w:rPr>
        <w:t>5167</w:t>
      </w:r>
      <w:r>
        <w:rPr>
          <w:rFonts w:hint="eastAsia"/>
          <w:snapToGrid w:val="0"/>
          <w:kern w:val="0"/>
          <w:sz w:val="24"/>
          <w:szCs w:val="24"/>
          <w:lang w:bidi="zh-TW"/>
        </w:rPr>
        <w:t>提高到20</w:t>
      </w:r>
      <w:r>
        <w:rPr>
          <w:snapToGrid w:val="0"/>
          <w:kern w:val="0"/>
          <w:sz w:val="24"/>
          <w:szCs w:val="24"/>
          <w:lang w:bidi="zh-TW"/>
        </w:rPr>
        <w:t>25</w:t>
      </w:r>
      <w:r>
        <w:rPr>
          <w:rFonts w:hint="eastAsia"/>
          <w:snapToGrid w:val="0"/>
          <w:kern w:val="0"/>
          <w:sz w:val="24"/>
          <w:szCs w:val="24"/>
          <w:lang w:bidi="zh-TW"/>
        </w:rPr>
        <w:t>年的0.5</w:t>
      </w:r>
      <w:r>
        <w:rPr>
          <w:snapToGrid w:val="0"/>
          <w:kern w:val="0"/>
          <w:sz w:val="24"/>
          <w:szCs w:val="24"/>
          <w:lang w:bidi="zh-TW"/>
        </w:rPr>
        <w:t>5</w:t>
      </w:r>
      <w:r>
        <w:rPr>
          <w:rFonts w:hint="eastAsia"/>
          <w:snapToGrid w:val="0"/>
          <w:kern w:val="0"/>
          <w:sz w:val="24"/>
          <w:szCs w:val="24"/>
          <w:lang w:bidi="zh-TW"/>
        </w:rPr>
        <w:t>左右。到2030年，全市水资源利用效率进一步提高，万元GDP用水量、万元工业增加值用水量在2</w:t>
      </w:r>
      <w:r>
        <w:rPr>
          <w:snapToGrid w:val="0"/>
          <w:kern w:val="0"/>
          <w:sz w:val="24"/>
          <w:szCs w:val="24"/>
          <w:lang w:bidi="zh-TW"/>
        </w:rPr>
        <w:t>025</w:t>
      </w:r>
      <w:r>
        <w:rPr>
          <w:rFonts w:hint="eastAsia"/>
          <w:snapToGrid w:val="0"/>
          <w:kern w:val="0"/>
          <w:sz w:val="24"/>
          <w:szCs w:val="24"/>
          <w:lang w:bidi="zh-TW"/>
        </w:rPr>
        <w:t>年基础上进一步下降，农业灌溉水利用系数进一步提升。</w:t>
      </w:r>
    </w:p>
    <w:p>
      <w:pPr>
        <w:pStyle w:val="4"/>
        <w:spacing w:before="120" w:beforeLines="50" w:after="120" w:afterLines="50"/>
        <w:rPr>
          <w:sz w:val="28"/>
        </w:rPr>
      </w:pPr>
      <w:bookmarkStart w:id="640" w:name="_Toc1332"/>
      <w:bookmarkStart w:id="641" w:name="_Toc11283"/>
      <w:bookmarkStart w:id="642" w:name="_Toc11301"/>
      <w:bookmarkStart w:id="643" w:name="_Toc95382580"/>
      <w:bookmarkStart w:id="644" w:name="_Toc342549827"/>
      <w:bookmarkStart w:id="645" w:name="_Toc288639845"/>
      <w:bookmarkStart w:id="646" w:name="_Toc13249"/>
      <w:bookmarkStart w:id="647" w:name="_Toc6441"/>
      <w:bookmarkStart w:id="648" w:name="_Toc371103665"/>
      <w:bookmarkStart w:id="649" w:name="_Toc15321"/>
      <w:bookmarkStart w:id="650" w:name="_Toc25295"/>
      <w:bookmarkStart w:id="651" w:name="_Toc11159819"/>
      <w:r>
        <w:rPr>
          <w:rFonts w:hint="eastAsia"/>
          <w:sz w:val="28"/>
        </w:rPr>
        <w:t>二、</w:t>
      </w:r>
      <w:r>
        <w:rPr>
          <w:sz w:val="28"/>
        </w:rPr>
        <w:t>社会效益分析</w:t>
      </w:r>
      <w:bookmarkEnd w:id="640"/>
      <w:bookmarkEnd w:id="641"/>
      <w:bookmarkEnd w:id="642"/>
      <w:bookmarkEnd w:id="643"/>
      <w:bookmarkEnd w:id="644"/>
      <w:bookmarkEnd w:id="645"/>
      <w:bookmarkEnd w:id="646"/>
      <w:bookmarkEnd w:id="647"/>
      <w:bookmarkEnd w:id="648"/>
      <w:bookmarkEnd w:id="649"/>
      <w:bookmarkEnd w:id="650"/>
      <w:bookmarkEnd w:id="651"/>
    </w:p>
    <w:p>
      <w:pPr>
        <w:pStyle w:val="24"/>
        <w:snapToGrid/>
        <w:spacing w:line="360" w:lineRule="auto"/>
        <w:ind w:firstLine="482" w:firstLineChars="200"/>
        <w:jc w:val="both"/>
        <w:rPr>
          <w:b/>
          <w:bCs/>
          <w:sz w:val="24"/>
          <w:szCs w:val="24"/>
        </w:rPr>
      </w:pPr>
      <w:bookmarkStart w:id="652" w:name="_Toc23606"/>
      <w:bookmarkStart w:id="653" w:name="_Toc24984"/>
      <w:bookmarkStart w:id="654" w:name="_Toc27855"/>
      <w:bookmarkStart w:id="655" w:name="_Toc949"/>
      <w:bookmarkStart w:id="656" w:name="_Toc21179"/>
      <w:bookmarkStart w:id="657" w:name="_Toc13538"/>
      <w:bookmarkStart w:id="658" w:name="_Toc11159820"/>
      <w:bookmarkStart w:id="659" w:name="_Toc32070"/>
      <w:bookmarkStart w:id="660" w:name="_Toc175390354"/>
      <w:bookmarkStart w:id="661" w:name="_Toc183342179"/>
      <w:bookmarkStart w:id="662" w:name="_Toc175673735"/>
      <w:bookmarkStart w:id="663" w:name="_Toc175392808"/>
      <w:r>
        <w:rPr>
          <w:rFonts w:hint="eastAsia"/>
          <w:b/>
          <w:sz w:val="24"/>
          <w:szCs w:val="24"/>
        </w:rPr>
        <w:t>（一）</w:t>
      </w:r>
      <w:r>
        <w:rPr>
          <w:b/>
          <w:sz w:val="24"/>
          <w:szCs w:val="24"/>
        </w:rPr>
        <w:t>构建形成了完善的水资源保障体系</w:t>
      </w:r>
      <w:bookmarkEnd w:id="652"/>
      <w:bookmarkEnd w:id="653"/>
      <w:bookmarkEnd w:id="654"/>
      <w:bookmarkEnd w:id="655"/>
      <w:bookmarkEnd w:id="656"/>
      <w:bookmarkEnd w:id="657"/>
      <w:bookmarkEnd w:id="658"/>
      <w:bookmarkEnd w:id="659"/>
    </w:p>
    <w:p>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以水资源可持续利用为主线，以保护水生态与环境为前提，以节水型社会建设为重点，以提高水资源利用效率和效益以及水资源调配能力为着力点，构建了六安市水资源合理配置与高效利用体系、水资源保护与河湖健康保障体系及有利于科学管水的制度体系等一系列水资源保障体系，为全面落实最严格水资源管理、实现六安市水资源可持续利用奠定了坚实基础。</w:t>
      </w:r>
    </w:p>
    <w:p>
      <w:pPr>
        <w:pStyle w:val="24"/>
        <w:snapToGrid/>
        <w:spacing w:line="360" w:lineRule="auto"/>
        <w:ind w:firstLine="482" w:firstLineChars="200"/>
        <w:jc w:val="both"/>
        <w:rPr>
          <w:b/>
          <w:bCs/>
          <w:sz w:val="24"/>
          <w:szCs w:val="24"/>
        </w:rPr>
      </w:pPr>
      <w:bookmarkStart w:id="664" w:name="_Toc5687"/>
      <w:bookmarkStart w:id="665" w:name="_Toc3146"/>
      <w:bookmarkStart w:id="666" w:name="_Toc31804"/>
      <w:bookmarkStart w:id="667" w:name="_Toc11159821"/>
      <w:bookmarkStart w:id="668" w:name="_Toc22730"/>
      <w:bookmarkStart w:id="669" w:name="_Toc13233"/>
      <w:bookmarkStart w:id="670" w:name="_Toc22244"/>
      <w:bookmarkStart w:id="671" w:name="_Toc4543"/>
      <w:r>
        <w:rPr>
          <w:rFonts w:hint="eastAsia"/>
          <w:b/>
          <w:sz w:val="24"/>
          <w:szCs w:val="24"/>
        </w:rPr>
        <w:t>（二）</w:t>
      </w:r>
      <w:r>
        <w:rPr>
          <w:b/>
          <w:sz w:val="24"/>
          <w:szCs w:val="24"/>
        </w:rPr>
        <w:t>保障了经济社会发展的合理用水需求</w:t>
      </w:r>
      <w:bookmarkEnd w:id="664"/>
      <w:bookmarkEnd w:id="665"/>
      <w:bookmarkEnd w:id="666"/>
      <w:bookmarkEnd w:id="667"/>
      <w:bookmarkEnd w:id="668"/>
      <w:bookmarkEnd w:id="669"/>
      <w:bookmarkEnd w:id="670"/>
      <w:bookmarkEnd w:id="671"/>
    </w:p>
    <w:p>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在建设节水型社会、提高水资源利用效率的基础上，规划通过水资源合理配置，六安市水资源紧缺的状况将得到全面缓解，全市未来供水保障程度将得到显著提高。规划实施后，六安市水资源配置体系将进一步完善，水资源调控能力进一步增强，同时通过引导经济结构、产业布局的优化调整，抑制了不合理用水需求，经济生活用水、河道内基本生态用水、河道外生态建设用水得到有效保障。规划合理新增供水水源，构建了全市供水网络体系，改善供水水质、有效增加供水、提髙供水保障程度，为城乡居民生活确定了优质的水源，保障了供水安全和粮食安全。</w:t>
      </w:r>
    </w:p>
    <w:p>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采取工程措施和管理措施，加强水源工程、水资源保护工程建设，加强饮用水水源地的管理体系、水质监控体系建设和应急管理对策措施建设等，将建立城镇饮水安全保障体系，全面解决城镇饮水安全问题，</w:t>
      </w:r>
      <w:r>
        <w:rPr>
          <w:snapToGrid w:val="0"/>
          <w:color w:val="000000"/>
          <w:kern w:val="0"/>
          <w:sz w:val="24"/>
          <w:szCs w:val="24"/>
        </w:rPr>
        <w:t>为加快建设皖江地区产业承接创新示范区、皖江地区新型城镇化先行区、国家生态文化旅游示范区、美丽中国建设先行区，开创“建设美丽贵池，创造美好生活”新局面奠定坚实的水资源保障。</w:t>
      </w:r>
    </w:p>
    <w:p>
      <w:pPr>
        <w:pStyle w:val="24"/>
        <w:snapToGrid/>
        <w:spacing w:line="360" w:lineRule="auto"/>
        <w:ind w:firstLine="482" w:firstLineChars="200"/>
        <w:jc w:val="both"/>
        <w:rPr>
          <w:b/>
          <w:bCs/>
          <w:sz w:val="24"/>
          <w:szCs w:val="24"/>
        </w:rPr>
      </w:pPr>
      <w:bookmarkStart w:id="672" w:name="bookmark8"/>
      <w:bookmarkStart w:id="673" w:name="_Toc11159822"/>
      <w:bookmarkStart w:id="674" w:name="_Toc5601"/>
      <w:bookmarkStart w:id="675" w:name="_Toc199"/>
      <w:bookmarkStart w:id="676" w:name="_Toc25246"/>
      <w:bookmarkStart w:id="677" w:name="_Toc13320"/>
      <w:bookmarkStart w:id="678" w:name="_Toc15003"/>
      <w:bookmarkStart w:id="679" w:name="_Toc15485"/>
      <w:bookmarkStart w:id="680" w:name="_Toc23420"/>
      <w:r>
        <w:rPr>
          <w:rFonts w:hint="eastAsia"/>
          <w:b/>
          <w:sz w:val="24"/>
          <w:szCs w:val="24"/>
        </w:rPr>
        <w:t>（三）</w:t>
      </w:r>
      <w:r>
        <w:rPr>
          <w:b/>
          <w:sz w:val="24"/>
          <w:szCs w:val="24"/>
        </w:rPr>
        <w:t>水资源利用效率和效益显著</w:t>
      </w:r>
      <w:bookmarkEnd w:id="672"/>
      <w:r>
        <w:rPr>
          <w:b/>
          <w:sz w:val="24"/>
          <w:szCs w:val="24"/>
        </w:rPr>
        <w:t>提高</w:t>
      </w:r>
      <w:bookmarkEnd w:id="673"/>
      <w:bookmarkEnd w:id="674"/>
      <w:bookmarkEnd w:id="675"/>
      <w:bookmarkEnd w:id="676"/>
      <w:bookmarkEnd w:id="677"/>
      <w:bookmarkEnd w:id="678"/>
      <w:bookmarkEnd w:id="679"/>
      <w:bookmarkEnd w:id="680"/>
    </w:p>
    <w:p>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规划按照资源节约、环境友好型社会建设的要求，通过实行最严格的水资源管理制度，确立水资源开发利用控制</w:t>
      </w:r>
      <w:r>
        <w:rPr>
          <w:rFonts w:hint="eastAsia"/>
          <w:snapToGrid w:val="0"/>
          <w:color w:val="000000"/>
          <w:kern w:val="0"/>
          <w:sz w:val="24"/>
          <w:szCs w:val="24"/>
          <w:lang w:bidi="zh-TW"/>
        </w:rPr>
        <w:t>红线和</w:t>
      </w:r>
      <w:r>
        <w:rPr>
          <w:snapToGrid w:val="0"/>
          <w:color w:val="000000"/>
          <w:kern w:val="0"/>
          <w:sz w:val="24"/>
          <w:szCs w:val="24"/>
          <w:lang w:bidi="zh-TW"/>
        </w:rPr>
        <w:t>用水效率控制红线，采取强化节水措施提高六安市用水效率和效益，以缓解水资源紧缺的矛盾和对资源环境的巨大压力。规划实施后，到203</w:t>
      </w:r>
      <w:r>
        <w:rPr>
          <w:rFonts w:hint="eastAsia"/>
          <w:snapToGrid w:val="0"/>
          <w:color w:val="000000"/>
          <w:kern w:val="0"/>
          <w:sz w:val="24"/>
          <w:szCs w:val="24"/>
          <w:lang w:bidi="zh-TW"/>
        </w:rPr>
        <w:t>0</w:t>
      </w:r>
      <w:r>
        <w:rPr>
          <w:snapToGrid w:val="0"/>
          <w:color w:val="000000"/>
          <w:kern w:val="0"/>
          <w:sz w:val="24"/>
          <w:szCs w:val="24"/>
          <w:lang w:bidi="zh-TW"/>
        </w:rPr>
        <w:t>年，</w:t>
      </w:r>
      <w:r>
        <w:rPr>
          <w:rFonts w:hint="eastAsia"/>
          <w:snapToGrid w:val="0"/>
          <w:color w:val="000000"/>
          <w:kern w:val="0"/>
          <w:sz w:val="24"/>
          <w:szCs w:val="24"/>
          <w:lang w:bidi="zh-TW"/>
        </w:rPr>
        <w:t>六安市</w:t>
      </w:r>
      <w:r>
        <w:rPr>
          <w:snapToGrid w:val="0"/>
          <w:color w:val="000000"/>
          <w:kern w:val="0"/>
          <w:sz w:val="24"/>
          <w:szCs w:val="24"/>
          <w:lang w:bidi="zh-TW"/>
        </w:rPr>
        <w:t>水资源利用效率和效益将得到显著提高，主要控制指标与先进地区用水水平差距进一步缩小。</w:t>
      </w:r>
    </w:p>
    <w:p>
      <w:pPr>
        <w:pStyle w:val="24"/>
        <w:snapToGrid/>
        <w:spacing w:line="360" w:lineRule="auto"/>
        <w:ind w:firstLine="482" w:firstLineChars="200"/>
        <w:jc w:val="both"/>
        <w:rPr>
          <w:b/>
          <w:bCs/>
          <w:sz w:val="24"/>
          <w:szCs w:val="24"/>
        </w:rPr>
      </w:pPr>
      <w:bookmarkStart w:id="681" w:name="_Toc9369"/>
      <w:bookmarkStart w:id="682" w:name="_Toc23479"/>
      <w:bookmarkStart w:id="683" w:name="_Toc11159823"/>
      <w:bookmarkStart w:id="684" w:name="_Toc23330"/>
      <w:bookmarkStart w:id="685" w:name="_Toc10810"/>
      <w:bookmarkStart w:id="686" w:name="_Toc23226"/>
      <w:bookmarkStart w:id="687" w:name="_Toc17054"/>
      <w:bookmarkStart w:id="688" w:name="_Toc7003"/>
      <w:r>
        <w:rPr>
          <w:rFonts w:hint="eastAsia"/>
          <w:b/>
          <w:sz w:val="24"/>
          <w:szCs w:val="24"/>
        </w:rPr>
        <w:t>（四）</w:t>
      </w:r>
      <w:r>
        <w:rPr>
          <w:b/>
          <w:sz w:val="24"/>
          <w:szCs w:val="24"/>
        </w:rPr>
        <w:t>提高特殊干旱情况下的供水安全保障程度</w:t>
      </w:r>
      <w:bookmarkEnd w:id="681"/>
      <w:bookmarkEnd w:id="682"/>
      <w:bookmarkEnd w:id="683"/>
      <w:bookmarkEnd w:id="684"/>
      <w:bookmarkEnd w:id="685"/>
      <w:bookmarkEnd w:id="686"/>
      <w:bookmarkEnd w:id="687"/>
      <w:bookmarkEnd w:id="688"/>
    </w:p>
    <w:p>
      <w:pPr>
        <w:adjustRightIn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规划实施可显著提高特殊干旱情况下的供水安全保障程度，保障经济发展和社会稳定。规划实</w:t>
      </w:r>
      <w:r>
        <w:rPr>
          <w:snapToGrid w:val="0"/>
          <w:kern w:val="0"/>
          <w:sz w:val="24"/>
          <w:szCs w:val="24"/>
          <w:lang w:bidi="zh-TW"/>
        </w:rPr>
        <w:t>施后通过建立健全应急</w:t>
      </w:r>
      <w:r>
        <w:rPr>
          <w:snapToGrid w:val="0"/>
          <w:color w:val="000000"/>
          <w:kern w:val="0"/>
          <w:sz w:val="24"/>
          <w:szCs w:val="24"/>
          <w:lang w:bidi="zh-TW"/>
        </w:rPr>
        <w:t>管理体系，加强常规条件下应急水源特别是饮用水源地及其配套输水设施的涵养、保护、维护和监管工作，可保证特殊干旱年份供水秩序和基本水量，保障经济社会的稳定。</w:t>
      </w:r>
    </w:p>
    <w:bookmarkEnd w:id="660"/>
    <w:bookmarkEnd w:id="661"/>
    <w:bookmarkEnd w:id="662"/>
    <w:bookmarkEnd w:id="663"/>
    <w:p>
      <w:pPr>
        <w:pStyle w:val="4"/>
        <w:spacing w:before="120" w:beforeLines="50" w:after="120" w:afterLines="50"/>
        <w:rPr>
          <w:sz w:val="28"/>
        </w:rPr>
      </w:pPr>
      <w:bookmarkStart w:id="689" w:name="_Toc11067"/>
      <w:bookmarkStart w:id="690" w:name="_Toc11349"/>
      <w:bookmarkStart w:id="691" w:name="_Toc21075"/>
      <w:bookmarkStart w:id="692" w:name="_Toc95382581"/>
      <w:bookmarkStart w:id="693" w:name="_Toc11159824"/>
      <w:bookmarkStart w:id="694" w:name="_Toc20060"/>
      <w:bookmarkStart w:id="695" w:name="_Toc13517"/>
      <w:bookmarkStart w:id="696" w:name="_Toc288639846"/>
      <w:bookmarkStart w:id="697" w:name="_Toc13444"/>
      <w:bookmarkStart w:id="698" w:name="_Toc342549828"/>
      <w:bookmarkStart w:id="699" w:name="_Toc11469"/>
      <w:bookmarkStart w:id="700" w:name="_Toc371103666"/>
      <w:r>
        <w:rPr>
          <w:rFonts w:hint="eastAsia"/>
          <w:sz w:val="28"/>
        </w:rPr>
        <w:t>三、</w:t>
      </w:r>
      <w:r>
        <w:rPr>
          <w:sz w:val="28"/>
        </w:rPr>
        <w:t>生态效益分析</w:t>
      </w:r>
      <w:bookmarkEnd w:id="689"/>
      <w:bookmarkEnd w:id="690"/>
      <w:bookmarkEnd w:id="691"/>
      <w:bookmarkEnd w:id="692"/>
      <w:bookmarkEnd w:id="693"/>
      <w:bookmarkEnd w:id="694"/>
      <w:bookmarkEnd w:id="695"/>
      <w:bookmarkEnd w:id="696"/>
      <w:bookmarkEnd w:id="697"/>
      <w:bookmarkEnd w:id="698"/>
      <w:bookmarkEnd w:id="699"/>
      <w:bookmarkEnd w:id="700"/>
    </w:p>
    <w:p>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通过节约用水、加大污水处理力度、提高污水处理回用量、加强河湖污染治理与控制以及生态修复等措施，可有效降低点源和非点源排入河湖的污染物总量，逐步恢复江河湖库的水体功能，改善河湖和地下水生态状况。规划保障了河流生态环境用水的要求；通过水资源合理配置，逐步退还挤占的生态用水，改善和恢复河流生态环境；对地下水开采实行了严格的控制；注重了城镇环境、湿地补水以及生态林草建设等生态建设用水，为生态环境建设提供水资源保障。</w:t>
      </w:r>
    </w:p>
    <w:p>
      <w:pPr>
        <w:adjustRightInd w:val="0"/>
        <w:snapToGrid w:val="0"/>
        <w:spacing w:line="360" w:lineRule="auto"/>
        <w:ind w:firstLine="480" w:firstLineChars="200"/>
        <w:rPr>
          <w:snapToGrid w:val="0"/>
          <w:color w:val="000000"/>
          <w:kern w:val="0"/>
          <w:sz w:val="24"/>
          <w:szCs w:val="24"/>
          <w:lang w:bidi="zh-TW"/>
        </w:rPr>
      </w:pPr>
      <w:r>
        <w:rPr>
          <w:snapToGrid w:val="0"/>
          <w:color w:val="000000"/>
          <w:kern w:val="0"/>
          <w:sz w:val="24"/>
          <w:szCs w:val="24"/>
          <w:lang w:bidi="zh-TW"/>
        </w:rPr>
        <w:t>规划实施后，通过加大污水处理力度、提高污水处理回用量、加强河湖污染治理和生态修复等措施，可有效降低排入河湖的污染物量，逐步恢复河湖水体功能，改善河湖生态环境。</w:t>
      </w:r>
    </w:p>
    <w:p>
      <w:pPr>
        <w:adjustRightInd w:val="0"/>
        <w:snapToGrid w:val="0"/>
        <w:spacing w:line="360" w:lineRule="auto"/>
        <w:ind w:firstLine="480" w:firstLineChars="200"/>
        <w:rPr>
          <w:snapToGrid w:val="0"/>
          <w:color w:val="000000"/>
          <w:kern w:val="0"/>
          <w:sz w:val="24"/>
          <w:szCs w:val="24"/>
          <w:lang w:bidi="zh-TW"/>
        </w:rPr>
      </w:pPr>
    </w:p>
    <w:p>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sectPr>
          <w:pgSz w:w="11906" w:h="16838"/>
          <w:pgMar w:top="1440" w:right="1797" w:bottom="1440" w:left="1797" w:header="907" w:footer="850" w:gutter="0"/>
          <w:cols w:space="720" w:num="1"/>
          <w:docGrid w:linePitch="500" w:charSpace="0"/>
        </w:sectPr>
      </w:pPr>
      <w:bookmarkStart w:id="701" w:name="_Toc19063"/>
      <w:bookmarkStart w:id="702" w:name="_Toc25038"/>
      <w:bookmarkStart w:id="703" w:name="_Toc6172"/>
      <w:bookmarkStart w:id="704" w:name="_Toc32050"/>
      <w:bookmarkStart w:id="705" w:name="_Toc15942"/>
      <w:bookmarkStart w:id="706" w:name="_Toc1619"/>
      <w:bookmarkStart w:id="707" w:name="_Toc21202"/>
    </w:p>
    <w:p>
      <w:pPr>
        <w:keepNext/>
        <w:keepLines/>
        <w:adjustRightInd w:val="0"/>
        <w:snapToGrid w:val="0"/>
        <w:spacing w:before="240" w:beforeLines="100" w:after="240" w:afterLines="100" w:line="360" w:lineRule="auto"/>
        <w:jc w:val="center"/>
        <w:outlineLvl w:val="0"/>
        <w:rPr>
          <w:rFonts w:ascii="黑体" w:hAnsi="黑体" w:eastAsia="黑体" w:cs="黑体"/>
          <w:bCs/>
          <w:kern w:val="44"/>
          <w:sz w:val="36"/>
          <w:szCs w:val="36"/>
        </w:rPr>
      </w:pPr>
      <w:bookmarkStart w:id="708" w:name="_Toc95382582"/>
      <w:r>
        <w:rPr>
          <w:rFonts w:ascii="黑体" w:hAnsi="黑体" w:eastAsia="黑体" w:cs="黑体"/>
          <w:bCs/>
          <w:kern w:val="44"/>
          <w:sz w:val="36"/>
          <w:szCs w:val="36"/>
        </w:rPr>
        <w:t>第十</w:t>
      </w:r>
      <w:r>
        <w:rPr>
          <w:rFonts w:hint="eastAsia" w:ascii="黑体" w:hAnsi="黑体" w:eastAsia="黑体" w:cs="黑体"/>
          <w:bCs/>
          <w:kern w:val="44"/>
          <w:sz w:val="36"/>
          <w:szCs w:val="36"/>
        </w:rPr>
        <w:t>一</w:t>
      </w:r>
      <w:r>
        <w:rPr>
          <w:rFonts w:ascii="黑体" w:hAnsi="黑体" w:eastAsia="黑体" w:cs="黑体"/>
          <w:bCs/>
          <w:kern w:val="44"/>
          <w:sz w:val="36"/>
          <w:szCs w:val="36"/>
        </w:rPr>
        <w:t>章 规划保障措施</w:t>
      </w:r>
      <w:bookmarkEnd w:id="701"/>
      <w:bookmarkEnd w:id="702"/>
      <w:bookmarkEnd w:id="703"/>
      <w:bookmarkEnd w:id="704"/>
      <w:bookmarkEnd w:id="705"/>
      <w:bookmarkEnd w:id="706"/>
      <w:bookmarkEnd w:id="707"/>
      <w:bookmarkEnd w:id="708"/>
    </w:p>
    <w:p>
      <w:pPr>
        <w:keepNext/>
        <w:keepLines/>
        <w:adjustRightInd w:val="0"/>
        <w:snapToGrid w:val="0"/>
        <w:spacing w:before="240" w:beforeLines="100" w:after="240" w:afterLines="100" w:line="360" w:lineRule="auto"/>
        <w:jc w:val="center"/>
        <w:outlineLvl w:val="1"/>
        <w:rPr>
          <w:b/>
          <w:bCs/>
          <w:sz w:val="32"/>
          <w:szCs w:val="36"/>
        </w:rPr>
      </w:pPr>
      <w:bookmarkStart w:id="709" w:name="_Toc2557"/>
      <w:bookmarkStart w:id="710" w:name="_Toc11159829"/>
      <w:bookmarkStart w:id="711" w:name="_Toc22969"/>
      <w:bookmarkStart w:id="712" w:name="_Toc11447"/>
      <w:bookmarkStart w:id="713" w:name="_Toc4676"/>
      <w:bookmarkStart w:id="714" w:name="_Toc13618"/>
      <w:bookmarkStart w:id="715" w:name="_Toc3984"/>
      <w:bookmarkStart w:id="716" w:name="_Toc95382583"/>
      <w:bookmarkStart w:id="717" w:name="_Toc27621"/>
      <w:r>
        <w:rPr>
          <w:b/>
          <w:bCs/>
          <w:sz w:val="32"/>
          <w:szCs w:val="36"/>
        </w:rPr>
        <w:t>第一节 加强组织领导，强化责任落实</w:t>
      </w:r>
      <w:bookmarkEnd w:id="709"/>
      <w:bookmarkEnd w:id="710"/>
      <w:bookmarkEnd w:id="711"/>
      <w:bookmarkEnd w:id="712"/>
      <w:bookmarkEnd w:id="713"/>
      <w:bookmarkEnd w:id="714"/>
      <w:bookmarkEnd w:id="715"/>
      <w:bookmarkEnd w:id="716"/>
      <w:bookmarkEnd w:id="717"/>
    </w:p>
    <w:p>
      <w:pPr>
        <w:adjustRightInd w:val="0"/>
        <w:snapToGrid w:val="0"/>
        <w:spacing w:line="360" w:lineRule="auto"/>
        <w:ind w:firstLine="480" w:firstLineChars="200"/>
        <w:rPr>
          <w:bCs/>
          <w:snapToGrid w:val="0"/>
          <w:color w:val="000000"/>
          <w:kern w:val="0"/>
          <w:sz w:val="24"/>
          <w:szCs w:val="24"/>
          <w:lang w:val="zh-TW" w:bidi="zh-TW"/>
        </w:rPr>
      </w:pPr>
      <w:r>
        <w:rPr>
          <w:bCs/>
          <w:snapToGrid w:val="0"/>
          <w:color w:val="000000"/>
          <w:kern w:val="0"/>
          <w:sz w:val="24"/>
          <w:szCs w:val="24"/>
          <w:lang w:val="zh-TW" w:eastAsia="zh-TW" w:bidi="zh-TW"/>
        </w:rPr>
        <w:t>加强对</w:t>
      </w:r>
      <w:r>
        <w:rPr>
          <w:bCs/>
          <w:snapToGrid w:val="0"/>
          <w:color w:val="000000"/>
          <w:kern w:val="0"/>
          <w:sz w:val="24"/>
          <w:szCs w:val="24"/>
          <w:lang w:val="zh-TW" w:bidi="zh-TW"/>
        </w:rPr>
        <w:t>全</w:t>
      </w:r>
      <w:r>
        <w:rPr>
          <w:rFonts w:hint="eastAsia"/>
          <w:bCs/>
          <w:snapToGrid w:val="0"/>
          <w:color w:val="000000"/>
          <w:kern w:val="0"/>
          <w:sz w:val="24"/>
          <w:szCs w:val="24"/>
          <w:lang w:bidi="zh-TW"/>
        </w:rPr>
        <w:t>市</w:t>
      </w:r>
      <w:r>
        <w:rPr>
          <w:bCs/>
          <w:snapToGrid w:val="0"/>
          <w:color w:val="000000"/>
          <w:kern w:val="0"/>
          <w:sz w:val="24"/>
          <w:szCs w:val="24"/>
          <w:lang w:val="zh-TW" w:eastAsia="zh-TW" w:bidi="zh-TW"/>
        </w:rPr>
        <w:t>水资源工作的组织领导，强化本规划的指导和约束作用，把规划确定的水资源开发利用和节约保护的控制性指标及主要任务纳入</w:t>
      </w:r>
      <w:r>
        <w:rPr>
          <w:bCs/>
          <w:snapToGrid w:val="0"/>
          <w:color w:val="000000"/>
          <w:kern w:val="0"/>
          <w:sz w:val="24"/>
          <w:szCs w:val="24"/>
          <w:lang w:val="zh-TW" w:bidi="zh-TW"/>
        </w:rPr>
        <w:t>六安市</w:t>
      </w:r>
      <w:r>
        <w:rPr>
          <w:bCs/>
          <w:snapToGrid w:val="0"/>
          <w:color w:val="000000"/>
          <w:kern w:val="0"/>
          <w:sz w:val="24"/>
          <w:szCs w:val="24"/>
          <w:lang w:val="zh-TW" w:eastAsia="zh-TW" w:bidi="zh-TW"/>
        </w:rPr>
        <w:t>国民经济和社会发展规划和政府重要议事日程。加快构建和完善覆盖</w:t>
      </w:r>
      <w:r>
        <w:rPr>
          <w:bCs/>
          <w:snapToGrid w:val="0"/>
          <w:color w:val="000000"/>
          <w:kern w:val="0"/>
          <w:sz w:val="24"/>
          <w:szCs w:val="24"/>
          <w:lang w:val="zh-TW" w:bidi="zh-TW"/>
        </w:rPr>
        <w:t>全市</w:t>
      </w:r>
      <w:r>
        <w:rPr>
          <w:bCs/>
          <w:snapToGrid w:val="0"/>
          <w:color w:val="000000"/>
          <w:kern w:val="0"/>
          <w:sz w:val="24"/>
          <w:szCs w:val="24"/>
          <w:lang w:val="zh-TW" w:eastAsia="zh-TW" w:bidi="zh-TW"/>
        </w:rPr>
        <w:t>的</w:t>
      </w:r>
      <w:r>
        <w:rPr>
          <w:bCs/>
          <w:snapToGrid w:val="0"/>
          <w:color w:val="000000"/>
          <w:kern w:val="0"/>
          <w:sz w:val="24"/>
          <w:szCs w:val="24"/>
          <w:lang w:val="zh-TW" w:bidi="zh-TW"/>
        </w:rPr>
        <w:t>最严格</w:t>
      </w:r>
      <w:r>
        <w:rPr>
          <w:bCs/>
          <w:snapToGrid w:val="0"/>
          <w:color w:val="000000"/>
          <w:kern w:val="0"/>
          <w:sz w:val="24"/>
          <w:szCs w:val="24"/>
          <w:lang w:val="zh-TW" w:eastAsia="zh-TW" w:bidi="zh-TW"/>
        </w:rPr>
        <w:t>水资源管理制度措施体系及由政府负总责的责任考核体系</w:t>
      </w:r>
      <w:r>
        <w:rPr>
          <w:bCs/>
          <w:snapToGrid w:val="0"/>
          <w:color w:val="000000"/>
          <w:kern w:val="0"/>
          <w:sz w:val="24"/>
          <w:szCs w:val="24"/>
          <w:lang w:val="zh-TW" w:bidi="zh-TW"/>
        </w:rPr>
        <w:t>。</w:t>
      </w:r>
      <w:r>
        <w:rPr>
          <w:bCs/>
          <w:snapToGrid w:val="0"/>
          <w:color w:val="000000"/>
          <w:kern w:val="0"/>
          <w:sz w:val="24"/>
          <w:szCs w:val="24"/>
          <w:lang w:val="zh-TW" w:eastAsia="zh-TW" w:bidi="zh-TW"/>
        </w:rPr>
        <w:t>建立相应的组织责任体系和协调机制。切实加强</w:t>
      </w:r>
      <w:r>
        <w:rPr>
          <w:bCs/>
          <w:snapToGrid w:val="0"/>
          <w:color w:val="000000"/>
          <w:kern w:val="0"/>
          <w:sz w:val="24"/>
          <w:szCs w:val="24"/>
          <w:lang w:val="zh-TW" w:bidi="zh-TW"/>
        </w:rPr>
        <w:t>六安市</w:t>
      </w:r>
      <w:r>
        <w:rPr>
          <w:bCs/>
          <w:snapToGrid w:val="0"/>
          <w:color w:val="000000"/>
          <w:kern w:val="0"/>
          <w:sz w:val="24"/>
          <w:szCs w:val="24"/>
          <w:lang w:val="zh-TW" w:eastAsia="zh-TW" w:bidi="zh-TW"/>
        </w:rPr>
        <w:t>水资源的统一规划、统一配置和统一调度。建立水资源管理责任考核制度。加强实行最严格水资源管理</w:t>
      </w:r>
      <w:r>
        <w:rPr>
          <w:bCs/>
          <w:snapToGrid w:val="0"/>
          <w:kern w:val="0"/>
          <w:sz w:val="24"/>
          <w:szCs w:val="24"/>
          <w:lang w:val="zh-TW" w:eastAsia="zh-TW" w:bidi="zh-TW"/>
        </w:rPr>
        <w:t>制度的领导，</w:t>
      </w:r>
      <w:r>
        <w:rPr>
          <w:rFonts w:hint="eastAsia"/>
          <w:bCs/>
          <w:snapToGrid w:val="0"/>
          <w:kern w:val="0"/>
          <w:sz w:val="24"/>
          <w:szCs w:val="24"/>
          <w:lang w:val="zh-TW" w:eastAsia="zh-TW" w:bidi="zh-TW"/>
        </w:rPr>
        <w:t>通过组织</w:t>
      </w:r>
      <w:r>
        <w:rPr>
          <w:bCs/>
          <w:snapToGrid w:val="0"/>
          <w:kern w:val="0"/>
          <w:sz w:val="24"/>
          <w:szCs w:val="24"/>
          <w:lang w:val="zh-TW" w:eastAsia="zh-TW" w:bidi="zh-TW"/>
        </w:rPr>
        <w:t>协调和研究解决</w:t>
      </w:r>
      <w:r>
        <w:rPr>
          <w:bCs/>
          <w:snapToGrid w:val="0"/>
          <w:kern w:val="0"/>
          <w:sz w:val="24"/>
          <w:szCs w:val="24"/>
          <w:lang w:val="zh-TW" w:bidi="zh-TW"/>
        </w:rPr>
        <w:t>六安市</w:t>
      </w:r>
      <w:r>
        <w:rPr>
          <w:bCs/>
          <w:snapToGrid w:val="0"/>
          <w:kern w:val="0"/>
          <w:sz w:val="24"/>
          <w:szCs w:val="24"/>
          <w:lang w:val="zh-TW" w:eastAsia="zh-TW" w:bidi="zh-TW"/>
        </w:rPr>
        <w:t>水资源管理工作中的突出问题。各</w:t>
      </w:r>
      <w:r>
        <w:rPr>
          <w:rFonts w:hint="eastAsia"/>
          <w:bCs/>
          <w:snapToGrid w:val="0"/>
          <w:kern w:val="0"/>
          <w:sz w:val="24"/>
          <w:szCs w:val="24"/>
          <w:lang w:val="zh-TW" w:eastAsia="zh-TW" w:bidi="zh-TW"/>
        </w:rPr>
        <w:t>县区</w:t>
      </w:r>
      <w:r>
        <w:rPr>
          <w:bCs/>
          <w:snapToGrid w:val="0"/>
          <w:kern w:val="0"/>
          <w:sz w:val="24"/>
          <w:szCs w:val="24"/>
          <w:lang w:val="zh-TW" w:eastAsia="zh-TW" w:bidi="zh-TW"/>
        </w:rPr>
        <w:t>人民政府</w:t>
      </w:r>
      <w:r>
        <w:rPr>
          <w:rFonts w:hint="eastAsia"/>
          <w:bCs/>
          <w:snapToGrid w:val="0"/>
          <w:kern w:val="0"/>
          <w:sz w:val="24"/>
          <w:szCs w:val="24"/>
          <w:lang w:val="zh-TW" w:eastAsia="zh-TW" w:bidi="zh-TW"/>
        </w:rPr>
        <w:t>也</w:t>
      </w:r>
      <w:r>
        <w:rPr>
          <w:bCs/>
          <w:snapToGrid w:val="0"/>
          <w:kern w:val="0"/>
          <w:sz w:val="24"/>
          <w:szCs w:val="24"/>
          <w:lang w:val="zh-TW" w:eastAsia="zh-TW" w:bidi="zh-TW"/>
        </w:rPr>
        <w:t>应将水资源开发、利用、节约和保护的主要指标纳入经济社会发展综合评价体系。</w:t>
      </w:r>
      <w:r>
        <w:rPr>
          <w:rFonts w:hint="eastAsia"/>
          <w:bCs/>
          <w:snapToGrid w:val="0"/>
          <w:kern w:val="0"/>
          <w:sz w:val="24"/>
          <w:szCs w:val="24"/>
          <w:lang w:val="zh-TW" w:eastAsia="zh-TW" w:bidi="zh-TW"/>
        </w:rPr>
        <w:t>县</w:t>
      </w:r>
      <w:r>
        <w:rPr>
          <w:bCs/>
          <w:snapToGrid w:val="0"/>
          <w:kern w:val="0"/>
          <w:sz w:val="24"/>
          <w:szCs w:val="24"/>
          <w:lang w:val="zh-TW" w:bidi="zh-TW"/>
        </w:rPr>
        <w:t>区</w:t>
      </w:r>
      <w:r>
        <w:rPr>
          <w:bCs/>
          <w:snapToGrid w:val="0"/>
          <w:kern w:val="0"/>
          <w:sz w:val="24"/>
          <w:szCs w:val="24"/>
          <w:lang w:val="zh-TW" w:eastAsia="zh-TW" w:bidi="zh-TW"/>
        </w:rPr>
        <w:t>政府对各乡镇及工业园区实施规划及最严格水资源管理制度的目标任务完成情况、制度</w:t>
      </w:r>
      <w:r>
        <w:rPr>
          <w:bCs/>
          <w:snapToGrid w:val="0"/>
          <w:color w:val="000000"/>
          <w:kern w:val="0"/>
          <w:sz w:val="24"/>
          <w:szCs w:val="24"/>
          <w:lang w:val="zh-TW" w:eastAsia="zh-TW" w:bidi="zh-TW"/>
        </w:rPr>
        <w:t>建设和措施落实情况进行考核。</w:t>
      </w:r>
    </w:p>
    <w:p>
      <w:pPr>
        <w:keepNext/>
        <w:keepLines/>
        <w:adjustRightInd w:val="0"/>
        <w:snapToGrid w:val="0"/>
        <w:spacing w:before="240" w:beforeLines="100" w:after="240" w:afterLines="100" w:line="360" w:lineRule="auto"/>
        <w:jc w:val="center"/>
        <w:outlineLvl w:val="1"/>
        <w:rPr>
          <w:b/>
          <w:bCs/>
          <w:sz w:val="32"/>
          <w:szCs w:val="36"/>
        </w:rPr>
      </w:pPr>
      <w:bookmarkStart w:id="718" w:name="_Toc12560"/>
      <w:bookmarkStart w:id="719" w:name="_Toc1799"/>
      <w:bookmarkStart w:id="720" w:name="_Toc12864"/>
      <w:bookmarkStart w:id="721" w:name="_Toc26704"/>
      <w:bookmarkStart w:id="722" w:name="_Toc11159830"/>
      <w:bookmarkStart w:id="723" w:name="_Toc95382584"/>
      <w:bookmarkStart w:id="724" w:name="_Toc21898"/>
      <w:bookmarkStart w:id="725" w:name="_Toc32665"/>
      <w:bookmarkStart w:id="726" w:name="_Toc20377"/>
      <w:r>
        <w:rPr>
          <w:b/>
          <w:bCs/>
          <w:sz w:val="32"/>
          <w:szCs w:val="36"/>
        </w:rPr>
        <w:t>第二节 加强部门协调，形成工作合力</w:t>
      </w:r>
      <w:bookmarkEnd w:id="718"/>
      <w:bookmarkEnd w:id="719"/>
      <w:bookmarkEnd w:id="720"/>
      <w:bookmarkEnd w:id="721"/>
      <w:bookmarkEnd w:id="722"/>
      <w:bookmarkEnd w:id="723"/>
      <w:bookmarkEnd w:id="724"/>
      <w:bookmarkEnd w:id="725"/>
      <w:bookmarkEnd w:id="726"/>
    </w:p>
    <w:p>
      <w:pPr>
        <w:adjustRightInd w:val="0"/>
        <w:snapToGrid w:val="0"/>
        <w:spacing w:line="360" w:lineRule="auto"/>
        <w:ind w:firstLine="480" w:firstLineChars="200"/>
        <w:jc w:val="left"/>
        <w:rPr>
          <w:bCs/>
          <w:snapToGrid w:val="0"/>
          <w:color w:val="000000"/>
          <w:kern w:val="0"/>
          <w:sz w:val="24"/>
          <w:szCs w:val="24"/>
          <w:lang w:val="zh-TW" w:eastAsia="zh-TW" w:bidi="zh-TW"/>
        </w:rPr>
        <w:sectPr>
          <w:pgSz w:w="11906" w:h="16838"/>
          <w:pgMar w:top="1440" w:right="1797" w:bottom="1440" w:left="1797" w:header="907" w:footer="850" w:gutter="0"/>
          <w:cols w:space="720" w:num="1"/>
          <w:docGrid w:linePitch="500" w:charSpace="0"/>
        </w:sectPr>
      </w:pPr>
      <w:r>
        <w:rPr>
          <w:bCs/>
          <w:snapToGrid w:val="0"/>
          <w:color w:val="000000"/>
          <w:kern w:val="0"/>
          <w:sz w:val="24"/>
          <w:szCs w:val="24"/>
          <w:lang w:val="zh-TW" w:eastAsia="zh-TW" w:bidi="zh-TW"/>
        </w:rPr>
        <w:t>各有关部门要按照职责分工，加强协调配合与指导监督，形成工作合力，主动做好水资源规划实施和管理相关工作，具体落实规划目标和任务，把水资源综合规划变成行之有效的行动和管理依据，保障规划的顺利实施。</w:t>
      </w:r>
      <w:r>
        <w:rPr>
          <w:rFonts w:hint="eastAsia"/>
          <w:bCs/>
          <w:snapToGrid w:val="0"/>
          <w:color w:val="000000"/>
          <w:kern w:val="0"/>
          <w:sz w:val="24"/>
          <w:szCs w:val="24"/>
          <w:lang w:bidi="zh-TW"/>
        </w:rPr>
        <w:t>市</w:t>
      </w:r>
      <w:r>
        <w:rPr>
          <w:bCs/>
          <w:snapToGrid w:val="0"/>
          <w:color w:val="000000"/>
          <w:kern w:val="0"/>
          <w:sz w:val="24"/>
          <w:szCs w:val="24"/>
          <w:lang w:val="zh-TW" w:eastAsia="zh-TW" w:bidi="zh-TW"/>
        </w:rPr>
        <w:t>水利局</w:t>
      </w:r>
      <w:r>
        <w:rPr>
          <w:bCs/>
          <w:snapToGrid w:val="0"/>
          <w:kern w:val="0"/>
          <w:sz w:val="24"/>
          <w:szCs w:val="24"/>
          <w:lang w:val="zh-TW" w:eastAsia="zh-TW" w:bidi="zh-TW"/>
        </w:rPr>
        <w:t>负责对全市各类水资源的统一监督管理，统筹安排规划各项任务与重点工程；</w:t>
      </w:r>
      <w:r>
        <w:rPr>
          <w:rFonts w:hint="eastAsia"/>
          <w:bCs/>
          <w:snapToGrid w:val="0"/>
          <w:kern w:val="0"/>
          <w:sz w:val="24"/>
          <w:szCs w:val="24"/>
          <w:lang w:bidi="zh-TW"/>
        </w:rPr>
        <w:t>市</w:t>
      </w:r>
      <w:r>
        <w:rPr>
          <w:bCs/>
          <w:snapToGrid w:val="0"/>
          <w:kern w:val="0"/>
          <w:sz w:val="24"/>
          <w:szCs w:val="24"/>
          <w:lang w:val="zh-TW" w:eastAsia="zh-TW" w:bidi="zh-TW"/>
        </w:rPr>
        <w:t>发改委、生态环境局</w:t>
      </w:r>
      <w:r>
        <w:rPr>
          <w:bCs/>
          <w:snapToGrid w:val="0"/>
          <w:kern w:val="0"/>
          <w:sz w:val="24"/>
          <w:szCs w:val="24"/>
          <w:lang w:val="zh-TW" w:bidi="zh-TW"/>
        </w:rPr>
        <w:t>、</w:t>
      </w:r>
      <w:r>
        <w:rPr>
          <w:bCs/>
          <w:snapToGrid w:val="0"/>
          <w:kern w:val="0"/>
          <w:sz w:val="24"/>
          <w:szCs w:val="24"/>
          <w:lang w:val="zh-TW" w:eastAsia="zh-TW" w:bidi="zh-TW"/>
        </w:rPr>
        <w:t>农业局、林业局及农发等部门</w:t>
      </w:r>
      <w:r>
        <w:rPr>
          <w:rFonts w:hint="eastAsia"/>
          <w:bCs/>
          <w:snapToGrid w:val="0"/>
          <w:kern w:val="0"/>
          <w:sz w:val="24"/>
          <w:szCs w:val="24"/>
          <w:lang w:val="zh-TW" w:eastAsia="zh-TW" w:bidi="zh-TW"/>
        </w:rPr>
        <w:t>与</w:t>
      </w:r>
      <w:r>
        <w:rPr>
          <w:bCs/>
          <w:snapToGrid w:val="0"/>
          <w:kern w:val="0"/>
          <w:sz w:val="24"/>
          <w:szCs w:val="24"/>
          <w:lang w:val="zh-TW" w:eastAsia="zh-TW" w:bidi="zh-TW"/>
        </w:rPr>
        <w:t>水利局</w:t>
      </w:r>
      <w:r>
        <w:rPr>
          <w:rFonts w:hint="eastAsia"/>
          <w:bCs/>
          <w:snapToGrid w:val="0"/>
          <w:kern w:val="0"/>
          <w:sz w:val="24"/>
          <w:szCs w:val="24"/>
          <w:lang w:val="zh-TW" w:eastAsia="zh-TW" w:bidi="zh-TW"/>
        </w:rPr>
        <w:t>形成合力</w:t>
      </w:r>
      <w:r>
        <w:rPr>
          <w:bCs/>
          <w:snapToGrid w:val="0"/>
          <w:kern w:val="0"/>
          <w:sz w:val="24"/>
          <w:szCs w:val="24"/>
          <w:lang w:val="zh-TW" w:eastAsia="zh-TW" w:bidi="zh-TW"/>
        </w:rPr>
        <w:t>，</w:t>
      </w:r>
      <w:r>
        <w:rPr>
          <w:rFonts w:hint="eastAsia"/>
          <w:bCs/>
          <w:snapToGrid w:val="0"/>
          <w:kern w:val="0"/>
          <w:sz w:val="24"/>
          <w:szCs w:val="24"/>
          <w:lang w:val="zh-TW" w:eastAsia="zh-TW" w:bidi="zh-TW"/>
        </w:rPr>
        <w:t>共同</w:t>
      </w:r>
      <w:r>
        <w:rPr>
          <w:bCs/>
          <w:snapToGrid w:val="0"/>
          <w:kern w:val="0"/>
          <w:sz w:val="24"/>
          <w:szCs w:val="24"/>
          <w:lang w:val="zh-TW" w:eastAsia="zh-TW" w:bidi="zh-TW"/>
        </w:rPr>
        <w:t>做好农业节水目标任务和工程措施的落实工作；财政局要加大对规划重点工程及水资源管理经费支持力度；经信</w:t>
      </w:r>
      <w:r>
        <w:rPr>
          <w:bCs/>
          <w:snapToGrid w:val="0"/>
          <w:kern w:val="0"/>
          <w:sz w:val="24"/>
          <w:szCs w:val="24"/>
          <w:lang w:val="zh-TW" w:bidi="zh-TW"/>
        </w:rPr>
        <w:t>局</w:t>
      </w:r>
      <w:r>
        <w:rPr>
          <w:bCs/>
          <w:snapToGrid w:val="0"/>
          <w:kern w:val="0"/>
          <w:sz w:val="24"/>
          <w:szCs w:val="24"/>
          <w:lang w:val="zh-TW" w:eastAsia="zh-TW" w:bidi="zh-TW"/>
        </w:rPr>
        <w:t>要引导督促工业企业开展节水技改，落实建设项目节水工程“三同时”制度；建设局、</w:t>
      </w:r>
      <w:r>
        <w:rPr>
          <w:rFonts w:hint="eastAsia"/>
          <w:bCs/>
          <w:snapToGrid w:val="0"/>
          <w:kern w:val="0"/>
          <w:sz w:val="24"/>
          <w:szCs w:val="24"/>
          <w:lang w:bidi="zh-TW"/>
        </w:rPr>
        <w:t>生态</w:t>
      </w:r>
      <w:r>
        <w:rPr>
          <w:rFonts w:hint="eastAsia"/>
          <w:bCs/>
          <w:snapToGrid w:val="0"/>
          <w:kern w:val="0"/>
          <w:sz w:val="24"/>
          <w:szCs w:val="24"/>
          <w:lang w:val="en-US" w:eastAsia="zh-CN" w:bidi="zh-TW"/>
        </w:rPr>
        <w:t>环境</w:t>
      </w:r>
      <w:r>
        <w:rPr>
          <w:bCs/>
          <w:snapToGrid w:val="0"/>
          <w:kern w:val="0"/>
          <w:sz w:val="24"/>
          <w:szCs w:val="24"/>
          <w:lang w:val="zh-TW" w:eastAsia="zh-TW" w:bidi="zh-TW"/>
        </w:rPr>
        <w:t>局、国土局要加强水资源保护与生态修复规划重点工程建设，加强城乡供水的水源地建设与保护、积极推进污水处理和公共供水管网改造，全面推广节水器具，做好节约用水相关工作；市场监督管理局要对节水器具市场准入严格把关；</w:t>
      </w:r>
      <w:r>
        <w:rPr>
          <w:rFonts w:hint="eastAsia"/>
          <w:bCs/>
          <w:snapToGrid w:val="0"/>
          <w:kern w:val="0"/>
          <w:sz w:val="24"/>
          <w:szCs w:val="24"/>
          <w:lang w:val="zh-TW" w:eastAsia="zh-TW" w:bidi="zh-TW"/>
        </w:rPr>
        <w:t>发改委</w:t>
      </w:r>
      <w:r>
        <w:rPr>
          <w:bCs/>
          <w:snapToGrid w:val="0"/>
          <w:kern w:val="0"/>
          <w:sz w:val="24"/>
          <w:szCs w:val="24"/>
          <w:lang w:val="zh-TW" w:eastAsia="zh-TW" w:bidi="zh-TW"/>
        </w:rPr>
        <w:t>负责建立有利于促进节水和水资源循环利用的水价机制；宣传、教育等部门要加大宣传力度，提高全民节水意识和水资源保护意识。</w:t>
      </w:r>
    </w:p>
    <w:p>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27" w:name="_Toc7120"/>
      <w:bookmarkStart w:id="728" w:name="_Toc95382585"/>
      <w:bookmarkStart w:id="729" w:name="_Toc31257"/>
      <w:bookmarkStart w:id="730" w:name="_Toc11085"/>
      <w:bookmarkStart w:id="731" w:name="_Toc18786"/>
      <w:bookmarkStart w:id="732" w:name="_Toc13572"/>
      <w:bookmarkStart w:id="733" w:name="_Toc2418"/>
      <w:bookmarkStart w:id="734" w:name="_Toc25473"/>
      <w:bookmarkStart w:id="735" w:name="_Toc11159831"/>
      <w:r>
        <w:rPr>
          <w:b/>
          <w:bCs/>
          <w:sz w:val="32"/>
          <w:szCs w:val="32"/>
        </w:rPr>
        <w:t>第三节 完善政策制度，强化执法监督</w:t>
      </w:r>
      <w:bookmarkEnd w:id="727"/>
      <w:bookmarkEnd w:id="728"/>
      <w:bookmarkEnd w:id="729"/>
      <w:bookmarkEnd w:id="730"/>
      <w:bookmarkEnd w:id="731"/>
      <w:bookmarkEnd w:id="732"/>
      <w:bookmarkEnd w:id="733"/>
      <w:bookmarkEnd w:id="734"/>
      <w:bookmarkEnd w:id="735"/>
    </w:p>
    <w:p>
      <w:pPr>
        <w:adjustRightInd w:val="0"/>
        <w:snapToGrid w:val="0"/>
        <w:spacing w:line="360" w:lineRule="auto"/>
        <w:ind w:firstLine="480" w:firstLineChars="200"/>
        <w:rPr>
          <w:bCs/>
          <w:snapToGrid w:val="0"/>
          <w:kern w:val="0"/>
          <w:sz w:val="24"/>
          <w:szCs w:val="24"/>
          <w:lang w:val="zh-TW" w:eastAsia="zh-TW" w:bidi="zh-TW"/>
        </w:rPr>
      </w:pPr>
      <w:r>
        <w:rPr>
          <w:bCs/>
          <w:snapToGrid w:val="0"/>
          <w:color w:val="000000"/>
          <w:kern w:val="0"/>
          <w:sz w:val="24"/>
          <w:szCs w:val="24"/>
          <w:lang w:val="zh-TW" w:eastAsia="zh-TW" w:bidi="zh-TW"/>
        </w:rPr>
        <w:t>完善水资源开发、利用、配置、节约、保护的管理制度体系建设，建立健全对取水、供水、用水、耗水、排水全过程管理的制度，形成结构合理、管理科学、程序严密、制约有效的水资源综合管理制度体系。贯彻落实</w:t>
      </w:r>
      <w:r>
        <w:rPr>
          <w:snapToGrid w:val="0"/>
          <w:color w:val="000000"/>
          <w:kern w:val="0"/>
          <w:sz w:val="24"/>
          <w:szCs w:val="24"/>
        </w:rPr>
        <w:t>《</w:t>
      </w:r>
      <w:r>
        <w:rPr>
          <w:rFonts w:hint="eastAsia"/>
          <w:snapToGrid w:val="0"/>
          <w:color w:val="000000"/>
          <w:kern w:val="0"/>
          <w:sz w:val="24"/>
          <w:szCs w:val="24"/>
        </w:rPr>
        <w:t>六安</w:t>
      </w:r>
      <w:r>
        <w:rPr>
          <w:snapToGrid w:val="0"/>
          <w:color w:val="000000"/>
          <w:kern w:val="0"/>
          <w:sz w:val="24"/>
          <w:szCs w:val="24"/>
        </w:rPr>
        <w:t>市人民政府关于实行最严格水资源管理制度的实施意见》</w:t>
      </w:r>
      <w:r>
        <w:rPr>
          <w:bCs/>
          <w:snapToGrid w:val="0"/>
          <w:color w:val="000000"/>
          <w:kern w:val="0"/>
          <w:sz w:val="24"/>
          <w:szCs w:val="24"/>
          <w:lang w:val="zh-TW" w:eastAsia="zh-TW" w:bidi="zh-TW"/>
        </w:rPr>
        <w:t>，加强实施最严格的水资源管理制度政策</w:t>
      </w:r>
      <w:r>
        <w:rPr>
          <w:bCs/>
          <w:snapToGrid w:val="0"/>
          <w:kern w:val="0"/>
          <w:sz w:val="24"/>
          <w:szCs w:val="24"/>
          <w:lang w:val="zh-TW" w:eastAsia="zh-TW" w:bidi="zh-TW"/>
        </w:rPr>
        <w:t>研究，配套出台有关六安市水资源管理规范性文件。加快建立和完善有利于水资源综合管理的财政支撑制度，进一步落实资金配套政策。</w:t>
      </w:r>
    </w:p>
    <w:p>
      <w:pPr>
        <w:adjustRightInd w:val="0"/>
        <w:snapToGrid w:val="0"/>
        <w:spacing w:line="360" w:lineRule="auto"/>
        <w:ind w:firstLine="480" w:firstLineChars="200"/>
        <w:rPr>
          <w:bCs/>
          <w:snapToGrid w:val="0"/>
          <w:color w:val="000000"/>
          <w:kern w:val="0"/>
          <w:sz w:val="24"/>
          <w:szCs w:val="24"/>
          <w:lang w:val="zh-TW" w:eastAsia="zh-TW" w:bidi="zh-TW"/>
        </w:rPr>
      </w:pPr>
      <w:r>
        <w:rPr>
          <w:bCs/>
          <w:snapToGrid w:val="0"/>
          <w:kern w:val="0"/>
          <w:sz w:val="24"/>
          <w:szCs w:val="24"/>
          <w:lang w:val="zh-TW" w:eastAsia="zh-TW" w:bidi="zh-TW"/>
        </w:rPr>
        <w:t>强化监督管理，加强全市水行政执法体系建设，加大水资源管理执法力度。</w:t>
      </w:r>
      <w:r>
        <w:rPr>
          <w:rFonts w:hint="eastAsia"/>
          <w:bCs/>
          <w:snapToGrid w:val="0"/>
          <w:kern w:val="0"/>
          <w:sz w:val="24"/>
          <w:szCs w:val="24"/>
          <w:lang w:val="zh-TW" w:eastAsia="zh-TW" w:bidi="zh-TW"/>
        </w:rPr>
        <w:t>县</w:t>
      </w:r>
      <w:r>
        <w:rPr>
          <w:bCs/>
          <w:snapToGrid w:val="0"/>
          <w:kern w:val="0"/>
          <w:sz w:val="24"/>
          <w:szCs w:val="24"/>
          <w:lang w:val="zh-TW" w:eastAsia="zh-TW" w:bidi="zh-TW"/>
        </w:rPr>
        <w:t>区水利局要加强对取水、用水、节水、排水、污水处理回用和用水计划执行、取用水计量监控、水资源费缴纳等各个环节的执法监督，依法严厉査处无证取水、违规取水、乱开乱采地下水</w:t>
      </w:r>
      <w:r>
        <w:rPr>
          <w:rFonts w:hint="eastAsia"/>
          <w:bCs/>
          <w:snapToGrid w:val="0"/>
          <w:kern w:val="0"/>
          <w:sz w:val="24"/>
          <w:szCs w:val="24"/>
          <w:lang w:val="zh-TW" w:eastAsia="zh-TW" w:bidi="zh-TW"/>
        </w:rPr>
        <w:t>等水事</w:t>
      </w:r>
      <w:r>
        <w:rPr>
          <w:bCs/>
          <w:snapToGrid w:val="0"/>
          <w:kern w:val="0"/>
          <w:sz w:val="24"/>
          <w:szCs w:val="24"/>
          <w:lang w:val="zh-TW" w:eastAsia="zh-TW" w:bidi="zh-TW"/>
        </w:rPr>
        <w:t>违法行为，坚决杜绝违规审批、强行命令审批、擅自减免水资源费等各类违规违法行为。加强水政</w:t>
      </w:r>
      <w:r>
        <w:rPr>
          <w:bCs/>
          <w:snapToGrid w:val="0"/>
          <w:color w:val="000000"/>
          <w:kern w:val="0"/>
          <w:sz w:val="24"/>
          <w:szCs w:val="24"/>
          <w:lang w:val="zh-TW" w:eastAsia="zh-TW" w:bidi="zh-TW"/>
        </w:rPr>
        <w:t>执法队伍和执法装备建设，进一步提高水资源管理监督执法效能。</w:t>
      </w:r>
    </w:p>
    <w:p>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36" w:name="_Toc24236"/>
      <w:bookmarkStart w:id="737" w:name="_Toc4222"/>
      <w:bookmarkStart w:id="738" w:name="_Toc28463"/>
      <w:bookmarkStart w:id="739" w:name="_Toc11159832"/>
      <w:bookmarkStart w:id="740" w:name="_Toc31005"/>
      <w:bookmarkStart w:id="741" w:name="_Toc30425"/>
      <w:bookmarkStart w:id="742" w:name="_Toc28638"/>
      <w:bookmarkStart w:id="743" w:name="_Toc95382586"/>
      <w:bookmarkStart w:id="744" w:name="_Toc16811"/>
      <w:r>
        <w:rPr>
          <w:b/>
          <w:bCs/>
          <w:sz w:val="32"/>
          <w:szCs w:val="32"/>
        </w:rPr>
        <w:t>第四节 拓宽投资渠道，保障资金投入</w:t>
      </w:r>
      <w:bookmarkEnd w:id="736"/>
      <w:bookmarkEnd w:id="737"/>
      <w:bookmarkEnd w:id="738"/>
      <w:bookmarkEnd w:id="739"/>
      <w:bookmarkEnd w:id="740"/>
      <w:bookmarkEnd w:id="741"/>
      <w:bookmarkEnd w:id="742"/>
      <w:bookmarkEnd w:id="743"/>
      <w:bookmarkEnd w:id="744"/>
    </w:p>
    <w:p>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坚持中央、地方、社会共同负担的原则，完善多元化、多渠道、多层次的投资体系。公益性为主的水资源调配、城乡饮水安全、骨干水源设施、节约用水、水资源保护以及水生态修复等水资源基础设施建设，以政府（包括中央和地方）投入为主体。以经营性为主的水资源开发利用项目，鼓励企业和社会资金的投入。</w:t>
      </w:r>
    </w:p>
    <w:p>
      <w:pPr>
        <w:adjustRightInd w:val="0"/>
        <w:snapToGrid w:val="0"/>
        <w:spacing w:line="360" w:lineRule="auto"/>
        <w:ind w:firstLine="480" w:firstLineChars="200"/>
        <w:rPr>
          <w:rFonts w:eastAsia="PMingLiU"/>
          <w:bCs/>
          <w:snapToGrid w:val="0"/>
          <w:color w:val="000000"/>
          <w:kern w:val="0"/>
          <w:sz w:val="24"/>
          <w:szCs w:val="24"/>
          <w:lang w:val="zh-TW" w:eastAsia="zh-TW" w:bidi="zh-TW"/>
        </w:rPr>
      </w:pPr>
      <w:r>
        <w:rPr>
          <w:bCs/>
          <w:snapToGrid w:val="0"/>
          <w:color w:val="000000"/>
          <w:kern w:val="0"/>
          <w:sz w:val="24"/>
          <w:szCs w:val="24"/>
          <w:lang w:val="zh-TW" w:eastAsia="zh-TW" w:bidi="zh-TW"/>
        </w:rPr>
        <w:t>在努力争取国家资金投入的同时，六安市应积极筹措地方资金，拓宽投资渠道，组织有关部门、单位，动员社会力量，有计划地推进规划各项任务的实施。综合运用财政、金融、税收、价格等政策，积极引导社会资本参与水资源开发利用、节约和保护工程设施建设；通过完善财政贴息制度、扩大节水项目财政贴息的范围、延长贴息期限等措施，合理引导社会力量建设经营城市供水、污水处理及回用基础设施建设，推进供水、污水处理及回收利用的产业化；加快建立多渠道、多元化的投入体系，保障水资源配置、节约、保护、管理工作稳步推进</w:t>
      </w:r>
      <w:r>
        <w:rPr>
          <w:rFonts w:hint="eastAsia"/>
          <w:bCs/>
          <w:snapToGrid w:val="0"/>
          <w:color w:val="000000"/>
          <w:kern w:val="0"/>
          <w:sz w:val="24"/>
          <w:szCs w:val="24"/>
          <w:lang w:val="zh-TW" w:eastAsia="zh-TW" w:bidi="zh-TW"/>
        </w:rPr>
        <w:t>。</w:t>
      </w:r>
    </w:p>
    <w:p>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45" w:name="_Toc27871"/>
      <w:bookmarkStart w:id="746" w:name="_Toc11159833"/>
      <w:bookmarkStart w:id="747" w:name="_Toc2347"/>
      <w:bookmarkStart w:id="748" w:name="_Toc95382587"/>
      <w:bookmarkStart w:id="749" w:name="_Toc12144"/>
      <w:bookmarkStart w:id="750" w:name="_Toc684"/>
      <w:bookmarkStart w:id="751" w:name="_Toc2166"/>
      <w:bookmarkStart w:id="752" w:name="_Toc25905"/>
      <w:bookmarkStart w:id="753" w:name="_Toc10991"/>
      <w:r>
        <w:rPr>
          <w:b/>
          <w:bCs/>
          <w:sz w:val="32"/>
          <w:szCs w:val="32"/>
        </w:rPr>
        <w:t>第五节 加强能力建设，科学管水用水</w:t>
      </w:r>
      <w:bookmarkEnd w:id="745"/>
      <w:bookmarkEnd w:id="746"/>
      <w:bookmarkEnd w:id="747"/>
      <w:bookmarkEnd w:id="748"/>
      <w:bookmarkEnd w:id="749"/>
      <w:bookmarkEnd w:id="750"/>
      <w:bookmarkEnd w:id="751"/>
      <w:bookmarkEnd w:id="752"/>
      <w:bookmarkEnd w:id="753"/>
    </w:p>
    <w:p>
      <w:pPr>
        <w:adjustRightInd w:val="0"/>
        <w:snapToGrid w:val="0"/>
        <w:spacing w:line="360" w:lineRule="auto"/>
        <w:ind w:firstLine="480" w:firstLineChars="200"/>
        <w:rPr>
          <w:rFonts w:ascii="宋体" w:hAnsi="宋体"/>
          <w:bCs/>
          <w:snapToGrid w:val="0"/>
          <w:color w:val="000000"/>
          <w:kern w:val="0"/>
          <w:sz w:val="24"/>
          <w:szCs w:val="24"/>
          <w:lang w:val="zh-TW" w:eastAsia="zh-TW" w:bidi="zh-TW"/>
        </w:rPr>
      </w:pPr>
      <w:r>
        <w:rPr>
          <w:rFonts w:ascii="宋体" w:hAnsi="宋体"/>
          <w:bCs/>
          <w:snapToGrid w:val="0"/>
          <w:color w:val="000000"/>
          <w:kern w:val="0"/>
          <w:sz w:val="24"/>
          <w:szCs w:val="24"/>
          <w:lang w:val="zh-TW" w:eastAsia="zh-TW" w:bidi="zh-TW"/>
        </w:rPr>
        <w:t>加强重要取用水户取、退水计量和入河排污口监控设施建设，提升水量水质监测能力</w:t>
      </w:r>
      <w:r>
        <w:rPr>
          <w:bCs/>
          <w:snapToGrid w:val="0"/>
          <w:color w:val="000000"/>
          <w:kern w:val="0"/>
          <w:sz w:val="24"/>
          <w:szCs w:val="24"/>
          <w:lang w:val="zh-TW" w:eastAsia="zh-TW" w:bidi="zh-TW"/>
        </w:rPr>
        <w:t>，</w:t>
      </w:r>
      <w:r>
        <w:rPr>
          <w:rFonts w:hint="eastAsia" w:ascii="宋体" w:hAnsi="宋体"/>
          <w:bCs/>
          <w:snapToGrid w:val="0"/>
          <w:kern w:val="0"/>
          <w:sz w:val="24"/>
          <w:szCs w:val="24"/>
          <w:lang w:val="zh-TW" w:eastAsia="zh-TW" w:bidi="zh-TW"/>
        </w:rPr>
        <w:t>逐步</w:t>
      </w:r>
      <w:r>
        <w:rPr>
          <w:rFonts w:ascii="宋体" w:hAnsi="宋体"/>
          <w:bCs/>
          <w:snapToGrid w:val="0"/>
          <w:kern w:val="0"/>
          <w:sz w:val="24"/>
          <w:szCs w:val="24"/>
          <w:lang w:val="zh-TW" w:eastAsia="zh-TW" w:bidi="zh-TW"/>
        </w:rPr>
        <w:t>完善与用水总量控制、用水效率管理相适应的</w:t>
      </w:r>
      <w:r>
        <w:rPr>
          <w:rFonts w:hint="eastAsia" w:ascii="宋体" w:hAnsi="宋体"/>
          <w:bCs/>
          <w:snapToGrid w:val="0"/>
          <w:kern w:val="0"/>
          <w:sz w:val="24"/>
          <w:szCs w:val="24"/>
          <w:lang w:val="zh-TW" w:eastAsia="zh-TW" w:bidi="zh-TW"/>
        </w:rPr>
        <w:t>水资源</w:t>
      </w:r>
      <w:r>
        <w:rPr>
          <w:rFonts w:ascii="宋体" w:hAnsi="宋体"/>
          <w:bCs/>
          <w:snapToGrid w:val="0"/>
          <w:kern w:val="0"/>
          <w:sz w:val="24"/>
          <w:szCs w:val="24"/>
          <w:lang w:val="zh-TW" w:eastAsia="zh-TW" w:bidi="zh-TW"/>
        </w:rPr>
        <w:t>监控体系</w:t>
      </w:r>
      <w:r>
        <w:rPr>
          <w:rFonts w:hint="eastAsia" w:ascii="宋体" w:hAnsi="宋体"/>
          <w:bCs/>
          <w:snapToGrid w:val="0"/>
          <w:kern w:val="0"/>
          <w:sz w:val="24"/>
          <w:szCs w:val="24"/>
          <w:lang w:val="zh-TW" w:eastAsia="zh-TW" w:bidi="zh-TW"/>
        </w:rPr>
        <w:t>，</w:t>
      </w:r>
      <w:r>
        <w:rPr>
          <w:rFonts w:ascii="宋体" w:hAnsi="宋体"/>
          <w:bCs/>
          <w:snapToGrid w:val="0"/>
          <w:color w:val="000000"/>
          <w:kern w:val="0"/>
          <w:sz w:val="24"/>
          <w:szCs w:val="24"/>
          <w:lang w:val="zh-TW" w:eastAsia="zh-TW" w:bidi="zh-TW"/>
        </w:rPr>
        <w:t>建成覆盖乡、镇重点用水户的计量监测系统和主要河流、水闸的水质监测系统，积极建立全市水资源管理信息监控平台，实现主要控制指标可监测、可评价、可考核，全面提高水资源监控、预警和管理能力。</w:t>
      </w:r>
    </w:p>
    <w:p>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健全水资源管理和节水管理机构，充实水资源管理队伍，落实人员编制、经费和工作装备，确保机构、编制、装备等能力建设与水资源管理职责相匹配。以乡镇为单元，结合农田水利基层服务体系建设，整合职能，建立健全职能明确、布局合理、队伍精</w:t>
      </w:r>
      <w:r>
        <w:rPr>
          <w:rFonts w:hint="eastAsia"/>
          <w:bCs/>
          <w:snapToGrid w:val="0"/>
          <w:color w:val="000000"/>
          <w:kern w:val="0"/>
          <w:sz w:val="24"/>
          <w:szCs w:val="24"/>
          <w:lang w:val="zh-TW" w:eastAsia="zh-TW" w:bidi="zh-TW"/>
        </w:rPr>
        <w:t>干</w:t>
      </w:r>
      <w:r>
        <w:rPr>
          <w:bCs/>
          <w:snapToGrid w:val="0"/>
          <w:color w:val="000000"/>
          <w:kern w:val="0"/>
          <w:sz w:val="24"/>
          <w:szCs w:val="24"/>
          <w:lang w:val="zh-TW" w:eastAsia="zh-TW" w:bidi="zh-TW"/>
        </w:rPr>
        <w:t>、服务到位的基层水资源管理机构，全面提高基层水资源管理能力。强化基层管理业务培训，制定实施水资源管理人员培训计划，全面提升水资源管理人员素质和业务水平。</w:t>
      </w:r>
    </w:p>
    <w:p>
      <w:pPr>
        <w:adjustRightInd w:val="0"/>
        <w:snapToGrid w:val="0"/>
        <w:spacing w:line="360" w:lineRule="auto"/>
        <w:ind w:firstLine="480" w:firstLineChars="200"/>
        <w:rPr>
          <w:rFonts w:eastAsia="PMingLiU"/>
          <w:bCs/>
          <w:snapToGrid w:val="0"/>
          <w:color w:val="000000"/>
          <w:kern w:val="0"/>
          <w:sz w:val="24"/>
          <w:szCs w:val="24"/>
          <w:lang w:val="zh-TW" w:eastAsia="zh-TW" w:bidi="zh-TW"/>
        </w:rPr>
      </w:pPr>
      <w:r>
        <w:rPr>
          <w:bCs/>
          <w:snapToGrid w:val="0"/>
          <w:color w:val="000000"/>
          <w:kern w:val="0"/>
          <w:sz w:val="24"/>
          <w:szCs w:val="24"/>
          <w:lang w:val="zh-TW" w:eastAsia="zh-TW" w:bidi="zh-TW"/>
        </w:rPr>
        <w:t>建立和完善水资源开发利用相关技术推广和服务体系，提髙技术服务水平，不断提升全市水利科技支撑能力。强国内外先进供水节水技术的引进、消化、吸收和创新。</w:t>
      </w:r>
    </w:p>
    <w:p>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54" w:name="_Toc95382588"/>
      <w:r>
        <w:rPr>
          <w:b/>
          <w:bCs/>
          <w:sz w:val="32"/>
          <w:szCs w:val="32"/>
        </w:rPr>
        <w:t>第</w:t>
      </w:r>
      <w:r>
        <w:rPr>
          <w:rFonts w:hint="eastAsia"/>
          <w:b/>
          <w:bCs/>
          <w:sz w:val="32"/>
          <w:szCs w:val="32"/>
        </w:rPr>
        <w:t>六</w:t>
      </w:r>
      <w:r>
        <w:rPr>
          <w:b/>
          <w:bCs/>
          <w:sz w:val="32"/>
          <w:szCs w:val="32"/>
        </w:rPr>
        <w:t>节 加强</w:t>
      </w:r>
      <w:r>
        <w:rPr>
          <w:rFonts w:hint="eastAsia"/>
          <w:b/>
          <w:bCs/>
          <w:sz w:val="32"/>
          <w:szCs w:val="32"/>
        </w:rPr>
        <w:t>监督管理</w:t>
      </w:r>
      <w:r>
        <w:rPr>
          <w:b/>
          <w:bCs/>
          <w:sz w:val="32"/>
          <w:szCs w:val="32"/>
        </w:rPr>
        <w:t>，</w:t>
      </w:r>
      <w:r>
        <w:rPr>
          <w:rFonts w:hint="eastAsia"/>
          <w:b/>
          <w:bCs/>
          <w:sz w:val="32"/>
          <w:szCs w:val="32"/>
        </w:rPr>
        <w:t>落实安全生产</w:t>
      </w:r>
      <w:bookmarkEnd w:id="754"/>
    </w:p>
    <w:p>
      <w:pPr>
        <w:adjustRightInd w:val="0"/>
        <w:snapToGrid w:val="0"/>
        <w:spacing w:line="360" w:lineRule="auto"/>
        <w:ind w:firstLine="480" w:firstLineChars="200"/>
        <w:rPr>
          <w:rFonts w:hint="eastAsia" w:eastAsia="PMingLiU"/>
          <w:bCs/>
          <w:snapToGrid w:val="0"/>
          <w:color w:val="000000"/>
          <w:kern w:val="0"/>
          <w:sz w:val="24"/>
          <w:szCs w:val="24"/>
          <w:lang w:val="zh-TW" w:eastAsia="zh-TW" w:bidi="zh-TW"/>
        </w:rPr>
      </w:pPr>
      <w:r>
        <w:rPr>
          <w:rFonts w:hint="eastAsia"/>
          <w:bCs/>
          <w:snapToGrid w:val="0"/>
          <w:color w:val="000000"/>
          <w:kern w:val="0"/>
          <w:sz w:val="24"/>
          <w:szCs w:val="24"/>
          <w:lang w:val="zh-TW" w:eastAsia="zh-TW" w:bidi="zh-TW"/>
        </w:rPr>
        <w:t>加强对规划水利工程建设的监督管理力度，严格遵循安全生产管理原则。开展规划水利工程建设工作时，要将安全管理作为核心，优先执行安全管理工作制度。加强对水利工程的重要施工环节以及容易产生安全隐患的施工环节的</w:t>
      </w:r>
      <w:r>
        <w:rPr>
          <w:rFonts w:hint="eastAsia"/>
          <w:bCs/>
          <w:snapToGrid w:val="0"/>
          <w:color w:val="000000"/>
          <w:kern w:val="0"/>
          <w:sz w:val="24"/>
          <w:szCs w:val="24"/>
          <w:lang w:val="zh-TW" w:bidi="zh-TW"/>
        </w:rPr>
        <w:t>安全生产监督管理，设置专门的监管岗位，并配备专业的管理人员，确保安全管理的工作质量。结合水利工程的实际施工状况，合理安排应急防护等相关工作，开展专业的安全监督与管理工作，提高工程施工的安全性。</w:t>
      </w:r>
    </w:p>
    <w:p>
      <w:pPr>
        <w:adjustRightInd w:val="0"/>
        <w:snapToGrid w:val="0"/>
        <w:spacing w:line="360" w:lineRule="auto"/>
        <w:ind w:firstLine="480" w:firstLineChars="200"/>
        <w:rPr>
          <w:rFonts w:hint="eastAsia"/>
          <w:bCs/>
          <w:snapToGrid w:val="0"/>
          <w:color w:val="000000"/>
          <w:kern w:val="0"/>
          <w:sz w:val="24"/>
          <w:szCs w:val="24"/>
          <w:lang w:val="zh-TW" w:eastAsia="zh-TW" w:bidi="zh-TW"/>
        </w:rPr>
      </w:pPr>
      <w:r>
        <w:rPr>
          <w:rFonts w:hint="eastAsia"/>
          <w:bCs/>
          <w:snapToGrid w:val="0"/>
          <w:color w:val="000000"/>
          <w:kern w:val="0"/>
          <w:sz w:val="24"/>
          <w:szCs w:val="24"/>
          <w:lang w:val="zh-TW" w:eastAsia="zh-TW" w:bidi="zh-TW"/>
        </w:rPr>
        <w:t>加强水利工程安全生产管理工作的培训和资金投入。为了更好地促进规划实施，加强规划水利工程的施工效率和质量，需要对相关的安全管理人员定期进行安全意识观念培训，重点进行专业技能和知识的培训工作。同时，还需要对安全生产管理相关的工作领域加大资金投入，引入先进的安全生产技术和设施，为基层施工人员提供坚实的保障。</w:t>
      </w:r>
    </w:p>
    <w:p>
      <w:pPr>
        <w:tabs>
          <w:tab w:val="left" w:pos="560"/>
          <w:tab w:val="left" w:pos="980"/>
        </w:tabs>
        <w:adjustRightInd w:val="0"/>
        <w:snapToGrid w:val="0"/>
        <w:spacing w:before="312" w:beforeLines="100" w:after="312" w:afterLines="100" w:line="360" w:lineRule="auto"/>
        <w:jc w:val="center"/>
        <w:outlineLvl w:val="1"/>
        <w:rPr>
          <w:b/>
          <w:bCs/>
          <w:sz w:val="32"/>
          <w:szCs w:val="32"/>
        </w:rPr>
      </w:pPr>
      <w:bookmarkStart w:id="755" w:name="_Toc7186"/>
      <w:bookmarkStart w:id="756" w:name="_Toc19081"/>
      <w:bookmarkStart w:id="757" w:name="_Toc4848"/>
      <w:bookmarkStart w:id="758" w:name="_Toc10969"/>
      <w:bookmarkStart w:id="759" w:name="_Toc95382589"/>
      <w:bookmarkStart w:id="760" w:name="_Toc11159834"/>
      <w:bookmarkStart w:id="761" w:name="_Toc10"/>
      <w:bookmarkStart w:id="762" w:name="_Toc184"/>
      <w:bookmarkStart w:id="763" w:name="_Toc25376"/>
      <w:r>
        <w:rPr>
          <w:b/>
          <w:bCs/>
          <w:sz w:val="32"/>
          <w:szCs w:val="32"/>
        </w:rPr>
        <w:t>第</w:t>
      </w:r>
      <w:r>
        <w:rPr>
          <w:rFonts w:hint="eastAsia"/>
          <w:b/>
          <w:bCs/>
          <w:sz w:val="32"/>
          <w:szCs w:val="32"/>
        </w:rPr>
        <w:t>七</w:t>
      </w:r>
      <w:r>
        <w:rPr>
          <w:b/>
          <w:bCs/>
          <w:sz w:val="32"/>
          <w:szCs w:val="32"/>
        </w:rPr>
        <w:t>节 加强宣传教育，动员社会力量</w:t>
      </w:r>
      <w:bookmarkEnd w:id="755"/>
      <w:bookmarkEnd w:id="756"/>
      <w:bookmarkEnd w:id="757"/>
      <w:bookmarkEnd w:id="758"/>
      <w:bookmarkEnd w:id="759"/>
      <w:bookmarkEnd w:id="760"/>
      <w:bookmarkEnd w:id="761"/>
      <w:bookmarkEnd w:id="762"/>
      <w:bookmarkEnd w:id="763"/>
    </w:p>
    <w:p>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积极开展多层次、多形式的水资源知识宣传教育，进一步增强六安市居民水忧患意识和水资源节约保护意识。加强对资源节约、环境保护的价值理念的传播，强化公众节水能力与意识。积极开展“世界水日”“中国水周”和“全国城市节水宣传周”等宣传活动，充分利用广播、电视、报刊、互联网等各种媒体，广泛宣传水资源节约保护的重要性和必要性，使群众节水、惜水、保护水的意识普遍提高。</w:t>
      </w:r>
    </w:p>
    <w:p>
      <w:pPr>
        <w:adjustRightInd w:val="0"/>
        <w:snapToGrid w:val="0"/>
        <w:spacing w:line="360" w:lineRule="auto"/>
        <w:ind w:firstLine="480" w:firstLineChars="200"/>
        <w:rPr>
          <w:bCs/>
          <w:snapToGrid w:val="0"/>
          <w:color w:val="000000"/>
          <w:kern w:val="0"/>
          <w:sz w:val="24"/>
          <w:szCs w:val="24"/>
          <w:lang w:val="zh-TW" w:eastAsia="zh-TW" w:bidi="zh-TW"/>
        </w:rPr>
      </w:pPr>
      <w:r>
        <w:rPr>
          <w:bCs/>
          <w:snapToGrid w:val="0"/>
          <w:color w:val="000000"/>
          <w:kern w:val="0"/>
          <w:sz w:val="24"/>
          <w:szCs w:val="24"/>
          <w:lang w:val="zh-TW" w:eastAsia="zh-TW" w:bidi="zh-TW"/>
        </w:rPr>
        <w:t>扩大公益性宣传范围，为落实最严格水资源管理营造良好舆论氛围。在全市范围内深入开展节水护水爱水文化建设，宣传节约用水的生活和消费方式，提高居民节水意识和水资源保护意识，加强对资源节约、环境保护的价值理念的传播，树立节约保护水资源的良好社会风尚。提高全市水资源管理和决策的透明度，积极完善公众参与机制，广泛听取群众意见，建立公众参与的管理和监督制度。</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295728"/>
      <w:docPartObj>
        <w:docPartGallery w:val="autotext"/>
      </w:docPartObj>
    </w:sdtPr>
    <w:sdtContent>
      <w:p>
        <w:pPr>
          <w:pStyle w:val="24"/>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87043"/>
      <w:docPartObj>
        <w:docPartGallery w:val="autotext"/>
      </w:docPartObj>
    </w:sdtPr>
    <w:sdtContent>
      <w:p>
        <w:pPr>
          <w:pStyle w:val="24"/>
          <w:jc w:val="center"/>
        </w:pPr>
        <w:r>
          <w:fldChar w:fldCharType="begin"/>
        </w:r>
        <w:r>
          <w:instrText xml:space="preserve">PAGE   \* MERGEFORMAT</w:instrText>
        </w:r>
        <w:r>
          <w:fldChar w:fldCharType="separate"/>
        </w:r>
        <w:r>
          <w:rPr>
            <w:lang w:val="zh-CN"/>
          </w:rPr>
          <w:t>-</w:t>
        </w:r>
        <w:r>
          <w:t xml:space="preserve"> 3 -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748954"/>
      <w:docPartObj>
        <w:docPartGallery w:val="autotext"/>
      </w:docPartObj>
    </w:sdtPr>
    <w:sdtContent>
      <w:p>
        <w:pPr>
          <w:pStyle w:val="24"/>
          <w:jc w:val="center"/>
        </w:pPr>
        <w:r>
          <w:fldChar w:fldCharType="begin"/>
        </w:r>
        <w:r>
          <w:instrText xml:space="preserve">PAGE   \* MERGEFORMAT</w:instrText>
        </w:r>
        <w:r>
          <w:fldChar w:fldCharType="separate"/>
        </w:r>
        <w:r>
          <w:rPr>
            <w:lang w:val="zh-CN"/>
          </w:rPr>
          <w:t>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031197"/>
      <w:docPartObj>
        <w:docPartGallery w:val="autotext"/>
      </w:docPartObj>
    </w:sdtPr>
    <w:sdtContent>
      <w:p>
        <w:pPr>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239797"/>
      <w:docPartObj>
        <w:docPartGallery w:val="autotext"/>
      </w:docPartObj>
    </w:sdtPr>
    <w:sdtContent>
      <w:p>
        <w:pPr>
          <w:jc w:val="center"/>
        </w:pPr>
        <w:r>
          <w:fldChar w:fldCharType="begin"/>
        </w:r>
        <w:r>
          <w:instrText xml:space="preserve">PAGE   \* MERGEFORMAT</w:instrText>
        </w:r>
        <w:r>
          <w:fldChar w:fldCharType="separate"/>
        </w:r>
        <w:r>
          <w:rPr>
            <w:lang w:val="zh-CN"/>
          </w:rPr>
          <w:t>73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311014"/>
      <w:docPartObj>
        <w:docPartGallery w:val="autotext"/>
      </w:docPartObj>
    </w:sdtPr>
    <w:sdtContent>
      <w:p>
        <w:pPr>
          <w:pStyle w:val="24"/>
          <w:jc w:val="center"/>
        </w:pPr>
        <w:r>
          <w:fldChar w:fldCharType="begin"/>
        </w:r>
        <w:r>
          <w:instrText xml:space="preserve">PAGE   \* MERGEFORMAT</w:instrText>
        </w:r>
        <w:r>
          <w:fldChar w:fldCharType="separate"/>
        </w:r>
        <w:r>
          <w:rPr>
            <w:lang w:val="zh-CN"/>
          </w:rPr>
          <w:t>103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Y2JhZDM0ZGQxZTY3OTc0ZTM4NmJjOGQ5OTBiOTcifQ=="/>
  </w:docVars>
  <w:rsids>
    <w:rsidRoot w:val="003300E4"/>
    <w:rsid w:val="00000012"/>
    <w:rsid w:val="00003079"/>
    <w:rsid w:val="00003E8D"/>
    <w:rsid w:val="00037BEE"/>
    <w:rsid w:val="000504E6"/>
    <w:rsid w:val="00052D04"/>
    <w:rsid w:val="00054F83"/>
    <w:rsid w:val="00072C3B"/>
    <w:rsid w:val="00077764"/>
    <w:rsid w:val="0008096D"/>
    <w:rsid w:val="000809BB"/>
    <w:rsid w:val="00081EF3"/>
    <w:rsid w:val="000847E3"/>
    <w:rsid w:val="00085249"/>
    <w:rsid w:val="00091F33"/>
    <w:rsid w:val="000949EC"/>
    <w:rsid w:val="00095F65"/>
    <w:rsid w:val="000A7A98"/>
    <w:rsid w:val="000B30BF"/>
    <w:rsid w:val="000B53E4"/>
    <w:rsid w:val="000C3D00"/>
    <w:rsid w:val="000C57AC"/>
    <w:rsid w:val="000C5930"/>
    <w:rsid w:val="000C62AE"/>
    <w:rsid w:val="000D6C9E"/>
    <w:rsid w:val="000E5458"/>
    <w:rsid w:val="000E5C00"/>
    <w:rsid w:val="00101DAD"/>
    <w:rsid w:val="00103CF8"/>
    <w:rsid w:val="00104804"/>
    <w:rsid w:val="00112AF9"/>
    <w:rsid w:val="00146BD0"/>
    <w:rsid w:val="0015041E"/>
    <w:rsid w:val="0015582D"/>
    <w:rsid w:val="00157064"/>
    <w:rsid w:val="00161D0C"/>
    <w:rsid w:val="001638B2"/>
    <w:rsid w:val="001672DB"/>
    <w:rsid w:val="001737BB"/>
    <w:rsid w:val="001745C6"/>
    <w:rsid w:val="001762C0"/>
    <w:rsid w:val="0017691F"/>
    <w:rsid w:val="00186421"/>
    <w:rsid w:val="001932A1"/>
    <w:rsid w:val="00193743"/>
    <w:rsid w:val="001A708B"/>
    <w:rsid w:val="001B45ED"/>
    <w:rsid w:val="001C04C2"/>
    <w:rsid w:val="001C3486"/>
    <w:rsid w:val="001C4488"/>
    <w:rsid w:val="001C462C"/>
    <w:rsid w:val="001D2E99"/>
    <w:rsid w:val="001E352C"/>
    <w:rsid w:val="001F0444"/>
    <w:rsid w:val="002010F2"/>
    <w:rsid w:val="002018AA"/>
    <w:rsid w:val="0020615B"/>
    <w:rsid w:val="00212CB5"/>
    <w:rsid w:val="0022250C"/>
    <w:rsid w:val="00225CE9"/>
    <w:rsid w:val="00232270"/>
    <w:rsid w:val="0023784C"/>
    <w:rsid w:val="00242777"/>
    <w:rsid w:val="002629FB"/>
    <w:rsid w:val="00263D55"/>
    <w:rsid w:val="002643BF"/>
    <w:rsid w:val="00281882"/>
    <w:rsid w:val="00281D47"/>
    <w:rsid w:val="002A1A09"/>
    <w:rsid w:val="002A3475"/>
    <w:rsid w:val="002B104D"/>
    <w:rsid w:val="002B5BDD"/>
    <w:rsid w:val="002B5D9B"/>
    <w:rsid w:val="002D1E4B"/>
    <w:rsid w:val="002D5786"/>
    <w:rsid w:val="002E4FEE"/>
    <w:rsid w:val="002E694E"/>
    <w:rsid w:val="002E7FF1"/>
    <w:rsid w:val="002F6418"/>
    <w:rsid w:val="00304EA1"/>
    <w:rsid w:val="00306025"/>
    <w:rsid w:val="003065DE"/>
    <w:rsid w:val="003076F7"/>
    <w:rsid w:val="00311641"/>
    <w:rsid w:val="00316D21"/>
    <w:rsid w:val="003204EB"/>
    <w:rsid w:val="00322A1B"/>
    <w:rsid w:val="00325A22"/>
    <w:rsid w:val="00326D7E"/>
    <w:rsid w:val="003300E4"/>
    <w:rsid w:val="0033063F"/>
    <w:rsid w:val="00331EBD"/>
    <w:rsid w:val="00332272"/>
    <w:rsid w:val="00337E88"/>
    <w:rsid w:val="00344A38"/>
    <w:rsid w:val="00352C63"/>
    <w:rsid w:val="00354E4F"/>
    <w:rsid w:val="00363375"/>
    <w:rsid w:val="003742AC"/>
    <w:rsid w:val="00377726"/>
    <w:rsid w:val="003819AA"/>
    <w:rsid w:val="00382511"/>
    <w:rsid w:val="003830D9"/>
    <w:rsid w:val="003909CF"/>
    <w:rsid w:val="00396D9D"/>
    <w:rsid w:val="003B0E9B"/>
    <w:rsid w:val="003B7215"/>
    <w:rsid w:val="003C6529"/>
    <w:rsid w:val="003D2540"/>
    <w:rsid w:val="003D41C2"/>
    <w:rsid w:val="003D71E4"/>
    <w:rsid w:val="003D7DCE"/>
    <w:rsid w:val="003E3094"/>
    <w:rsid w:val="003F3D34"/>
    <w:rsid w:val="003F757D"/>
    <w:rsid w:val="0040321C"/>
    <w:rsid w:val="004063B1"/>
    <w:rsid w:val="00413FCA"/>
    <w:rsid w:val="00425007"/>
    <w:rsid w:val="004261E0"/>
    <w:rsid w:val="00432755"/>
    <w:rsid w:val="00434BD2"/>
    <w:rsid w:val="0043787B"/>
    <w:rsid w:val="00453DD7"/>
    <w:rsid w:val="00467E20"/>
    <w:rsid w:val="00472CB4"/>
    <w:rsid w:val="004748BE"/>
    <w:rsid w:val="0048705D"/>
    <w:rsid w:val="00496310"/>
    <w:rsid w:val="004A26FA"/>
    <w:rsid w:val="004A5996"/>
    <w:rsid w:val="004B6880"/>
    <w:rsid w:val="004C4635"/>
    <w:rsid w:val="004D03DD"/>
    <w:rsid w:val="004D5491"/>
    <w:rsid w:val="004D566B"/>
    <w:rsid w:val="004D619C"/>
    <w:rsid w:val="004D7189"/>
    <w:rsid w:val="004F2772"/>
    <w:rsid w:val="004F3CE0"/>
    <w:rsid w:val="00502FBC"/>
    <w:rsid w:val="00516B72"/>
    <w:rsid w:val="00520E55"/>
    <w:rsid w:val="005240BC"/>
    <w:rsid w:val="005279D7"/>
    <w:rsid w:val="00534847"/>
    <w:rsid w:val="005426A0"/>
    <w:rsid w:val="005442CB"/>
    <w:rsid w:val="00545137"/>
    <w:rsid w:val="00552A3F"/>
    <w:rsid w:val="0055436E"/>
    <w:rsid w:val="005648FF"/>
    <w:rsid w:val="00567A3C"/>
    <w:rsid w:val="00570638"/>
    <w:rsid w:val="00575486"/>
    <w:rsid w:val="00576739"/>
    <w:rsid w:val="00590B9E"/>
    <w:rsid w:val="00593F69"/>
    <w:rsid w:val="00595224"/>
    <w:rsid w:val="005955AB"/>
    <w:rsid w:val="005A40D0"/>
    <w:rsid w:val="005A443F"/>
    <w:rsid w:val="005A7036"/>
    <w:rsid w:val="005B47A0"/>
    <w:rsid w:val="005B4AF7"/>
    <w:rsid w:val="005B7A6F"/>
    <w:rsid w:val="005C0C72"/>
    <w:rsid w:val="005C210C"/>
    <w:rsid w:val="005C3FE9"/>
    <w:rsid w:val="005D2793"/>
    <w:rsid w:val="005E3704"/>
    <w:rsid w:val="005E45B4"/>
    <w:rsid w:val="005E6882"/>
    <w:rsid w:val="005F1E91"/>
    <w:rsid w:val="005F3B38"/>
    <w:rsid w:val="00601CCA"/>
    <w:rsid w:val="0060338E"/>
    <w:rsid w:val="0061253D"/>
    <w:rsid w:val="00612C55"/>
    <w:rsid w:val="00616547"/>
    <w:rsid w:val="00616EEB"/>
    <w:rsid w:val="00622B3D"/>
    <w:rsid w:val="006264A8"/>
    <w:rsid w:val="00630F99"/>
    <w:rsid w:val="00631635"/>
    <w:rsid w:val="00632492"/>
    <w:rsid w:val="006369D0"/>
    <w:rsid w:val="00636BA2"/>
    <w:rsid w:val="006406DB"/>
    <w:rsid w:val="0064425E"/>
    <w:rsid w:val="00646C31"/>
    <w:rsid w:val="006476B7"/>
    <w:rsid w:val="006555C7"/>
    <w:rsid w:val="00662C37"/>
    <w:rsid w:val="00672DD7"/>
    <w:rsid w:val="0069716D"/>
    <w:rsid w:val="006A71DF"/>
    <w:rsid w:val="006B3B2F"/>
    <w:rsid w:val="006B748E"/>
    <w:rsid w:val="006D4587"/>
    <w:rsid w:val="006E0507"/>
    <w:rsid w:val="006E2DF0"/>
    <w:rsid w:val="006E2F91"/>
    <w:rsid w:val="006F1D23"/>
    <w:rsid w:val="006F2B8F"/>
    <w:rsid w:val="00712E65"/>
    <w:rsid w:val="00714F59"/>
    <w:rsid w:val="00726962"/>
    <w:rsid w:val="007343CC"/>
    <w:rsid w:val="007345C9"/>
    <w:rsid w:val="00737682"/>
    <w:rsid w:val="00741718"/>
    <w:rsid w:val="00750A4D"/>
    <w:rsid w:val="0075480A"/>
    <w:rsid w:val="00761569"/>
    <w:rsid w:val="007650EF"/>
    <w:rsid w:val="00766CD3"/>
    <w:rsid w:val="00767E99"/>
    <w:rsid w:val="00771431"/>
    <w:rsid w:val="00782CDD"/>
    <w:rsid w:val="00797AF3"/>
    <w:rsid w:val="007A6EEE"/>
    <w:rsid w:val="007B0303"/>
    <w:rsid w:val="007C3633"/>
    <w:rsid w:val="007D25B2"/>
    <w:rsid w:val="007E1EDE"/>
    <w:rsid w:val="007E3D5E"/>
    <w:rsid w:val="007E756E"/>
    <w:rsid w:val="007F1312"/>
    <w:rsid w:val="007F6FE5"/>
    <w:rsid w:val="00815AFA"/>
    <w:rsid w:val="0081774E"/>
    <w:rsid w:val="0083395C"/>
    <w:rsid w:val="00844AB6"/>
    <w:rsid w:val="00844B2C"/>
    <w:rsid w:val="00855DF7"/>
    <w:rsid w:val="00861E43"/>
    <w:rsid w:val="00863C64"/>
    <w:rsid w:val="008646DC"/>
    <w:rsid w:val="00872A11"/>
    <w:rsid w:val="00883D2F"/>
    <w:rsid w:val="00893ACC"/>
    <w:rsid w:val="008955F2"/>
    <w:rsid w:val="008A20C8"/>
    <w:rsid w:val="008A35C7"/>
    <w:rsid w:val="008A4244"/>
    <w:rsid w:val="008A44DE"/>
    <w:rsid w:val="008B4203"/>
    <w:rsid w:val="008B61A2"/>
    <w:rsid w:val="008C4D9E"/>
    <w:rsid w:val="008C6A5D"/>
    <w:rsid w:val="008D02DF"/>
    <w:rsid w:val="008D3C90"/>
    <w:rsid w:val="008D74E2"/>
    <w:rsid w:val="008E4E87"/>
    <w:rsid w:val="008E7941"/>
    <w:rsid w:val="008E7A27"/>
    <w:rsid w:val="008F4102"/>
    <w:rsid w:val="008F52B2"/>
    <w:rsid w:val="0090016C"/>
    <w:rsid w:val="009046B6"/>
    <w:rsid w:val="00905742"/>
    <w:rsid w:val="009078C1"/>
    <w:rsid w:val="00914916"/>
    <w:rsid w:val="00914A9C"/>
    <w:rsid w:val="00922DDB"/>
    <w:rsid w:val="00923146"/>
    <w:rsid w:val="009270F0"/>
    <w:rsid w:val="00932627"/>
    <w:rsid w:val="00936C0A"/>
    <w:rsid w:val="009378FE"/>
    <w:rsid w:val="00937FAF"/>
    <w:rsid w:val="0094025D"/>
    <w:rsid w:val="00946D88"/>
    <w:rsid w:val="00962863"/>
    <w:rsid w:val="00971F24"/>
    <w:rsid w:val="00986F33"/>
    <w:rsid w:val="00987420"/>
    <w:rsid w:val="00987CF0"/>
    <w:rsid w:val="009A4040"/>
    <w:rsid w:val="009B1D02"/>
    <w:rsid w:val="009B759A"/>
    <w:rsid w:val="009C2750"/>
    <w:rsid w:val="009C3258"/>
    <w:rsid w:val="009D308A"/>
    <w:rsid w:val="009F1511"/>
    <w:rsid w:val="009F6714"/>
    <w:rsid w:val="009F72C0"/>
    <w:rsid w:val="00A01832"/>
    <w:rsid w:val="00A03D05"/>
    <w:rsid w:val="00A06910"/>
    <w:rsid w:val="00A10CBE"/>
    <w:rsid w:val="00A1342A"/>
    <w:rsid w:val="00A25D13"/>
    <w:rsid w:val="00A25D4B"/>
    <w:rsid w:val="00A2711F"/>
    <w:rsid w:val="00A33747"/>
    <w:rsid w:val="00A41198"/>
    <w:rsid w:val="00A611B3"/>
    <w:rsid w:val="00A6677D"/>
    <w:rsid w:val="00A71275"/>
    <w:rsid w:val="00A724FC"/>
    <w:rsid w:val="00A72C1F"/>
    <w:rsid w:val="00A73C20"/>
    <w:rsid w:val="00A9699D"/>
    <w:rsid w:val="00AA23B1"/>
    <w:rsid w:val="00AC092C"/>
    <w:rsid w:val="00AC3452"/>
    <w:rsid w:val="00AD2499"/>
    <w:rsid w:val="00AD5182"/>
    <w:rsid w:val="00AE3F9C"/>
    <w:rsid w:val="00AE6364"/>
    <w:rsid w:val="00AE73BB"/>
    <w:rsid w:val="00AF14AE"/>
    <w:rsid w:val="00AF1D3D"/>
    <w:rsid w:val="00AF2DC4"/>
    <w:rsid w:val="00AF2F81"/>
    <w:rsid w:val="00AF3722"/>
    <w:rsid w:val="00AF65F7"/>
    <w:rsid w:val="00B01112"/>
    <w:rsid w:val="00B07417"/>
    <w:rsid w:val="00B16410"/>
    <w:rsid w:val="00B23251"/>
    <w:rsid w:val="00B2647B"/>
    <w:rsid w:val="00B30B96"/>
    <w:rsid w:val="00B46097"/>
    <w:rsid w:val="00B55F32"/>
    <w:rsid w:val="00B57461"/>
    <w:rsid w:val="00B61536"/>
    <w:rsid w:val="00B641BC"/>
    <w:rsid w:val="00B6734A"/>
    <w:rsid w:val="00B732D9"/>
    <w:rsid w:val="00B74E2C"/>
    <w:rsid w:val="00B81046"/>
    <w:rsid w:val="00B83665"/>
    <w:rsid w:val="00B86059"/>
    <w:rsid w:val="00B94A67"/>
    <w:rsid w:val="00BB0B96"/>
    <w:rsid w:val="00BB33E8"/>
    <w:rsid w:val="00BB451C"/>
    <w:rsid w:val="00BC31B1"/>
    <w:rsid w:val="00BD0B7D"/>
    <w:rsid w:val="00BD1394"/>
    <w:rsid w:val="00BD511E"/>
    <w:rsid w:val="00BE4027"/>
    <w:rsid w:val="00BF1260"/>
    <w:rsid w:val="00BF72F6"/>
    <w:rsid w:val="00BF7E64"/>
    <w:rsid w:val="00C00814"/>
    <w:rsid w:val="00C04988"/>
    <w:rsid w:val="00C04ED1"/>
    <w:rsid w:val="00C04F8D"/>
    <w:rsid w:val="00C070FE"/>
    <w:rsid w:val="00C116A9"/>
    <w:rsid w:val="00C11FCB"/>
    <w:rsid w:val="00C1412E"/>
    <w:rsid w:val="00C259B5"/>
    <w:rsid w:val="00C2702E"/>
    <w:rsid w:val="00C4339D"/>
    <w:rsid w:val="00C578A5"/>
    <w:rsid w:val="00C62111"/>
    <w:rsid w:val="00C67EAA"/>
    <w:rsid w:val="00C76A6D"/>
    <w:rsid w:val="00C819D8"/>
    <w:rsid w:val="00C84C8E"/>
    <w:rsid w:val="00C9018C"/>
    <w:rsid w:val="00C9146C"/>
    <w:rsid w:val="00C9261E"/>
    <w:rsid w:val="00CA7076"/>
    <w:rsid w:val="00CC0A80"/>
    <w:rsid w:val="00CC14C6"/>
    <w:rsid w:val="00CC18CB"/>
    <w:rsid w:val="00CD13C6"/>
    <w:rsid w:val="00CE09AC"/>
    <w:rsid w:val="00CE41EE"/>
    <w:rsid w:val="00CE4E93"/>
    <w:rsid w:val="00CF6B61"/>
    <w:rsid w:val="00D012E1"/>
    <w:rsid w:val="00D01E9C"/>
    <w:rsid w:val="00D05D96"/>
    <w:rsid w:val="00D173D1"/>
    <w:rsid w:val="00D235AE"/>
    <w:rsid w:val="00D26887"/>
    <w:rsid w:val="00D31375"/>
    <w:rsid w:val="00D34B77"/>
    <w:rsid w:val="00D35B4D"/>
    <w:rsid w:val="00D4050A"/>
    <w:rsid w:val="00D4390F"/>
    <w:rsid w:val="00D53F66"/>
    <w:rsid w:val="00D6000A"/>
    <w:rsid w:val="00D7320F"/>
    <w:rsid w:val="00D82EBA"/>
    <w:rsid w:val="00D91E2B"/>
    <w:rsid w:val="00D93C26"/>
    <w:rsid w:val="00DA0A4E"/>
    <w:rsid w:val="00DB60E7"/>
    <w:rsid w:val="00DB723F"/>
    <w:rsid w:val="00DC07F5"/>
    <w:rsid w:val="00DC0A79"/>
    <w:rsid w:val="00DC1540"/>
    <w:rsid w:val="00DE11FD"/>
    <w:rsid w:val="00DE1D9F"/>
    <w:rsid w:val="00DE3D43"/>
    <w:rsid w:val="00DE4C57"/>
    <w:rsid w:val="00DF0331"/>
    <w:rsid w:val="00DF1F42"/>
    <w:rsid w:val="00DF3C2A"/>
    <w:rsid w:val="00E126E8"/>
    <w:rsid w:val="00E129E1"/>
    <w:rsid w:val="00E15EEC"/>
    <w:rsid w:val="00E2110D"/>
    <w:rsid w:val="00E24285"/>
    <w:rsid w:val="00E24CF2"/>
    <w:rsid w:val="00E31EBF"/>
    <w:rsid w:val="00E34639"/>
    <w:rsid w:val="00E4157E"/>
    <w:rsid w:val="00E43EC3"/>
    <w:rsid w:val="00E44B02"/>
    <w:rsid w:val="00E44B72"/>
    <w:rsid w:val="00E4622D"/>
    <w:rsid w:val="00E52D31"/>
    <w:rsid w:val="00E5320A"/>
    <w:rsid w:val="00E60FA3"/>
    <w:rsid w:val="00E61527"/>
    <w:rsid w:val="00E6363C"/>
    <w:rsid w:val="00E64264"/>
    <w:rsid w:val="00E72EE1"/>
    <w:rsid w:val="00E747B5"/>
    <w:rsid w:val="00E753AE"/>
    <w:rsid w:val="00E757FE"/>
    <w:rsid w:val="00E76D1D"/>
    <w:rsid w:val="00E847B7"/>
    <w:rsid w:val="00E93950"/>
    <w:rsid w:val="00E97211"/>
    <w:rsid w:val="00EA189F"/>
    <w:rsid w:val="00EB607F"/>
    <w:rsid w:val="00EB683F"/>
    <w:rsid w:val="00ED04B0"/>
    <w:rsid w:val="00EE0151"/>
    <w:rsid w:val="00EE1F8C"/>
    <w:rsid w:val="00EE4D8F"/>
    <w:rsid w:val="00F01B60"/>
    <w:rsid w:val="00F0454E"/>
    <w:rsid w:val="00F0520E"/>
    <w:rsid w:val="00F1061B"/>
    <w:rsid w:val="00F15536"/>
    <w:rsid w:val="00F20848"/>
    <w:rsid w:val="00F25FF3"/>
    <w:rsid w:val="00F34188"/>
    <w:rsid w:val="00F343FF"/>
    <w:rsid w:val="00F42E3C"/>
    <w:rsid w:val="00F4687B"/>
    <w:rsid w:val="00F47CB3"/>
    <w:rsid w:val="00F515EE"/>
    <w:rsid w:val="00F54160"/>
    <w:rsid w:val="00F6593A"/>
    <w:rsid w:val="00F66E54"/>
    <w:rsid w:val="00F67D4D"/>
    <w:rsid w:val="00F71913"/>
    <w:rsid w:val="00F73DC7"/>
    <w:rsid w:val="00F82474"/>
    <w:rsid w:val="00F84031"/>
    <w:rsid w:val="00F92BB9"/>
    <w:rsid w:val="00FB147E"/>
    <w:rsid w:val="00FB2B45"/>
    <w:rsid w:val="00FB4F32"/>
    <w:rsid w:val="00FC51E7"/>
    <w:rsid w:val="00FC6B83"/>
    <w:rsid w:val="00FD2625"/>
    <w:rsid w:val="00FD3E3E"/>
    <w:rsid w:val="00FE2CD5"/>
    <w:rsid w:val="00FE2D04"/>
    <w:rsid w:val="00FE6BC3"/>
    <w:rsid w:val="00FE7114"/>
    <w:rsid w:val="00FF0BF4"/>
    <w:rsid w:val="00FF15FF"/>
    <w:rsid w:val="00FF53B2"/>
    <w:rsid w:val="00FF5832"/>
    <w:rsid w:val="03AD4373"/>
    <w:rsid w:val="03D36755"/>
    <w:rsid w:val="04E74D63"/>
    <w:rsid w:val="0AD2685E"/>
    <w:rsid w:val="0C937D88"/>
    <w:rsid w:val="127645CE"/>
    <w:rsid w:val="13546552"/>
    <w:rsid w:val="158417AA"/>
    <w:rsid w:val="16A14645"/>
    <w:rsid w:val="1A047A2A"/>
    <w:rsid w:val="1CCD5D49"/>
    <w:rsid w:val="1E7D5652"/>
    <w:rsid w:val="1EDB36E3"/>
    <w:rsid w:val="1F32627A"/>
    <w:rsid w:val="20760BDB"/>
    <w:rsid w:val="21392049"/>
    <w:rsid w:val="22E908D8"/>
    <w:rsid w:val="23085EA2"/>
    <w:rsid w:val="237E10F3"/>
    <w:rsid w:val="24140025"/>
    <w:rsid w:val="248C1C83"/>
    <w:rsid w:val="25466B0D"/>
    <w:rsid w:val="257E6BC3"/>
    <w:rsid w:val="26677531"/>
    <w:rsid w:val="27731702"/>
    <w:rsid w:val="29930737"/>
    <w:rsid w:val="2D9A5096"/>
    <w:rsid w:val="32D17DC7"/>
    <w:rsid w:val="36513192"/>
    <w:rsid w:val="398701E2"/>
    <w:rsid w:val="3AC91290"/>
    <w:rsid w:val="3ECC30F2"/>
    <w:rsid w:val="3F98356B"/>
    <w:rsid w:val="41037A50"/>
    <w:rsid w:val="45622D90"/>
    <w:rsid w:val="47372B00"/>
    <w:rsid w:val="4D3A7BFE"/>
    <w:rsid w:val="4F977651"/>
    <w:rsid w:val="530046BF"/>
    <w:rsid w:val="551E7EAF"/>
    <w:rsid w:val="55DB4FFF"/>
    <w:rsid w:val="56035D97"/>
    <w:rsid w:val="56F70783"/>
    <w:rsid w:val="58F121AF"/>
    <w:rsid w:val="5BA25EA7"/>
    <w:rsid w:val="5CF8009F"/>
    <w:rsid w:val="5E4C22BD"/>
    <w:rsid w:val="611B5D5C"/>
    <w:rsid w:val="619F2A13"/>
    <w:rsid w:val="63C02DF6"/>
    <w:rsid w:val="641D53F1"/>
    <w:rsid w:val="6625107C"/>
    <w:rsid w:val="691D7A26"/>
    <w:rsid w:val="69EB5093"/>
    <w:rsid w:val="6DE34104"/>
    <w:rsid w:val="719A017C"/>
    <w:rsid w:val="71EC2209"/>
    <w:rsid w:val="72C317A1"/>
    <w:rsid w:val="74157069"/>
    <w:rsid w:val="75D258D4"/>
    <w:rsid w:val="7AA703CD"/>
    <w:rsid w:val="7D996A65"/>
    <w:rsid w:val="7DE55BC7"/>
    <w:rsid w:val="7F8B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6"/>
    <w:unhideWhenUsed/>
    <w:qFormat/>
    <w:uiPriority w:val="0"/>
    <w:pPr>
      <w:keepNext/>
      <w:keepLines/>
      <w:spacing w:before="280" w:after="290" w:line="376" w:lineRule="auto"/>
      <w:ind w:left="1008"/>
      <w:outlineLvl w:val="4"/>
    </w:pPr>
    <w:rPr>
      <w:b/>
      <w:bCs/>
      <w:sz w:val="28"/>
      <w:szCs w:val="28"/>
    </w:rPr>
  </w:style>
  <w:style w:type="paragraph" w:styleId="7">
    <w:name w:val="heading 6"/>
    <w:basedOn w:val="1"/>
    <w:next w:val="1"/>
    <w:link w:val="47"/>
    <w:unhideWhenUsed/>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48"/>
    <w:unhideWhenUsed/>
    <w:qFormat/>
    <w:uiPriority w:val="0"/>
    <w:pPr>
      <w:keepNext/>
      <w:keepLines/>
      <w:spacing w:before="240" w:after="64" w:line="320" w:lineRule="auto"/>
      <w:ind w:left="1296"/>
      <w:outlineLvl w:val="6"/>
    </w:pPr>
    <w:rPr>
      <w:b/>
      <w:bCs/>
      <w:sz w:val="24"/>
      <w:szCs w:val="24"/>
    </w:rPr>
  </w:style>
  <w:style w:type="paragraph" w:styleId="9">
    <w:name w:val="heading 8"/>
    <w:basedOn w:val="1"/>
    <w:next w:val="1"/>
    <w:link w:val="49"/>
    <w:unhideWhenUsed/>
    <w:qFormat/>
    <w:uiPriority w:val="0"/>
    <w:pPr>
      <w:keepNext/>
      <w:keepLines/>
      <w:spacing w:before="240" w:after="64" w:line="320" w:lineRule="auto"/>
      <w:outlineLvl w:val="7"/>
    </w:pPr>
    <w:rPr>
      <w:rFonts w:ascii="Cambria" w:hAnsi="Cambria"/>
      <w:sz w:val="24"/>
      <w:szCs w:val="24"/>
    </w:rPr>
  </w:style>
  <w:style w:type="paragraph" w:styleId="10">
    <w:name w:val="heading 9"/>
    <w:basedOn w:val="1"/>
    <w:next w:val="1"/>
    <w:link w:val="50"/>
    <w:unhideWhenUsed/>
    <w:qFormat/>
    <w:uiPriority w:val="0"/>
    <w:pPr>
      <w:keepNext/>
      <w:keepLines/>
      <w:spacing w:before="240" w:after="64" w:line="320" w:lineRule="auto"/>
      <w:outlineLvl w:val="8"/>
    </w:pPr>
    <w:rPr>
      <w:rFonts w:ascii="Cambria" w:hAnsi="Cambria"/>
      <w:sz w:val="21"/>
      <w:szCs w:val="21"/>
    </w:rPr>
  </w:style>
  <w:style w:type="character" w:default="1" w:styleId="38">
    <w:name w:val="Default Paragraph Font"/>
    <w:semiHidden/>
    <w:unhideWhenUsed/>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style>
  <w:style w:type="paragraph" w:styleId="12">
    <w:name w:val="Normal Indent"/>
    <w:basedOn w:val="1"/>
    <w:link w:val="51"/>
    <w:autoRedefine/>
    <w:unhideWhenUsed/>
    <w:qFormat/>
    <w:uiPriority w:val="0"/>
    <w:pPr>
      <w:ind w:firstLine="420" w:firstLineChars="200"/>
    </w:pPr>
    <w:rPr>
      <w:sz w:val="28"/>
    </w:rPr>
  </w:style>
  <w:style w:type="paragraph" w:styleId="13">
    <w:name w:val="Document Map"/>
    <w:basedOn w:val="1"/>
    <w:link w:val="148"/>
    <w:autoRedefine/>
    <w:semiHidden/>
    <w:qFormat/>
    <w:uiPriority w:val="0"/>
    <w:pPr>
      <w:shd w:val="clear" w:color="auto" w:fill="000080"/>
    </w:pPr>
    <w:rPr>
      <w:sz w:val="21"/>
      <w:szCs w:val="24"/>
    </w:rPr>
  </w:style>
  <w:style w:type="paragraph" w:styleId="14">
    <w:name w:val="annotation text"/>
    <w:basedOn w:val="1"/>
    <w:link w:val="52"/>
    <w:autoRedefine/>
    <w:unhideWhenUsed/>
    <w:qFormat/>
    <w:uiPriority w:val="0"/>
    <w:pPr>
      <w:jc w:val="left"/>
    </w:pPr>
  </w:style>
  <w:style w:type="paragraph" w:styleId="15">
    <w:name w:val="Body Text"/>
    <w:basedOn w:val="1"/>
    <w:link w:val="53"/>
    <w:autoRedefine/>
    <w:qFormat/>
    <w:uiPriority w:val="1"/>
    <w:pPr>
      <w:jc w:val="left"/>
    </w:pPr>
    <w:rPr>
      <w:rFonts w:ascii="宋体" w:hAnsi="宋体" w:cs="宋体"/>
      <w:kern w:val="0"/>
      <w:sz w:val="28"/>
      <w:szCs w:val="28"/>
      <w:lang w:eastAsia="en-US"/>
    </w:rPr>
  </w:style>
  <w:style w:type="paragraph" w:styleId="16">
    <w:name w:val="Body Text Indent"/>
    <w:basedOn w:val="1"/>
    <w:link w:val="54"/>
    <w:autoRedefine/>
    <w:unhideWhenUsed/>
    <w:qFormat/>
    <w:uiPriority w:val="0"/>
    <w:pPr>
      <w:spacing w:after="120"/>
      <w:ind w:left="420" w:leftChars="200"/>
    </w:pPr>
  </w:style>
  <w:style w:type="paragraph" w:styleId="17">
    <w:name w:val="toc 5"/>
    <w:basedOn w:val="1"/>
    <w:next w:val="1"/>
    <w:autoRedefine/>
    <w:unhideWhenUsed/>
    <w:qFormat/>
    <w:uiPriority w:val="39"/>
    <w:pPr>
      <w:ind w:left="1680" w:leftChars="800"/>
    </w:pPr>
  </w:style>
  <w:style w:type="paragraph" w:styleId="18">
    <w:name w:val="toc 3"/>
    <w:basedOn w:val="1"/>
    <w:next w:val="1"/>
    <w:autoRedefine/>
    <w:unhideWhenUsed/>
    <w:qFormat/>
    <w:uiPriority w:val="39"/>
    <w:pPr>
      <w:ind w:left="840" w:leftChars="400"/>
    </w:pPr>
  </w:style>
  <w:style w:type="paragraph" w:styleId="19">
    <w:name w:val="Plain Text"/>
    <w:basedOn w:val="1"/>
    <w:link w:val="55"/>
    <w:autoRedefine/>
    <w:unhideWhenUsed/>
    <w:qFormat/>
    <w:uiPriority w:val="0"/>
    <w:rPr>
      <w:rFonts w:hAnsi="Courier New" w:cs="Courier New" w:asciiTheme="minorEastAsia" w:eastAsiaTheme="minorEastAsia"/>
    </w:rPr>
  </w:style>
  <w:style w:type="paragraph" w:styleId="20">
    <w:name w:val="toc 8"/>
    <w:basedOn w:val="1"/>
    <w:next w:val="1"/>
    <w:autoRedefine/>
    <w:unhideWhenUsed/>
    <w:qFormat/>
    <w:uiPriority w:val="39"/>
    <w:pPr>
      <w:ind w:left="2940" w:leftChars="1400"/>
    </w:pPr>
  </w:style>
  <w:style w:type="paragraph" w:styleId="21">
    <w:name w:val="Date"/>
    <w:basedOn w:val="1"/>
    <w:next w:val="1"/>
    <w:link w:val="56"/>
    <w:autoRedefine/>
    <w:semiHidden/>
    <w:qFormat/>
    <w:uiPriority w:val="0"/>
    <w:pPr>
      <w:spacing w:line="360" w:lineRule="auto"/>
      <w:ind w:left="100" w:leftChars="2500" w:firstLine="200" w:firstLineChars="200"/>
    </w:pPr>
    <w:rPr>
      <w:sz w:val="24"/>
      <w:szCs w:val="24"/>
    </w:rPr>
  </w:style>
  <w:style w:type="paragraph" w:styleId="22">
    <w:name w:val="Body Text Indent 2"/>
    <w:basedOn w:val="1"/>
    <w:link w:val="156"/>
    <w:autoRedefine/>
    <w:semiHidden/>
    <w:unhideWhenUsed/>
    <w:qFormat/>
    <w:uiPriority w:val="0"/>
    <w:pPr>
      <w:spacing w:after="120" w:line="480" w:lineRule="auto"/>
      <w:ind w:left="420" w:leftChars="200"/>
    </w:pPr>
    <w:rPr>
      <w:rFonts w:ascii="Calibri" w:hAnsi="Calibri"/>
      <w:sz w:val="21"/>
      <w:szCs w:val="22"/>
    </w:rPr>
  </w:style>
  <w:style w:type="paragraph" w:styleId="23">
    <w:name w:val="Balloon Text"/>
    <w:basedOn w:val="1"/>
    <w:link w:val="57"/>
    <w:autoRedefine/>
    <w:unhideWhenUsed/>
    <w:qFormat/>
    <w:uiPriority w:val="0"/>
    <w:rPr>
      <w:sz w:val="18"/>
      <w:szCs w:val="18"/>
    </w:rPr>
  </w:style>
  <w:style w:type="paragraph" w:styleId="24">
    <w:name w:val="footer"/>
    <w:basedOn w:val="1"/>
    <w:link w:val="58"/>
    <w:autoRedefine/>
    <w:unhideWhenUsed/>
    <w:qFormat/>
    <w:uiPriority w:val="99"/>
    <w:pPr>
      <w:tabs>
        <w:tab w:val="center" w:pos="4153"/>
        <w:tab w:val="right" w:pos="8306"/>
      </w:tabs>
      <w:snapToGrid w:val="0"/>
      <w:jc w:val="left"/>
    </w:pPr>
    <w:rPr>
      <w:sz w:val="18"/>
      <w:szCs w:val="18"/>
    </w:rPr>
  </w:style>
  <w:style w:type="paragraph" w:styleId="25">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style>
  <w:style w:type="paragraph" w:styleId="27">
    <w:name w:val="toc 4"/>
    <w:basedOn w:val="1"/>
    <w:next w:val="1"/>
    <w:autoRedefine/>
    <w:unhideWhenUsed/>
    <w:qFormat/>
    <w:uiPriority w:val="39"/>
    <w:pPr>
      <w:ind w:left="1260" w:leftChars="600"/>
    </w:pPr>
  </w:style>
  <w:style w:type="paragraph" w:styleId="28">
    <w:name w:val="Subtitle"/>
    <w:basedOn w:val="1"/>
    <w:next w:val="1"/>
    <w:link w:val="60"/>
    <w:autoRedefine/>
    <w:qFormat/>
    <w:uiPriority w:val="11"/>
    <w:pPr>
      <w:spacing w:before="240" w:after="60" w:line="312" w:lineRule="auto"/>
      <w:ind w:firstLine="200" w:firstLineChars="200"/>
      <w:jc w:val="center"/>
      <w:outlineLvl w:val="1"/>
    </w:pPr>
    <w:rPr>
      <w:rFonts w:ascii="Calibri Light" w:hAnsi="Calibri Light"/>
      <w:bCs/>
      <w:kern w:val="28"/>
      <w:sz w:val="24"/>
      <w:szCs w:val="32"/>
    </w:rPr>
  </w:style>
  <w:style w:type="paragraph" w:styleId="29">
    <w:name w:val="toc 6"/>
    <w:basedOn w:val="1"/>
    <w:next w:val="1"/>
    <w:autoRedefine/>
    <w:unhideWhenUsed/>
    <w:qFormat/>
    <w:uiPriority w:val="39"/>
    <w:pPr>
      <w:ind w:left="2100" w:leftChars="1000"/>
    </w:pPr>
  </w:style>
  <w:style w:type="paragraph" w:styleId="30">
    <w:name w:val="Body Text Indent 3"/>
    <w:basedOn w:val="1"/>
    <w:link w:val="61"/>
    <w:autoRedefine/>
    <w:unhideWhenUsed/>
    <w:qFormat/>
    <w:uiPriority w:val="0"/>
    <w:pPr>
      <w:spacing w:after="120"/>
      <w:ind w:left="420" w:leftChars="200"/>
    </w:pPr>
    <w:rPr>
      <w:sz w:val="16"/>
      <w:szCs w:val="16"/>
    </w:rPr>
  </w:style>
  <w:style w:type="paragraph" w:styleId="31">
    <w:name w:val="toc 2"/>
    <w:basedOn w:val="1"/>
    <w:next w:val="1"/>
    <w:autoRedefine/>
    <w:unhideWhenUsed/>
    <w:qFormat/>
    <w:uiPriority w:val="39"/>
    <w:pPr>
      <w:ind w:left="420" w:leftChars="200"/>
    </w:pPr>
  </w:style>
  <w:style w:type="paragraph" w:styleId="32">
    <w:name w:val="toc 9"/>
    <w:basedOn w:val="1"/>
    <w:next w:val="1"/>
    <w:autoRedefine/>
    <w:unhideWhenUsed/>
    <w:qFormat/>
    <w:uiPriority w:val="39"/>
    <w:pPr>
      <w:ind w:left="3360" w:leftChars="1600"/>
    </w:pPr>
  </w:style>
  <w:style w:type="paragraph" w:styleId="33">
    <w:name w:val="Normal (Web)"/>
    <w:basedOn w:val="1"/>
    <w:autoRedefine/>
    <w:unhideWhenUsed/>
    <w:qFormat/>
    <w:uiPriority w:val="0"/>
    <w:rPr>
      <w:sz w:val="24"/>
      <w:szCs w:val="24"/>
    </w:rPr>
  </w:style>
  <w:style w:type="paragraph" w:styleId="34">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35">
    <w:name w:val="annotation subject"/>
    <w:basedOn w:val="14"/>
    <w:next w:val="14"/>
    <w:link w:val="179"/>
    <w:autoRedefine/>
    <w:semiHidden/>
    <w:unhideWhenUsed/>
    <w:qFormat/>
    <w:uiPriority w:val="99"/>
    <w:rPr>
      <w:b/>
      <w:bCs/>
    </w:rPr>
  </w:style>
  <w:style w:type="table" w:styleId="37">
    <w:name w:val="Table Grid"/>
    <w:basedOn w:val="36"/>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autoRedefine/>
    <w:unhideWhenUsed/>
    <w:qFormat/>
    <w:uiPriority w:val="0"/>
  </w:style>
  <w:style w:type="character" w:styleId="40">
    <w:name w:val="Hyperlink"/>
    <w:basedOn w:val="38"/>
    <w:autoRedefine/>
    <w:unhideWhenUsed/>
    <w:qFormat/>
    <w:uiPriority w:val="99"/>
    <w:rPr>
      <w:color w:val="0563C1" w:themeColor="hyperlink"/>
      <w:u w:val="single"/>
      <w14:textFill>
        <w14:solidFill>
          <w14:schemeClr w14:val="hlink"/>
        </w14:solidFill>
      </w14:textFill>
    </w:rPr>
  </w:style>
  <w:style w:type="character" w:styleId="41">
    <w:name w:val="annotation reference"/>
    <w:basedOn w:val="38"/>
    <w:autoRedefine/>
    <w:unhideWhenUsed/>
    <w:qFormat/>
    <w:uiPriority w:val="99"/>
    <w:rPr>
      <w:sz w:val="21"/>
      <w:szCs w:val="21"/>
    </w:rPr>
  </w:style>
  <w:style w:type="character" w:customStyle="1" w:styleId="42">
    <w:name w:val="标题 1 字符"/>
    <w:basedOn w:val="38"/>
    <w:link w:val="2"/>
    <w:autoRedefine/>
    <w:qFormat/>
    <w:uiPriority w:val="9"/>
    <w:rPr>
      <w:rFonts w:ascii="Times New Roman" w:hAnsi="Times New Roman" w:eastAsia="宋体" w:cs="Times New Roman"/>
      <w:b/>
      <w:bCs/>
      <w:kern w:val="44"/>
      <w:sz w:val="44"/>
      <w:szCs w:val="44"/>
    </w:rPr>
  </w:style>
  <w:style w:type="character" w:customStyle="1" w:styleId="43">
    <w:name w:val="标题 2 字符"/>
    <w:basedOn w:val="38"/>
    <w:link w:val="3"/>
    <w:autoRedefine/>
    <w:qFormat/>
    <w:uiPriority w:val="9"/>
    <w:rPr>
      <w:rFonts w:asciiTheme="majorHAnsi" w:hAnsiTheme="majorHAnsi" w:eastAsiaTheme="majorEastAsia" w:cstheme="majorBidi"/>
      <w:b/>
      <w:bCs/>
      <w:sz w:val="32"/>
      <w:szCs w:val="32"/>
    </w:rPr>
  </w:style>
  <w:style w:type="character" w:customStyle="1" w:styleId="44">
    <w:name w:val="标题 3 字符"/>
    <w:basedOn w:val="38"/>
    <w:link w:val="4"/>
    <w:qFormat/>
    <w:uiPriority w:val="0"/>
    <w:rPr>
      <w:rFonts w:ascii="Times New Roman" w:hAnsi="Times New Roman" w:eastAsia="宋体" w:cs="Times New Roman"/>
      <w:b/>
      <w:bCs/>
      <w:sz w:val="32"/>
      <w:szCs w:val="32"/>
    </w:rPr>
  </w:style>
  <w:style w:type="character" w:customStyle="1" w:styleId="45">
    <w:name w:val="标题 4 字符"/>
    <w:basedOn w:val="38"/>
    <w:link w:val="5"/>
    <w:qFormat/>
    <w:uiPriority w:val="9"/>
    <w:rPr>
      <w:rFonts w:asciiTheme="majorHAnsi" w:hAnsiTheme="majorHAnsi" w:eastAsiaTheme="majorEastAsia" w:cstheme="majorBidi"/>
      <w:b/>
      <w:bCs/>
      <w:sz w:val="28"/>
      <w:szCs w:val="28"/>
    </w:rPr>
  </w:style>
  <w:style w:type="character" w:customStyle="1" w:styleId="46">
    <w:name w:val="标题 5 字符"/>
    <w:basedOn w:val="38"/>
    <w:link w:val="6"/>
    <w:qFormat/>
    <w:uiPriority w:val="0"/>
    <w:rPr>
      <w:rFonts w:ascii="Times New Roman" w:hAnsi="Times New Roman" w:eastAsia="宋体" w:cs="Times New Roman"/>
      <w:b/>
      <w:bCs/>
      <w:sz w:val="28"/>
      <w:szCs w:val="28"/>
    </w:rPr>
  </w:style>
  <w:style w:type="character" w:customStyle="1" w:styleId="47">
    <w:name w:val="标题 6 字符1"/>
    <w:basedOn w:val="38"/>
    <w:link w:val="7"/>
    <w:semiHidden/>
    <w:qFormat/>
    <w:uiPriority w:val="9"/>
    <w:rPr>
      <w:rFonts w:asciiTheme="majorHAnsi" w:hAnsiTheme="majorHAnsi" w:eastAsiaTheme="majorEastAsia" w:cstheme="majorBidi"/>
      <w:b/>
      <w:bCs/>
      <w:sz w:val="24"/>
      <w:szCs w:val="24"/>
    </w:rPr>
  </w:style>
  <w:style w:type="character" w:customStyle="1" w:styleId="48">
    <w:name w:val="标题 7 字符"/>
    <w:basedOn w:val="38"/>
    <w:link w:val="8"/>
    <w:qFormat/>
    <w:uiPriority w:val="0"/>
    <w:rPr>
      <w:rFonts w:ascii="Times New Roman" w:hAnsi="Times New Roman" w:eastAsia="宋体" w:cs="Times New Roman"/>
      <w:b/>
      <w:bCs/>
      <w:sz w:val="24"/>
      <w:szCs w:val="24"/>
    </w:rPr>
  </w:style>
  <w:style w:type="character" w:customStyle="1" w:styleId="49">
    <w:name w:val="标题 8 字符1"/>
    <w:basedOn w:val="38"/>
    <w:link w:val="9"/>
    <w:semiHidden/>
    <w:qFormat/>
    <w:uiPriority w:val="9"/>
    <w:rPr>
      <w:rFonts w:asciiTheme="majorHAnsi" w:hAnsiTheme="majorHAnsi" w:eastAsiaTheme="majorEastAsia" w:cstheme="majorBidi"/>
      <w:sz w:val="24"/>
      <w:szCs w:val="24"/>
    </w:rPr>
  </w:style>
  <w:style w:type="character" w:customStyle="1" w:styleId="50">
    <w:name w:val="标题 9 字符1"/>
    <w:basedOn w:val="38"/>
    <w:link w:val="10"/>
    <w:semiHidden/>
    <w:qFormat/>
    <w:uiPriority w:val="9"/>
    <w:rPr>
      <w:rFonts w:asciiTheme="majorHAnsi" w:hAnsiTheme="majorHAnsi" w:eastAsiaTheme="majorEastAsia" w:cstheme="majorBidi"/>
      <w:szCs w:val="21"/>
    </w:rPr>
  </w:style>
  <w:style w:type="character" w:customStyle="1" w:styleId="51">
    <w:name w:val="正文缩进 字符"/>
    <w:link w:val="12"/>
    <w:uiPriority w:val="0"/>
    <w:rPr>
      <w:rFonts w:ascii="Times New Roman" w:hAnsi="Times New Roman" w:eastAsia="宋体" w:cs="Times New Roman"/>
      <w:kern w:val="2"/>
      <w:sz w:val="28"/>
    </w:rPr>
  </w:style>
  <w:style w:type="character" w:customStyle="1" w:styleId="52">
    <w:name w:val="批注文字 字符"/>
    <w:basedOn w:val="38"/>
    <w:link w:val="14"/>
    <w:semiHidden/>
    <w:qFormat/>
    <w:uiPriority w:val="99"/>
    <w:rPr>
      <w:rFonts w:ascii="Times New Roman" w:hAnsi="Times New Roman" w:eastAsia="宋体" w:cs="Times New Roman"/>
      <w:sz w:val="20"/>
      <w:szCs w:val="20"/>
    </w:rPr>
  </w:style>
  <w:style w:type="character" w:customStyle="1" w:styleId="53">
    <w:name w:val="正文文本 字符"/>
    <w:basedOn w:val="38"/>
    <w:link w:val="15"/>
    <w:qFormat/>
    <w:uiPriority w:val="1"/>
    <w:rPr>
      <w:rFonts w:ascii="宋体" w:hAnsi="宋体" w:eastAsia="宋体" w:cs="宋体"/>
      <w:kern w:val="0"/>
      <w:sz w:val="28"/>
      <w:szCs w:val="28"/>
      <w:lang w:eastAsia="en-US"/>
    </w:rPr>
  </w:style>
  <w:style w:type="character" w:customStyle="1" w:styleId="54">
    <w:name w:val="正文文本缩进 字符"/>
    <w:basedOn w:val="38"/>
    <w:link w:val="16"/>
    <w:semiHidden/>
    <w:qFormat/>
    <w:uiPriority w:val="99"/>
    <w:rPr>
      <w:rFonts w:ascii="Times New Roman" w:hAnsi="Times New Roman" w:eastAsia="宋体" w:cs="Times New Roman"/>
      <w:sz w:val="20"/>
      <w:szCs w:val="20"/>
    </w:rPr>
  </w:style>
  <w:style w:type="character" w:customStyle="1" w:styleId="55">
    <w:name w:val="纯文本 字符"/>
    <w:basedOn w:val="38"/>
    <w:link w:val="19"/>
    <w:semiHidden/>
    <w:qFormat/>
    <w:uiPriority w:val="99"/>
    <w:rPr>
      <w:rFonts w:hAnsi="Courier New" w:cs="Courier New" w:asciiTheme="minorEastAsia"/>
      <w:sz w:val="20"/>
      <w:szCs w:val="20"/>
    </w:rPr>
  </w:style>
  <w:style w:type="character" w:customStyle="1" w:styleId="56">
    <w:name w:val="日期 字符"/>
    <w:basedOn w:val="38"/>
    <w:link w:val="21"/>
    <w:semiHidden/>
    <w:qFormat/>
    <w:uiPriority w:val="0"/>
    <w:rPr>
      <w:rFonts w:ascii="Times New Roman" w:hAnsi="Times New Roman" w:eastAsia="宋体" w:cs="Times New Roman"/>
      <w:sz w:val="24"/>
      <w:szCs w:val="24"/>
    </w:rPr>
  </w:style>
  <w:style w:type="character" w:customStyle="1" w:styleId="57">
    <w:name w:val="批注框文本 字符"/>
    <w:basedOn w:val="38"/>
    <w:link w:val="23"/>
    <w:semiHidden/>
    <w:qFormat/>
    <w:uiPriority w:val="99"/>
    <w:rPr>
      <w:rFonts w:ascii="Times New Roman" w:hAnsi="Times New Roman" w:eastAsia="宋体" w:cs="Times New Roman"/>
      <w:sz w:val="18"/>
      <w:szCs w:val="18"/>
    </w:rPr>
  </w:style>
  <w:style w:type="character" w:customStyle="1" w:styleId="58">
    <w:name w:val="页脚 字符"/>
    <w:basedOn w:val="38"/>
    <w:link w:val="24"/>
    <w:autoRedefine/>
    <w:qFormat/>
    <w:uiPriority w:val="99"/>
    <w:rPr>
      <w:rFonts w:ascii="Times New Roman" w:hAnsi="Times New Roman" w:eastAsia="宋体" w:cs="Times New Roman"/>
      <w:sz w:val="18"/>
      <w:szCs w:val="18"/>
    </w:rPr>
  </w:style>
  <w:style w:type="character" w:customStyle="1" w:styleId="59">
    <w:name w:val="页眉 字符"/>
    <w:basedOn w:val="38"/>
    <w:link w:val="25"/>
    <w:qFormat/>
    <w:uiPriority w:val="99"/>
    <w:rPr>
      <w:rFonts w:ascii="Times New Roman" w:hAnsi="Times New Roman" w:eastAsia="宋体" w:cs="Times New Roman"/>
      <w:sz w:val="18"/>
      <w:szCs w:val="18"/>
    </w:rPr>
  </w:style>
  <w:style w:type="character" w:customStyle="1" w:styleId="60">
    <w:name w:val="副标题 字符"/>
    <w:basedOn w:val="38"/>
    <w:link w:val="28"/>
    <w:qFormat/>
    <w:uiPriority w:val="11"/>
    <w:rPr>
      <w:rFonts w:ascii="Calibri Light" w:hAnsi="Calibri Light" w:eastAsia="宋体" w:cs="Times New Roman"/>
      <w:bCs/>
      <w:kern w:val="28"/>
      <w:sz w:val="24"/>
      <w:szCs w:val="32"/>
    </w:rPr>
  </w:style>
  <w:style w:type="character" w:customStyle="1" w:styleId="61">
    <w:name w:val="正文文本缩进 3 字符"/>
    <w:basedOn w:val="38"/>
    <w:link w:val="30"/>
    <w:uiPriority w:val="0"/>
    <w:rPr>
      <w:rFonts w:ascii="Times New Roman" w:hAnsi="Times New Roman" w:eastAsia="宋体" w:cs="Times New Roman"/>
      <w:kern w:val="2"/>
      <w:sz w:val="16"/>
      <w:szCs w:val="16"/>
    </w:rPr>
  </w:style>
  <w:style w:type="character" w:customStyle="1" w:styleId="62">
    <w:name w:val="标题 字符1"/>
    <w:basedOn w:val="38"/>
    <w:link w:val="34"/>
    <w:qFormat/>
    <w:uiPriority w:val="10"/>
    <w:rPr>
      <w:rFonts w:asciiTheme="majorHAnsi" w:hAnsiTheme="majorHAnsi" w:eastAsiaTheme="majorEastAsia" w:cstheme="majorBidi"/>
      <w:b/>
      <w:bCs/>
      <w:sz w:val="32"/>
      <w:szCs w:val="32"/>
    </w:rPr>
  </w:style>
  <w:style w:type="paragraph" w:customStyle="1" w:styleId="63">
    <w:name w:val="145 1.1"/>
    <w:basedOn w:val="1"/>
    <w:next w:val="64"/>
    <w:link w:val="66"/>
    <w:qFormat/>
    <w:uiPriority w:val="0"/>
    <w:pPr>
      <w:keepNext/>
      <w:keepLines/>
      <w:tabs>
        <w:tab w:val="left" w:pos="420"/>
      </w:tabs>
      <w:adjustRightInd w:val="0"/>
      <w:spacing w:before="156" w:beforeLines="50" w:after="156" w:afterLines="50" w:line="540" w:lineRule="exact"/>
      <w:jc w:val="left"/>
      <w:textAlignment w:val="baseline"/>
      <w:outlineLvl w:val="1"/>
    </w:pPr>
    <w:rPr>
      <w:rFonts w:eastAsia="黑体"/>
      <w:bCs/>
      <w:kern w:val="0"/>
      <w:sz w:val="32"/>
      <w:szCs w:val="32"/>
    </w:rPr>
  </w:style>
  <w:style w:type="paragraph" w:customStyle="1" w:styleId="64">
    <w:name w:val="145 正文"/>
    <w:basedOn w:val="1"/>
    <w:link w:val="65"/>
    <w:qFormat/>
    <w:uiPriority w:val="0"/>
    <w:pPr>
      <w:suppressAutoHyphens/>
      <w:autoSpaceDE w:val="0"/>
      <w:autoSpaceDN w:val="0"/>
      <w:adjustRightInd w:val="0"/>
      <w:snapToGrid w:val="0"/>
      <w:spacing w:line="560" w:lineRule="exact"/>
      <w:ind w:firstLine="640" w:firstLineChars="200"/>
    </w:pPr>
    <w:rPr>
      <w:rFonts w:eastAsia="仿宋"/>
      <w:kern w:val="1"/>
      <w:sz w:val="32"/>
      <w:szCs w:val="24"/>
    </w:rPr>
  </w:style>
  <w:style w:type="character" w:customStyle="1" w:styleId="65">
    <w:name w:val="145 正文 Char"/>
    <w:basedOn w:val="38"/>
    <w:link w:val="64"/>
    <w:qFormat/>
    <w:uiPriority w:val="0"/>
    <w:rPr>
      <w:rFonts w:ascii="Times New Roman" w:hAnsi="Times New Roman" w:eastAsia="仿宋" w:cs="Times New Roman"/>
      <w:kern w:val="1"/>
      <w:sz w:val="32"/>
      <w:szCs w:val="24"/>
    </w:rPr>
  </w:style>
  <w:style w:type="character" w:customStyle="1" w:styleId="66">
    <w:name w:val="145 1.1 Char"/>
    <w:basedOn w:val="38"/>
    <w:link w:val="63"/>
    <w:qFormat/>
    <w:uiPriority w:val="0"/>
    <w:rPr>
      <w:rFonts w:ascii="Times New Roman" w:hAnsi="Times New Roman" w:eastAsia="黑体" w:cs="Times New Roman"/>
      <w:bCs/>
      <w:kern w:val="0"/>
      <w:sz w:val="32"/>
      <w:szCs w:val="32"/>
    </w:rPr>
  </w:style>
  <w:style w:type="paragraph" w:customStyle="1" w:styleId="67">
    <w:name w:val="145 1.1.1"/>
    <w:basedOn w:val="1"/>
    <w:next w:val="64"/>
    <w:link w:val="68"/>
    <w:qFormat/>
    <w:uiPriority w:val="0"/>
    <w:pPr>
      <w:keepNext/>
      <w:keepLines/>
      <w:adjustRightInd w:val="0"/>
      <w:snapToGrid w:val="0"/>
      <w:spacing w:before="156" w:beforeLines="50" w:after="156" w:afterLines="50" w:line="540" w:lineRule="exact"/>
      <w:jc w:val="left"/>
      <w:outlineLvl w:val="2"/>
    </w:pPr>
    <w:rPr>
      <w:rFonts w:eastAsia="华文楷体"/>
      <w:bCs/>
      <w:snapToGrid w:val="0"/>
      <w:sz w:val="32"/>
      <w:szCs w:val="28"/>
    </w:rPr>
  </w:style>
  <w:style w:type="character" w:customStyle="1" w:styleId="68">
    <w:name w:val="145 1.1.1 Char"/>
    <w:basedOn w:val="38"/>
    <w:link w:val="67"/>
    <w:qFormat/>
    <w:uiPriority w:val="0"/>
    <w:rPr>
      <w:rFonts w:ascii="Times New Roman" w:hAnsi="Times New Roman" w:eastAsia="华文楷体" w:cs="Times New Roman"/>
      <w:bCs/>
      <w:snapToGrid w:val="0"/>
      <w:sz w:val="32"/>
      <w:szCs w:val="28"/>
    </w:rPr>
  </w:style>
  <w:style w:type="paragraph" w:customStyle="1" w:styleId="69">
    <w:name w:val="p0"/>
    <w:basedOn w:val="1"/>
    <w:qFormat/>
    <w:uiPriority w:val="0"/>
    <w:pPr>
      <w:widowControl/>
      <w:jc w:val="left"/>
    </w:pPr>
    <w:rPr>
      <w:rFonts w:ascii="宋体" w:hAnsi="宋体" w:cs="宋体"/>
      <w:kern w:val="0"/>
      <w:sz w:val="24"/>
      <w:szCs w:val="24"/>
    </w:rPr>
  </w:style>
  <w:style w:type="paragraph" w:customStyle="1" w:styleId="70">
    <w:name w:val="145 专栏"/>
    <w:basedOn w:val="1"/>
    <w:link w:val="71"/>
    <w:qFormat/>
    <w:uiPriority w:val="0"/>
    <w:pPr>
      <w:snapToGrid w:val="0"/>
      <w:jc w:val="center"/>
      <w:outlineLvl w:val="2"/>
    </w:pPr>
    <w:rPr>
      <w:rFonts w:eastAsia="楷体_GB2312"/>
      <w:b/>
      <w:sz w:val="28"/>
      <w:szCs w:val="28"/>
    </w:rPr>
  </w:style>
  <w:style w:type="character" w:customStyle="1" w:styleId="71">
    <w:name w:val="145 专栏 Char"/>
    <w:basedOn w:val="38"/>
    <w:link w:val="70"/>
    <w:qFormat/>
    <w:uiPriority w:val="0"/>
    <w:rPr>
      <w:rFonts w:ascii="Times New Roman" w:hAnsi="Times New Roman" w:eastAsia="楷体_GB2312" w:cs="Times New Roman"/>
      <w:b/>
      <w:sz w:val="28"/>
      <w:szCs w:val="28"/>
    </w:rPr>
  </w:style>
  <w:style w:type="paragraph" w:customStyle="1" w:styleId="72">
    <w:name w:val="145 专栏正文"/>
    <w:basedOn w:val="1"/>
    <w:link w:val="73"/>
    <w:qFormat/>
    <w:uiPriority w:val="0"/>
    <w:pPr>
      <w:adjustRightInd w:val="0"/>
      <w:snapToGrid w:val="0"/>
      <w:ind w:firstLine="561"/>
    </w:pPr>
    <w:rPr>
      <w:rFonts w:eastAsia="华文楷体"/>
      <w:color w:val="000000"/>
      <w:sz w:val="28"/>
      <w:szCs w:val="28"/>
    </w:rPr>
  </w:style>
  <w:style w:type="character" w:customStyle="1" w:styleId="73">
    <w:name w:val="145 专栏正文 Char"/>
    <w:basedOn w:val="38"/>
    <w:link w:val="72"/>
    <w:qFormat/>
    <w:uiPriority w:val="0"/>
    <w:rPr>
      <w:rFonts w:ascii="Times New Roman" w:hAnsi="Times New Roman" w:eastAsia="华文楷体" w:cs="Times New Roman"/>
      <w:color w:val="000000"/>
      <w:sz w:val="28"/>
      <w:szCs w:val="28"/>
    </w:rPr>
  </w:style>
  <w:style w:type="paragraph" w:customStyle="1" w:styleId="74">
    <w:name w:val="145 1."/>
    <w:basedOn w:val="1"/>
    <w:next w:val="64"/>
    <w:link w:val="75"/>
    <w:qFormat/>
    <w:uiPriority w:val="0"/>
    <w:pPr>
      <w:keepNext/>
      <w:keepLines/>
      <w:adjustRightInd w:val="0"/>
      <w:snapToGrid w:val="0"/>
      <w:spacing w:before="312" w:beforeLines="100" w:after="156" w:afterLines="50" w:line="360" w:lineRule="auto"/>
      <w:jc w:val="center"/>
      <w:outlineLvl w:val="0"/>
    </w:pPr>
    <w:rPr>
      <w:rFonts w:eastAsia="黑体"/>
      <w:bCs/>
      <w:kern w:val="44"/>
      <w:sz w:val="36"/>
      <w:szCs w:val="36"/>
    </w:rPr>
  </w:style>
  <w:style w:type="character" w:customStyle="1" w:styleId="75">
    <w:name w:val="145 1. Char"/>
    <w:basedOn w:val="38"/>
    <w:link w:val="74"/>
    <w:qFormat/>
    <w:uiPriority w:val="0"/>
    <w:rPr>
      <w:rFonts w:ascii="Times New Roman" w:hAnsi="Times New Roman" w:eastAsia="黑体" w:cs="Times New Roman"/>
      <w:bCs/>
      <w:kern w:val="44"/>
      <w:sz w:val="36"/>
      <w:szCs w:val="36"/>
    </w:rPr>
  </w:style>
  <w:style w:type="paragraph" w:customStyle="1" w:styleId="76">
    <w:name w:val="标题 61"/>
    <w:basedOn w:val="1"/>
    <w:next w:val="1"/>
    <w:unhideWhenUsed/>
    <w:qFormat/>
    <w:uiPriority w:val="0"/>
    <w:pPr>
      <w:keepNext/>
      <w:keepLines/>
      <w:spacing w:before="240" w:after="64" w:line="320" w:lineRule="auto"/>
      <w:ind w:left="1152"/>
      <w:outlineLvl w:val="5"/>
    </w:pPr>
    <w:rPr>
      <w:rFonts w:ascii="Cambria" w:hAnsi="Cambria"/>
      <w:b/>
      <w:bCs/>
      <w:sz w:val="24"/>
      <w:szCs w:val="24"/>
    </w:rPr>
  </w:style>
  <w:style w:type="paragraph" w:customStyle="1" w:styleId="77">
    <w:name w:val="标题 81"/>
    <w:basedOn w:val="1"/>
    <w:next w:val="1"/>
    <w:unhideWhenUsed/>
    <w:qFormat/>
    <w:uiPriority w:val="0"/>
    <w:pPr>
      <w:keepNext/>
      <w:keepLines/>
      <w:spacing w:before="240" w:after="64" w:line="320" w:lineRule="auto"/>
      <w:ind w:left="1440"/>
      <w:outlineLvl w:val="7"/>
    </w:pPr>
    <w:rPr>
      <w:rFonts w:ascii="Cambria" w:hAnsi="Cambria"/>
      <w:sz w:val="24"/>
      <w:szCs w:val="24"/>
    </w:rPr>
  </w:style>
  <w:style w:type="paragraph" w:customStyle="1" w:styleId="78">
    <w:name w:val="标题 91"/>
    <w:basedOn w:val="1"/>
    <w:next w:val="1"/>
    <w:unhideWhenUsed/>
    <w:qFormat/>
    <w:uiPriority w:val="0"/>
    <w:pPr>
      <w:keepNext/>
      <w:keepLines/>
      <w:spacing w:before="240" w:after="64" w:line="320" w:lineRule="auto"/>
      <w:ind w:left="1584"/>
      <w:outlineLvl w:val="8"/>
    </w:pPr>
    <w:rPr>
      <w:rFonts w:ascii="Cambria" w:hAnsi="Cambria"/>
      <w:sz w:val="24"/>
      <w:szCs w:val="21"/>
    </w:rPr>
  </w:style>
  <w:style w:type="paragraph" w:customStyle="1" w:styleId="79">
    <w:name w:val="目录 71"/>
    <w:basedOn w:val="1"/>
    <w:next w:val="1"/>
    <w:unhideWhenUsed/>
    <w:qFormat/>
    <w:uiPriority w:val="39"/>
    <w:pPr>
      <w:ind w:left="2520" w:leftChars="1200"/>
    </w:pPr>
    <w:rPr>
      <w:rFonts w:ascii="Calibri" w:hAnsi="Calibri"/>
      <w:sz w:val="21"/>
      <w:szCs w:val="22"/>
    </w:rPr>
  </w:style>
  <w:style w:type="paragraph" w:customStyle="1" w:styleId="80">
    <w:name w:val="题注1"/>
    <w:basedOn w:val="1"/>
    <w:next w:val="1"/>
    <w:unhideWhenUsed/>
    <w:qFormat/>
    <w:uiPriority w:val="35"/>
    <w:pPr>
      <w:spacing w:before="50" w:beforeLines="50" w:after="50" w:afterLines="50" w:line="360" w:lineRule="auto"/>
      <w:ind w:firstLine="200" w:firstLineChars="200"/>
      <w:jc w:val="center"/>
    </w:pPr>
    <w:rPr>
      <w:b/>
      <w:sz w:val="24"/>
    </w:rPr>
  </w:style>
  <w:style w:type="paragraph" w:customStyle="1" w:styleId="81">
    <w:name w:val="目录 51"/>
    <w:basedOn w:val="1"/>
    <w:next w:val="1"/>
    <w:unhideWhenUsed/>
    <w:qFormat/>
    <w:uiPriority w:val="39"/>
    <w:pPr>
      <w:ind w:left="1680" w:leftChars="800"/>
    </w:pPr>
    <w:rPr>
      <w:rFonts w:ascii="Calibri" w:hAnsi="Calibri"/>
      <w:sz w:val="21"/>
      <w:szCs w:val="22"/>
    </w:rPr>
  </w:style>
  <w:style w:type="paragraph" w:customStyle="1" w:styleId="82">
    <w:name w:val="目录 81"/>
    <w:basedOn w:val="1"/>
    <w:next w:val="1"/>
    <w:unhideWhenUsed/>
    <w:qFormat/>
    <w:uiPriority w:val="39"/>
    <w:pPr>
      <w:ind w:left="2940" w:leftChars="1400"/>
    </w:pPr>
    <w:rPr>
      <w:rFonts w:ascii="Calibri" w:hAnsi="Calibri"/>
      <w:sz w:val="21"/>
      <w:szCs w:val="22"/>
    </w:rPr>
  </w:style>
  <w:style w:type="paragraph" w:customStyle="1" w:styleId="83">
    <w:name w:val="目录 41"/>
    <w:basedOn w:val="1"/>
    <w:next w:val="1"/>
    <w:unhideWhenUsed/>
    <w:qFormat/>
    <w:uiPriority w:val="39"/>
    <w:pPr>
      <w:ind w:left="1260" w:leftChars="600"/>
    </w:pPr>
    <w:rPr>
      <w:rFonts w:ascii="Calibri" w:hAnsi="Calibri"/>
      <w:sz w:val="21"/>
      <w:szCs w:val="22"/>
    </w:rPr>
  </w:style>
  <w:style w:type="paragraph" w:customStyle="1" w:styleId="84">
    <w:name w:val="目录 61"/>
    <w:basedOn w:val="1"/>
    <w:next w:val="1"/>
    <w:unhideWhenUsed/>
    <w:qFormat/>
    <w:uiPriority w:val="39"/>
    <w:pPr>
      <w:ind w:left="2100" w:leftChars="1000"/>
    </w:pPr>
    <w:rPr>
      <w:rFonts w:ascii="Calibri" w:hAnsi="Calibri"/>
      <w:sz w:val="21"/>
      <w:szCs w:val="22"/>
    </w:rPr>
  </w:style>
  <w:style w:type="paragraph" w:customStyle="1" w:styleId="85">
    <w:name w:val="目录 91"/>
    <w:basedOn w:val="1"/>
    <w:next w:val="1"/>
    <w:unhideWhenUsed/>
    <w:qFormat/>
    <w:uiPriority w:val="39"/>
    <w:pPr>
      <w:ind w:left="3360" w:leftChars="1600"/>
    </w:pPr>
    <w:rPr>
      <w:rFonts w:ascii="Calibri" w:hAnsi="Calibri"/>
      <w:sz w:val="21"/>
      <w:szCs w:val="22"/>
    </w:rPr>
  </w:style>
  <w:style w:type="paragraph" w:customStyle="1" w:styleId="86">
    <w:name w:val="普通(网站)1"/>
    <w:basedOn w:val="1"/>
    <w:next w:val="33"/>
    <w:unhideWhenUsed/>
    <w:qFormat/>
    <w:uiPriority w:val="99"/>
    <w:pPr>
      <w:spacing w:line="360" w:lineRule="auto"/>
      <w:ind w:firstLine="200" w:firstLineChars="200"/>
      <w:jc w:val="left"/>
    </w:pPr>
    <w:rPr>
      <w:rFonts w:ascii="宋体" w:hAnsi="宋体"/>
      <w:sz w:val="24"/>
      <w:szCs w:val="24"/>
    </w:rPr>
  </w:style>
  <w:style w:type="paragraph" w:customStyle="1" w:styleId="87">
    <w:name w:val="标题1"/>
    <w:basedOn w:val="1"/>
    <w:next w:val="1"/>
    <w:qFormat/>
    <w:uiPriority w:val="10"/>
    <w:pPr>
      <w:spacing w:before="240" w:after="60" w:line="360" w:lineRule="auto"/>
      <w:outlineLvl w:val="0"/>
    </w:pPr>
    <w:rPr>
      <w:rFonts w:ascii="Cambria" w:hAnsi="Cambria"/>
      <w:b/>
      <w:bCs/>
      <w:sz w:val="32"/>
      <w:szCs w:val="32"/>
    </w:rPr>
  </w:style>
  <w:style w:type="table" w:customStyle="1" w:styleId="88">
    <w:name w:val="网格型-中对齐1"/>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标题 6 字符"/>
    <w:basedOn w:val="38"/>
    <w:qFormat/>
    <w:uiPriority w:val="0"/>
    <w:rPr>
      <w:rFonts w:ascii="Cambria" w:hAnsi="Cambria" w:eastAsia="宋体" w:cs="Times New Roman"/>
      <w:b/>
      <w:bCs/>
      <w:kern w:val="2"/>
      <w:sz w:val="24"/>
      <w:szCs w:val="24"/>
    </w:rPr>
  </w:style>
  <w:style w:type="character" w:customStyle="1" w:styleId="90">
    <w:name w:val="标题 8 字符"/>
    <w:basedOn w:val="38"/>
    <w:qFormat/>
    <w:uiPriority w:val="0"/>
    <w:rPr>
      <w:rFonts w:ascii="Cambria" w:hAnsi="Cambria" w:eastAsia="宋体" w:cs="Times New Roman"/>
      <w:kern w:val="2"/>
      <w:sz w:val="24"/>
      <w:szCs w:val="24"/>
    </w:rPr>
  </w:style>
  <w:style w:type="character" w:customStyle="1" w:styleId="91">
    <w:name w:val="标题 9 字符"/>
    <w:basedOn w:val="38"/>
    <w:qFormat/>
    <w:uiPriority w:val="0"/>
    <w:rPr>
      <w:rFonts w:ascii="Cambria" w:hAnsi="Cambria" w:eastAsia="宋体" w:cs="Times New Roman"/>
      <w:kern w:val="2"/>
      <w:sz w:val="21"/>
      <w:szCs w:val="21"/>
    </w:rPr>
  </w:style>
  <w:style w:type="character" w:customStyle="1" w:styleId="92">
    <w:name w:val="标题 字符"/>
    <w:basedOn w:val="38"/>
    <w:qFormat/>
    <w:uiPriority w:val="10"/>
    <w:rPr>
      <w:rFonts w:ascii="Cambria" w:hAnsi="Cambria" w:eastAsia="宋体" w:cs="Times New Roman"/>
      <w:b/>
      <w:bCs/>
      <w:kern w:val="2"/>
      <w:sz w:val="32"/>
      <w:szCs w:val="32"/>
    </w:rPr>
  </w:style>
  <w:style w:type="paragraph" w:customStyle="1" w:styleId="93">
    <w:name w:val="列出段落1"/>
    <w:basedOn w:val="1"/>
    <w:unhideWhenUsed/>
    <w:qFormat/>
    <w:uiPriority w:val="34"/>
    <w:pPr>
      <w:spacing w:line="360" w:lineRule="auto"/>
      <w:ind w:firstLine="420" w:firstLineChars="200"/>
    </w:pPr>
    <w:rPr>
      <w:sz w:val="24"/>
      <w:szCs w:val="24"/>
    </w:rPr>
  </w:style>
  <w:style w:type="paragraph" w:customStyle="1" w:styleId="94">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95">
    <w:name w:val="表格2"/>
    <w:basedOn w:val="1"/>
    <w:next w:val="1"/>
    <w:qFormat/>
    <w:uiPriority w:val="0"/>
    <w:pPr>
      <w:spacing w:line="360" w:lineRule="auto"/>
    </w:pPr>
    <w:rPr>
      <w:rFonts w:ascii="宋体" w:hAnsi="宋体"/>
      <w:sz w:val="24"/>
      <w:szCs w:val="24"/>
    </w:rPr>
  </w:style>
  <w:style w:type="paragraph" w:customStyle="1" w:styleId="96">
    <w:name w:val="列出段落12"/>
    <w:basedOn w:val="1"/>
    <w:qFormat/>
    <w:uiPriority w:val="99"/>
    <w:pPr>
      <w:ind w:firstLine="420" w:firstLineChars="200"/>
    </w:pPr>
    <w:rPr>
      <w:sz w:val="21"/>
      <w:szCs w:val="22"/>
    </w:rPr>
  </w:style>
  <w:style w:type="table" w:customStyle="1" w:styleId="97">
    <w:name w:val="网格型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2"/>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3"/>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4"/>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5"/>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6"/>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Table Paragraph"/>
    <w:basedOn w:val="1"/>
    <w:qFormat/>
    <w:uiPriority w:val="1"/>
    <w:pPr>
      <w:jc w:val="left"/>
    </w:pPr>
    <w:rPr>
      <w:rFonts w:ascii="宋体" w:hAnsi="宋体" w:cs="宋体"/>
      <w:kern w:val="0"/>
      <w:sz w:val="22"/>
      <w:szCs w:val="22"/>
      <w:lang w:eastAsia="en-US"/>
    </w:rPr>
  </w:style>
  <w:style w:type="paragraph" w:customStyle="1" w:styleId="104">
    <w:name w:val="副标题1"/>
    <w:basedOn w:val="1"/>
    <w:next w:val="1"/>
    <w:qFormat/>
    <w:uiPriority w:val="11"/>
    <w:pPr>
      <w:spacing w:before="100" w:beforeAutospacing="1" w:after="100" w:afterAutospacing="1" w:line="312" w:lineRule="auto"/>
      <w:ind w:firstLine="200" w:firstLineChars="200"/>
      <w:jc w:val="left"/>
      <w:outlineLvl w:val="1"/>
    </w:pPr>
    <w:rPr>
      <w:rFonts w:ascii="Calibri Light" w:hAnsi="Calibri Light"/>
      <w:bCs/>
      <w:kern w:val="28"/>
      <w:sz w:val="24"/>
      <w:szCs w:val="32"/>
    </w:rPr>
  </w:style>
  <w:style w:type="paragraph" w:customStyle="1" w:styleId="105">
    <w:name w:val="正文小四"/>
    <w:basedOn w:val="1"/>
    <w:link w:val="106"/>
    <w:qFormat/>
    <w:uiPriority w:val="0"/>
    <w:pPr>
      <w:widowControl/>
      <w:spacing w:before="240" w:beforeLines="100" w:after="240" w:afterLines="100" w:line="360" w:lineRule="auto"/>
      <w:ind w:firstLine="480" w:firstLineChars="200"/>
    </w:pPr>
    <w:rPr>
      <w:rFonts w:ascii="宋体" w:hAnsi="宋体"/>
      <w:sz w:val="24"/>
      <w:szCs w:val="28"/>
      <w:lang w:val="zh-CN"/>
    </w:rPr>
  </w:style>
  <w:style w:type="character" w:customStyle="1" w:styleId="106">
    <w:name w:val="正文小四 Char"/>
    <w:link w:val="105"/>
    <w:qFormat/>
    <w:uiPriority w:val="0"/>
    <w:rPr>
      <w:rFonts w:ascii="宋体" w:hAnsi="宋体" w:eastAsia="宋体" w:cs="Times New Roman"/>
      <w:sz w:val="24"/>
      <w:szCs w:val="28"/>
      <w:lang w:val="zh-CN"/>
    </w:rPr>
  </w:style>
  <w:style w:type="table" w:customStyle="1" w:styleId="107">
    <w:name w:val="网格型7"/>
    <w:basedOn w:val="3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副标题 字符1"/>
    <w:basedOn w:val="38"/>
    <w:qFormat/>
    <w:uiPriority w:val="0"/>
    <w:rPr>
      <w:rFonts w:ascii="Calibri" w:hAnsi="Calibri" w:eastAsia="宋体" w:cs="Times New Roman"/>
      <w:b/>
      <w:bCs/>
      <w:kern w:val="28"/>
      <w:sz w:val="32"/>
      <w:szCs w:val="32"/>
    </w:rPr>
  </w:style>
  <w:style w:type="character" w:customStyle="1" w:styleId="109">
    <w:name w:val="正文文本 (2)_"/>
    <w:basedOn w:val="38"/>
    <w:link w:val="110"/>
    <w:qFormat/>
    <w:locked/>
    <w:uiPriority w:val="99"/>
    <w:rPr>
      <w:rFonts w:ascii="宋体" w:cs="宋体"/>
      <w:sz w:val="28"/>
      <w:szCs w:val="28"/>
      <w:shd w:val="clear" w:color="auto" w:fill="FFFFFF"/>
    </w:rPr>
  </w:style>
  <w:style w:type="paragraph" w:customStyle="1" w:styleId="110">
    <w:name w:val="正文文本 (2)1"/>
    <w:basedOn w:val="1"/>
    <w:link w:val="109"/>
    <w:qFormat/>
    <w:uiPriority w:val="99"/>
    <w:pPr>
      <w:widowControl/>
      <w:shd w:val="clear" w:color="auto" w:fill="FFFFFF"/>
      <w:spacing w:after="360" w:line="542" w:lineRule="exact"/>
      <w:jc w:val="distribute"/>
    </w:pPr>
    <w:rPr>
      <w:rFonts w:ascii="宋体" w:cs="宋体" w:hAnsiTheme="minorHAnsi" w:eastAsiaTheme="minorEastAsia"/>
      <w:sz w:val="28"/>
      <w:szCs w:val="28"/>
    </w:rPr>
  </w:style>
  <w:style w:type="paragraph" w:customStyle="1" w:styleId="111">
    <w:name w:val="列出段落11"/>
    <w:basedOn w:val="1"/>
    <w:qFormat/>
    <w:uiPriority w:val="99"/>
    <w:pPr>
      <w:widowControl/>
      <w:spacing w:after="160" w:line="312" w:lineRule="auto"/>
      <w:ind w:firstLine="420" w:firstLineChars="200"/>
    </w:pPr>
    <w:rPr>
      <w:rFonts w:ascii="Calibri" w:hAnsi="Calibri"/>
      <w:kern w:val="0"/>
      <w:sz w:val="21"/>
      <w:szCs w:val="21"/>
    </w:rPr>
  </w:style>
  <w:style w:type="character" w:customStyle="1" w:styleId="112">
    <w:name w:val="未处理的提及1"/>
    <w:basedOn w:val="38"/>
    <w:unhideWhenUsed/>
    <w:qFormat/>
    <w:uiPriority w:val="99"/>
    <w:rPr>
      <w:color w:val="605E5C"/>
      <w:shd w:val="clear" w:color="auto" w:fill="E1DFDD"/>
    </w:rPr>
  </w:style>
  <w:style w:type="paragraph" w:customStyle="1" w:styleId="113">
    <w:name w:val="DTX-WZ"/>
    <w:qFormat/>
    <w:uiPriority w:val="0"/>
    <w:pPr>
      <w:widowControl w:val="0"/>
      <w:adjustRightInd w:val="0"/>
      <w:snapToGrid w:val="0"/>
      <w:spacing w:line="560" w:lineRule="exact"/>
      <w:ind w:firstLine="200" w:firstLineChars="200"/>
    </w:pPr>
    <w:rPr>
      <w:rFonts w:ascii="Times New Roman" w:hAnsi="Times New Roman" w:eastAsia="仿宋_GB2312" w:cstheme="minorBidi"/>
      <w:snapToGrid w:val="0"/>
      <w:kern w:val="2"/>
      <w:sz w:val="30"/>
      <w:szCs w:val="24"/>
      <w:lang w:val="en-US" w:eastAsia="zh-CN" w:bidi="ar-SA"/>
    </w:rPr>
  </w:style>
  <w:style w:type="paragraph" w:customStyle="1" w:styleId="114">
    <w:name w:val="列出段落2"/>
    <w:basedOn w:val="1"/>
    <w:unhideWhenUsed/>
    <w:qFormat/>
    <w:uiPriority w:val="99"/>
    <w:pPr>
      <w:spacing w:line="360" w:lineRule="auto"/>
      <w:ind w:firstLine="420" w:firstLineChars="200"/>
    </w:pPr>
    <w:rPr>
      <w:sz w:val="24"/>
      <w:szCs w:val="24"/>
    </w:rPr>
  </w:style>
  <w:style w:type="paragraph" w:customStyle="1" w:styleId="115">
    <w:name w:val="3 正文内容"/>
    <w:basedOn w:val="1"/>
    <w:autoRedefine/>
    <w:qFormat/>
    <w:uiPriority w:val="0"/>
    <w:pPr>
      <w:ind w:firstLine="484" w:firstLineChars="200"/>
    </w:pPr>
    <w:rPr>
      <w:rFonts w:cs="宋体"/>
      <w:sz w:val="24"/>
    </w:rPr>
  </w:style>
  <w:style w:type="paragraph" w:customStyle="1" w:styleId="116">
    <w:name w:val="目录 72"/>
    <w:basedOn w:val="1"/>
    <w:next w:val="1"/>
    <w:unhideWhenUsed/>
    <w:qFormat/>
    <w:uiPriority w:val="39"/>
    <w:pPr>
      <w:ind w:left="2520" w:leftChars="1200"/>
    </w:pPr>
    <w:rPr>
      <w:rFonts w:ascii="Calibri" w:hAnsi="Calibri"/>
      <w:sz w:val="21"/>
      <w:szCs w:val="22"/>
    </w:rPr>
  </w:style>
  <w:style w:type="paragraph" w:customStyle="1" w:styleId="117">
    <w:name w:val="题注2"/>
    <w:basedOn w:val="1"/>
    <w:next w:val="1"/>
    <w:unhideWhenUsed/>
    <w:qFormat/>
    <w:uiPriority w:val="35"/>
    <w:pPr>
      <w:spacing w:before="50" w:beforeLines="50" w:after="50" w:afterLines="50" w:line="360" w:lineRule="auto"/>
      <w:ind w:firstLine="200" w:firstLineChars="200"/>
      <w:jc w:val="center"/>
    </w:pPr>
    <w:rPr>
      <w:b/>
      <w:sz w:val="24"/>
    </w:rPr>
  </w:style>
  <w:style w:type="paragraph" w:customStyle="1" w:styleId="118">
    <w:name w:val="目录 52"/>
    <w:basedOn w:val="1"/>
    <w:next w:val="1"/>
    <w:unhideWhenUsed/>
    <w:qFormat/>
    <w:uiPriority w:val="39"/>
    <w:pPr>
      <w:ind w:left="1680" w:leftChars="800"/>
    </w:pPr>
    <w:rPr>
      <w:rFonts w:ascii="Calibri" w:hAnsi="Calibri"/>
      <w:sz w:val="21"/>
      <w:szCs w:val="22"/>
    </w:rPr>
  </w:style>
  <w:style w:type="paragraph" w:customStyle="1" w:styleId="119">
    <w:name w:val="目录 82"/>
    <w:basedOn w:val="1"/>
    <w:next w:val="1"/>
    <w:unhideWhenUsed/>
    <w:qFormat/>
    <w:uiPriority w:val="39"/>
    <w:pPr>
      <w:ind w:left="2940" w:leftChars="1400"/>
    </w:pPr>
    <w:rPr>
      <w:rFonts w:ascii="Calibri" w:hAnsi="Calibri"/>
      <w:sz w:val="21"/>
      <w:szCs w:val="22"/>
    </w:rPr>
  </w:style>
  <w:style w:type="paragraph" w:customStyle="1" w:styleId="120">
    <w:name w:val="目录 42"/>
    <w:basedOn w:val="1"/>
    <w:next w:val="1"/>
    <w:unhideWhenUsed/>
    <w:qFormat/>
    <w:uiPriority w:val="39"/>
    <w:pPr>
      <w:ind w:left="1260" w:leftChars="600"/>
    </w:pPr>
    <w:rPr>
      <w:rFonts w:ascii="Calibri" w:hAnsi="Calibri"/>
      <w:sz w:val="21"/>
      <w:szCs w:val="22"/>
    </w:rPr>
  </w:style>
  <w:style w:type="paragraph" w:customStyle="1" w:styleId="121">
    <w:name w:val="目录 62"/>
    <w:basedOn w:val="1"/>
    <w:next w:val="1"/>
    <w:unhideWhenUsed/>
    <w:qFormat/>
    <w:uiPriority w:val="39"/>
    <w:pPr>
      <w:ind w:left="2100" w:leftChars="1000"/>
    </w:pPr>
    <w:rPr>
      <w:rFonts w:ascii="Calibri" w:hAnsi="Calibri"/>
      <w:sz w:val="21"/>
      <w:szCs w:val="22"/>
    </w:rPr>
  </w:style>
  <w:style w:type="paragraph" w:customStyle="1" w:styleId="122">
    <w:name w:val="目录 92"/>
    <w:basedOn w:val="1"/>
    <w:next w:val="1"/>
    <w:unhideWhenUsed/>
    <w:qFormat/>
    <w:uiPriority w:val="39"/>
    <w:pPr>
      <w:ind w:left="3360" w:leftChars="1600"/>
    </w:pPr>
    <w:rPr>
      <w:rFonts w:ascii="Calibri" w:hAnsi="Calibri"/>
      <w:sz w:val="21"/>
      <w:szCs w:val="22"/>
    </w:rPr>
  </w:style>
  <w:style w:type="table" w:customStyle="1" w:styleId="123">
    <w:name w:val="网格型-中对齐2"/>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1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2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3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4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5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61"/>
    <w:basedOn w:val="3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71"/>
    <w:basedOn w:val="3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8"/>
    <w:basedOn w:val="3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2">
    <w:name w:val="表名"/>
    <w:basedOn w:val="1"/>
    <w:qFormat/>
    <w:uiPriority w:val="0"/>
    <w:pPr>
      <w:spacing w:after="60" w:line="460" w:lineRule="exact"/>
      <w:ind w:firstLine="100" w:firstLineChars="100"/>
    </w:pPr>
    <w:rPr>
      <w:rFonts w:ascii="黑体" w:eastAsia="黑体"/>
      <w:bCs/>
      <w:sz w:val="24"/>
    </w:rPr>
  </w:style>
  <w:style w:type="paragraph" w:customStyle="1" w:styleId="133">
    <w:name w:val="表格"/>
    <w:basedOn w:val="1"/>
    <w:qFormat/>
    <w:uiPriority w:val="0"/>
    <w:pPr>
      <w:jc w:val="center"/>
    </w:pPr>
    <w:rPr>
      <w:rFonts w:ascii="楷体_GB2312" w:eastAsia="楷体_GB2312"/>
      <w:bCs/>
      <w:szCs w:val="21"/>
    </w:rPr>
  </w:style>
  <w:style w:type="paragraph" w:customStyle="1" w:styleId="134">
    <w:name w:val="ZW"/>
    <w:basedOn w:val="1"/>
    <w:link w:val="135"/>
    <w:qFormat/>
    <w:uiPriority w:val="0"/>
    <w:pPr>
      <w:adjustRightInd w:val="0"/>
      <w:snapToGrid w:val="0"/>
      <w:spacing w:line="384" w:lineRule="auto"/>
      <w:ind w:firstLine="567"/>
    </w:pPr>
    <w:rPr>
      <w:rFonts w:eastAsia="仿宋_GB2312"/>
      <w:sz w:val="24"/>
    </w:rPr>
  </w:style>
  <w:style w:type="character" w:customStyle="1" w:styleId="135">
    <w:name w:val="ZW Char"/>
    <w:link w:val="134"/>
    <w:qFormat/>
    <w:uiPriority w:val="0"/>
    <w:rPr>
      <w:rFonts w:ascii="Times New Roman" w:hAnsi="Times New Roman" w:eastAsia="仿宋_GB2312" w:cs="Times New Roman"/>
      <w:kern w:val="2"/>
      <w:sz w:val="24"/>
    </w:rPr>
  </w:style>
  <w:style w:type="paragraph" w:customStyle="1" w:styleId="136">
    <w:name w:val="列表段落1"/>
    <w:basedOn w:val="1"/>
    <w:qFormat/>
    <w:uiPriority w:val="1"/>
  </w:style>
  <w:style w:type="paragraph" w:customStyle="1" w:styleId="137">
    <w:name w:val="图表"/>
    <w:basedOn w:val="105"/>
    <w:qFormat/>
    <w:uiPriority w:val="0"/>
    <w:pPr>
      <w:ind w:firstLine="0" w:firstLineChars="0"/>
      <w:jc w:val="center"/>
    </w:pPr>
    <w:rPr>
      <w:b/>
    </w:rPr>
  </w:style>
  <w:style w:type="table" w:customStyle="1" w:styleId="138">
    <w:name w:val="Table Normal"/>
    <w:qFormat/>
    <w:uiPriority w:val="2"/>
    <w:tblPr>
      <w:tblCellMar>
        <w:top w:w="0" w:type="dxa"/>
        <w:left w:w="0" w:type="dxa"/>
        <w:bottom w:w="0" w:type="dxa"/>
        <w:right w:w="0" w:type="dxa"/>
      </w:tblCellMar>
    </w:tblPr>
  </w:style>
  <w:style w:type="character" w:customStyle="1" w:styleId="139">
    <w:name w:val="标题 1 字符1"/>
    <w:qFormat/>
    <w:uiPriority w:val="0"/>
    <w:rPr>
      <w:rFonts w:ascii="Times New Roman" w:hAnsi="Times New Roman" w:eastAsia="宋体" w:cs="Times New Roman"/>
      <w:b/>
      <w:bCs/>
      <w:kern w:val="44"/>
      <w:sz w:val="44"/>
      <w:szCs w:val="44"/>
    </w:rPr>
  </w:style>
  <w:style w:type="character" w:customStyle="1" w:styleId="140">
    <w:name w:val="标题 2 字符1"/>
    <w:qFormat/>
    <w:uiPriority w:val="0"/>
    <w:rPr>
      <w:rFonts w:ascii="Arial" w:hAnsi="Arial" w:eastAsia="黑体" w:cs="Times New Roman"/>
      <w:b/>
      <w:bCs/>
      <w:sz w:val="32"/>
      <w:szCs w:val="32"/>
    </w:rPr>
  </w:style>
  <w:style w:type="character" w:customStyle="1" w:styleId="141">
    <w:name w:val="标题 3 字符1"/>
    <w:qFormat/>
    <w:uiPriority w:val="0"/>
    <w:rPr>
      <w:rFonts w:ascii="Times New Roman" w:hAnsi="Times New Roman" w:eastAsia="楷体_GB2312" w:cs="Times New Roman"/>
      <w:sz w:val="24"/>
      <w:szCs w:val="24"/>
    </w:rPr>
  </w:style>
  <w:style w:type="character" w:customStyle="1" w:styleId="142">
    <w:name w:val="标题 4 字符1"/>
    <w:qFormat/>
    <w:uiPriority w:val="0"/>
    <w:rPr>
      <w:rFonts w:ascii="Cambria" w:hAnsi="Cambria" w:eastAsia="宋体" w:cs="Times New Roman"/>
      <w:b/>
      <w:bCs/>
      <w:sz w:val="28"/>
      <w:szCs w:val="28"/>
    </w:rPr>
  </w:style>
  <w:style w:type="paragraph" w:customStyle="1" w:styleId="143">
    <w:name w:val="1"/>
    <w:basedOn w:val="1"/>
    <w:qFormat/>
    <w:uiPriority w:val="0"/>
    <w:pPr>
      <w:spacing w:line="360" w:lineRule="auto"/>
      <w:ind w:firstLine="200" w:firstLineChars="200"/>
    </w:pPr>
    <w:rPr>
      <w:rFonts w:ascii="宋体" w:hAnsi="宋体" w:cs="宋体"/>
      <w:sz w:val="24"/>
      <w:szCs w:val="24"/>
    </w:rPr>
  </w:style>
  <w:style w:type="paragraph" w:customStyle="1" w:styleId="144">
    <w:name w:val="样式1"/>
    <w:basedOn w:val="2"/>
    <w:qFormat/>
    <w:uiPriority w:val="0"/>
    <w:pPr>
      <w:spacing w:before="0" w:after="0" w:line="360" w:lineRule="auto"/>
    </w:pPr>
    <w:rPr>
      <w:bCs w:val="0"/>
      <w:sz w:val="32"/>
      <w:szCs w:val="20"/>
    </w:rPr>
  </w:style>
  <w:style w:type="paragraph" w:customStyle="1" w:styleId="145">
    <w:name w:val="样式6"/>
    <w:basedOn w:val="3"/>
    <w:qFormat/>
    <w:uiPriority w:val="0"/>
    <w:pPr>
      <w:spacing w:line="240" w:lineRule="auto"/>
    </w:pPr>
    <w:rPr>
      <w:rFonts w:ascii="Times New Roman" w:hAnsi="Times New Roman" w:eastAsia="宋体" w:cs="Times New Roman"/>
      <w:sz w:val="30"/>
      <w:szCs w:val="30"/>
    </w:rPr>
  </w:style>
  <w:style w:type="character" w:customStyle="1" w:styleId="146">
    <w:name w:val="页脚 字符1"/>
    <w:qFormat/>
    <w:uiPriority w:val="99"/>
    <w:rPr>
      <w:rFonts w:ascii="Times New Roman" w:hAnsi="Times New Roman" w:eastAsia="宋体" w:cs="Times New Roman"/>
      <w:sz w:val="18"/>
      <w:szCs w:val="18"/>
    </w:rPr>
  </w:style>
  <w:style w:type="character" w:customStyle="1" w:styleId="147">
    <w:name w:val="标题 1 Char Char"/>
    <w:qFormat/>
    <w:uiPriority w:val="0"/>
    <w:rPr>
      <w:rFonts w:eastAsia="宋体"/>
      <w:b/>
      <w:bCs/>
      <w:kern w:val="44"/>
      <w:sz w:val="44"/>
      <w:szCs w:val="44"/>
      <w:lang w:val="en-US" w:eastAsia="zh-CN" w:bidi="ar-SA"/>
    </w:rPr>
  </w:style>
  <w:style w:type="character" w:customStyle="1" w:styleId="148">
    <w:name w:val="文档结构图 字符1"/>
    <w:link w:val="13"/>
    <w:semiHidden/>
    <w:qFormat/>
    <w:uiPriority w:val="0"/>
    <w:rPr>
      <w:rFonts w:ascii="Times New Roman" w:hAnsi="Times New Roman" w:eastAsia="宋体" w:cs="Times New Roman"/>
      <w:kern w:val="2"/>
      <w:sz w:val="21"/>
      <w:szCs w:val="24"/>
      <w:shd w:val="clear" w:color="auto" w:fill="000080"/>
    </w:rPr>
  </w:style>
  <w:style w:type="character" w:customStyle="1" w:styleId="149">
    <w:name w:val="文档结构图 字符"/>
    <w:basedOn w:val="38"/>
    <w:semiHidden/>
    <w:qFormat/>
    <w:uiPriority w:val="99"/>
    <w:rPr>
      <w:rFonts w:ascii="Microsoft YaHei UI" w:hAnsi="Times New Roman" w:eastAsia="Microsoft YaHei UI" w:cs="Times New Roman"/>
      <w:kern w:val="2"/>
      <w:sz w:val="18"/>
      <w:szCs w:val="18"/>
    </w:rPr>
  </w:style>
  <w:style w:type="paragraph" w:customStyle="1" w:styleId="150">
    <w:name w:val="正文段落"/>
    <w:basedOn w:val="1"/>
    <w:link w:val="151"/>
    <w:qFormat/>
    <w:uiPriority w:val="0"/>
    <w:pPr>
      <w:spacing w:line="480" w:lineRule="exact"/>
      <w:ind w:firstLine="480" w:firstLineChars="200"/>
    </w:pPr>
    <w:rPr>
      <w:rFonts w:ascii="仿宋_GB2312" w:eastAsia="仿宋_GB2312"/>
      <w:bCs/>
      <w:snapToGrid w:val="0"/>
      <w:sz w:val="24"/>
      <w:szCs w:val="24"/>
    </w:rPr>
  </w:style>
  <w:style w:type="character" w:customStyle="1" w:styleId="151">
    <w:name w:val="正文段落 Char"/>
    <w:link w:val="150"/>
    <w:qFormat/>
    <w:uiPriority w:val="0"/>
    <w:rPr>
      <w:rFonts w:ascii="仿宋_GB2312" w:hAnsi="Times New Roman" w:eastAsia="仿宋_GB2312" w:cs="Times New Roman"/>
      <w:bCs/>
      <w:snapToGrid w:val="0"/>
      <w:kern w:val="2"/>
      <w:sz w:val="24"/>
      <w:szCs w:val="24"/>
    </w:rPr>
  </w:style>
  <w:style w:type="character" w:customStyle="1" w:styleId="152">
    <w:name w:val="正文文本缩进 字符1"/>
    <w:qFormat/>
    <w:uiPriority w:val="0"/>
    <w:rPr>
      <w:rFonts w:ascii="宋体" w:hAnsi="Times New Roman" w:eastAsia="宋体" w:cs="Times New Roman"/>
      <w:sz w:val="24"/>
      <w:szCs w:val="24"/>
    </w:rPr>
  </w:style>
  <w:style w:type="character" w:customStyle="1" w:styleId="153">
    <w:name w:val="页眉 字符1"/>
    <w:qFormat/>
    <w:uiPriority w:val="0"/>
    <w:rPr>
      <w:rFonts w:ascii="Calibri" w:hAnsi="Calibri" w:eastAsia="宋体" w:cs="Times New Roman"/>
      <w:sz w:val="18"/>
      <w:szCs w:val="18"/>
    </w:rPr>
  </w:style>
  <w:style w:type="character" w:customStyle="1" w:styleId="154">
    <w:name w:val="标题 3 Char"/>
    <w:qFormat/>
    <w:uiPriority w:val="0"/>
    <w:rPr>
      <w:rFonts w:ascii="Calibri" w:hAnsi="Calibri" w:eastAsia="宋体" w:cs="Times New Roman"/>
      <w:b/>
      <w:bCs/>
      <w:sz w:val="32"/>
      <w:szCs w:val="32"/>
    </w:rPr>
  </w:style>
  <w:style w:type="character" w:customStyle="1" w:styleId="155">
    <w:name w:val="纯文本 字符1"/>
    <w:qFormat/>
    <w:uiPriority w:val="0"/>
    <w:rPr>
      <w:rFonts w:ascii="宋体" w:hAnsi="Courier New" w:eastAsia="宋体" w:cs="Courier New"/>
      <w:szCs w:val="21"/>
    </w:rPr>
  </w:style>
  <w:style w:type="character" w:customStyle="1" w:styleId="156">
    <w:name w:val="正文文本缩进 2 字符1"/>
    <w:link w:val="22"/>
    <w:semiHidden/>
    <w:qFormat/>
    <w:uiPriority w:val="0"/>
    <w:rPr>
      <w:rFonts w:ascii="Calibri" w:hAnsi="Calibri" w:eastAsia="宋体" w:cs="Times New Roman"/>
      <w:kern w:val="2"/>
      <w:sz w:val="21"/>
      <w:szCs w:val="22"/>
    </w:rPr>
  </w:style>
  <w:style w:type="character" w:customStyle="1" w:styleId="157">
    <w:name w:val="正文文本缩进 2 字符"/>
    <w:basedOn w:val="38"/>
    <w:semiHidden/>
    <w:uiPriority w:val="99"/>
    <w:rPr>
      <w:rFonts w:ascii="Times New Roman" w:hAnsi="Times New Roman" w:eastAsia="宋体" w:cs="Times New Roman"/>
      <w:kern w:val="2"/>
    </w:rPr>
  </w:style>
  <w:style w:type="paragraph" w:customStyle="1" w:styleId="158">
    <w:name w:val="宁正文"/>
    <w:basedOn w:val="1"/>
    <w:link w:val="159"/>
    <w:qFormat/>
    <w:uiPriority w:val="0"/>
    <w:pPr>
      <w:spacing w:afterLines="50" w:line="500" w:lineRule="exact"/>
      <w:ind w:firstLine="560" w:firstLineChars="200"/>
    </w:pPr>
    <w:rPr>
      <w:rFonts w:eastAsia="仿宋_GB2312"/>
      <w:color w:val="000000"/>
      <w:sz w:val="28"/>
      <w:szCs w:val="28"/>
    </w:rPr>
  </w:style>
  <w:style w:type="character" w:customStyle="1" w:styleId="159">
    <w:name w:val="宁正文 Char"/>
    <w:link w:val="158"/>
    <w:qFormat/>
    <w:uiPriority w:val="0"/>
    <w:rPr>
      <w:rFonts w:ascii="Times New Roman" w:hAnsi="Times New Roman" w:eastAsia="仿宋_GB2312" w:cs="Times New Roman"/>
      <w:color w:val="000000"/>
      <w:kern w:val="2"/>
      <w:sz w:val="28"/>
      <w:szCs w:val="28"/>
    </w:rPr>
  </w:style>
  <w:style w:type="paragraph" w:customStyle="1" w:styleId="160">
    <w:name w:val="样式 zw正文 + 首行缩进:  2 字符 段前: 3.9 磅"/>
    <w:basedOn w:val="1"/>
    <w:uiPriority w:val="0"/>
    <w:pPr>
      <w:spacing w:line="500" w:lineRule="exact"/>
      <w:ind w:firstLine="200" w:firstLineChars="200"/>
    </w:pPr>
    <w:rPr>
      <w:rFonts w:eastAsia="华文中宋" w:cs="宋体"/>
      <w:color w:val="000000"/>
      <w:sz w:val="24"/>
    </w:rPr>
  </w:style>
  <w:style w:type="paragraph" w:customStyle="1" w:styleId="161">
    <w:name w:val="样式5"/>
    <w:basedOn w:val="1"/>
    <w:link w:val="162"/>
    <w:qFormat/>
    <w:uiPriority w:val="0"/>
    <w:pPr>
      <w:spacing w:line="360" w:lineRule="auto"/>
      <w:ind w:firstLine="480" w:firstLineChars="200"/>
    </w:pPr>
    <w:rPr>
      <w:rFonts w:ascii="宋体" w:hAnsi="宋体"/>
      <w:kern w:val="10"/>
      <w:sz w:val="24"/>
    </w:rPr>
  </w:style>
  <w:style w:type="character" w:customStyle="1" w:styleId="162">
    <w:name w:val="样式5 Char"/>
    <w:link w:val="161"/>
    <w:qFormat/>
    <w:uiPriority w:val="0"/>
    <w:rPr>
      <w:rFonts w:ascii="宋体" w:hAnsi="宋体" w:eastAsia="宋体" w:cs="Times New Roman"/>
      <w:kern w:val="10"/>
      <w:sz w:val="24"/>
    </w:rPr>
  </w:style>
  <w:style w:type="paragraph" w:customStyle="1" w:styleId="163">
    <w:name w:val="简要报告正文"/>
    <w:basedOn w:val="1"/>
    <w:qFormat/>
    <w:uiPriority w:val="0"/>
    <w:pPr>
      <w:spacing w:line="460" w:lineRule="exact"/>
      <w:ind w:firstLine="480" w:firstLineChars="200"/>
    </w:pPr>
    <w:rPr>
      <w:sz w:val="24"/>
      <w:szCs w:val="24"/>
    </w:rPr>
  </w:style>
  <w:style w:type="character" w:customStyle="1" w:styleId="164">
    <w:name w:val="批注框文本 字符1"/>
    <w:qFormat/>
    <w:uiPriority w:val="0"/>
    <w:rPr>
      <w:rFonts w:ascii="Calibri" w:hAnsi="Calibri" w:eastAsia="宋体" w:cs="Times New Roman"/>
      <w:sz w:val="18"/>
      <w:szCs w:val="18"/>
    </w:rPr>
  </w:style>
  <w:style w:type="paragraph" w:customStyle="1" w:styleId="165">
    <w:name w:val="宁标题2"/>
    <w:basedOn w:val="3"/>
    <w:qFormat/>
    <w:uiPriority w:val="0"/>
    <w:pPr>
      <w:adjustRightInd w:val="0"/>
      <w:snapToGrid w:val="0"/>
      <w:spacing w:beforeLines="50" w:afterLines="50" w:line="360" w:lineRule="auto"/>
    </w:pPr>
    <w:rPr>
      <w:rFonts w:ascii="Times New Roman" w:hAnsi="Times New Roman" w:eastAsia="宋体" w:cs="Times New Roman"/>
      <w:sz w:val="30"/>
      <w:szCs w:val="30"/>
    </w:rPr>
  </w:style>
  <w:style w:type="paragraph" w:customStyle="1" w:styleId="166">
    <w:name w:val="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167">
    <w:name w:val="5"/>
    <w:basedOn w:val="1"/>
    <w:next w:val="16"/>
    <w:qFormat/>
    <w:uiPriority w:val="0"/>
    <w:pPr>
      <w:tabs>
        <w:tab w:val="left" w:pos="600"/>
        <w:tab w:val="left" w:pos="4680"/>
      </w:tabs>
      <w:adjustRightInd w:val="0"/>
      <w:snapToGrid w:val="0"/>
      <w:spacing w:line="360" w:lineRule="auto"/>
      <w:ind w:firstLine="480" w:firstLineChars="200"/>
    </w:pPr>
    <w:rPr>
      <w:rFonts w:ascii="宋体" w:hAnsi="宋体"/>
      <w:color w:val="000000"/>
      <w:sz w:val="24"/>
      <w:szCs w:val="24"/>
    </w:rPr>
  </w:style>
  <w:style w:type="paragraph" w:customStyle="1" w:styleId="168">
    <w:name w:val="Default Paragraph Char Char Char Char"/>
    <w:basedOn w:val="1"/>
    <w:next w:val="1"/>
    <w:qFormat/>
    <w:uiPriority w:val="0"/>
    <w:pPr>
      <w:widowControl/>
      <w:spacing w:line="360" w:lineRule="auto"/>
      <w:jc w:val="left"/>
    </w:pPr>
    <w:rPr>
      <w:sz w:val="21"/>
    </w:rPr>
  </w:style>
  <w:style w:type="paragraph" w:customStyle="1" w:styleId="169">
    <w:name w:val="样式2"/>
    <w:basedOn w:val="4"/>
    <w:qFormat/>
    <w:uiPriority w:val="0"/>
    <w:pPr>
      <w:spacing w:before="120" w:beforeLines="50" w:after="120" w:afterLines="50" w:line="360" w:lineRule="auto"/>
      <w:jc w:val="left"/>
    </w:pPr>
    <w:rPr>
      <w:sz w:val="24"/>
      <w:szCs w:val="24"/>
    </w:rPr>
  </w:style>
  <w:style w:type="paragraph" w:customStyle="1" w:styleId="170">
    <w:name w:val="Char Char Char"/>
    <w:basedOn w:val="1"/>
    <w:qFormat/>
    <w:uiPriority w:val="0"/>
    <w:pPr>
      <w:spacing w:line="360" w:lineRule="auto"/>
      <w:ind w:firstLine="200" w:firstLineChars="200"/>
    </w:pPr>
    <w:rPr>
      <w:rFonts w:ascii="宋体" w:hAnsi="宋体" w:cs="宋体"/>
      <w:sz w:val="24"/>
      <w:szCs w:val="24"/>
    </w:rPr>
  </w:style>
  <w:style w:type="paragraph" w:customStyle="1" w:styleId="171">
    <w:name w:val="样式 样式 首行缩进:  2 字符2 + 首行缩进:  2 字符1"/>
    <w:basedOn w:val="1"/>
    <w:link w:val="172"/>
    <w:qFormat/>
    <w:uiPriority w:val="0"/>
    <w:pPr>
      <w:spacing w:line="560" w:lineRule="exact"/>
      <w:ind w:firstLine="200" w:firstLineChars="200"/>
    </w:pPr>
    <w:rPr>
      <w:rFonts w:ascii="仿宋_GB2312" w:eastAsia="仿宋_GB2312" w:cs="宋体"/>
      <w:kern w:val="0"/>
      <w:sz w:val="28"/>
    </w:rPr>
  </w:style>
  <w:style w:type="character" w:customStyle="1" w:styleId="172">
    <w:name w:val="样式 样式 首行缩进:  2 字符2 + 首行缩进:  2 字符1 Char"/>
    <w:link w:val="171"/>
    <w:qFormat/>
    <w:uiPriority w:val="0"/>
    <w:rPr>
      <w:rFonts w:ascii="仿宋_GB2312" w:hAnsi="Times New Roman" w:eastAsia="仿宋_GB2312" w:cs="宋体"/>
      <w:sz w:val="28"/>
    </w:rPr>
  </w:style>
  <w:style w:type="paragraph" w:customStyle="1" w:styleId="173">
    <w:name w:val="样式 宋体 四号1"/>
    <w:basedOn w:val="1"/>
    <w:uiPriority w:val="0"/>
    <w:pPr>
      <w:adjustRightInd w:val="0"/>
      <w:spacing w:line="500" w:lineRule="exact"/>
      <w:ind w:firstLine="480" w:firstLineChars="200"/>
    </w:pPr>
    <w:rPr>
      <w:rFonts w:ascii="宋体"/>
      <w:sz w:val="24"/>
      <w:szCs w:val="24"/>
    </w:rPr>
  </w:style>
  <w:style w:type="paragraph" w:styleId="174">
    <w:name w:val="List Paragraph"/>
    <w:basedOn w:val="1"/>
    <w:qFormat/>
    <w:uiPriority w:val="34"/>
    <w:pPr>
      <w:ind w:firstLine="420" w:firstLineChars="200"/>
    </w:pPr>
    <w:rPr>
      <w:sz w:val="21"/>
      <w:szCs w:val="24"/>
    </w:rPr>
  </w:style>
  <w:style w:type="character" w:customStyle="1" w:styleId="175">
    <w:name w:val="批注文字 字符1"/>
    <w:semiHidden/>
    <w:qFormat/>
    <w:uiPriority w:val="0"/>
    <w:rPr>
      <w:rFonts w:ascii="Times New Roman" w:hAnsi="Times New Roman" w:eastAsia="宋体" w:cs="Times New Roman"/>
      <w:szCs w:val="24"/>
    </w:rPr>
  </w:style>
  <w:style w:type="paragraph" w:customStyle="1" w:styleId="176">
    <w:name w:val="Char Char Char Char Char Char Char Char Char Char"/>
    <w:basedOn w:val="1"/>
    <w:semiHidden/>
    <w:qFormat/>
    <w:uiPriority w:val="0"/>
    <w:pPr>
      <w:adjustRightInd w:val="0"/>
      <w:spacing w:line="360" w:lineRule="atLeast"/>
    </w:pPr>
    <w:rPr>
      <w:sz w:val="21"/>
      <w:szCs w:val="24"/>
    </w:rPr>
  </w:style>
  <w:style w:type="paragraph" w:customStyle="1" w:styleId="177">
    <w:name w:val="表文字"/>
    <w:qFormat/>
    <w:uiPriority w:val="0"/>
    <w:pPr>
      <w:adjustRightInd w:val="0"/>
      <w:spacing w:line="260" w:lineRule="atLeast"/>
      <w:jc w:val="center"/>
    </w:pPr>
    <w:rPr>
      <w:rFonts w:ascii="Times New Roman" w:hAnsi="Times New Roman" w:eastAsia="宋体" w:cs="Times New Roman"/>
      <w:kern w:val="18"/>
      <w:sz w:val="18"/>
      <w:lang w:val="en-US" w:eastAsia="zh-CN" w:bidi="ar-SA"/>
    </w:rPr>
  </w:style>
  <w:style w:type="paragraph" w:customStyle="1" w:styleId="178">
    <w:name w:val="Revision"/>
    <w:hidden/>
    <w:semiHidden/>
    <w:qFormat/>
    <w:uiPriority w:val="99"/>
    <w:rPr>
      <w:rFonts w:ascii="Times New Roman" w:hAnsi="Times New Roman" w:eastAsia="宋体" w:cs="Times New Roman"/>
      <w:kern w:val="2"/>
      <w:lang w:val="en-US" w:eastAsia="zh-CN" w:bidi="ar-SA"/>
    </w:rPr>
  </w:style>
  <w:style w:type="character" w:customStyle="1" w:styleId="179">
    <w:name w:val="批注主题 字符"/>
    <w:basedOn w:val="52"/>
    <w:link w:val="35"/>
    <w:semiHidden/>
    <w:qFormat/>
    <w:uiPriority w:val="99"/>
    <w:rPr>
      <w:rFonts w:ascii="Times New Roman" w:hAnsi="Times New Roman" w:eastAsia="宋体" w:cs="Times New Roman"/>
      <w:b/>
      <w:bCs/>
      <w:kern w:val="2"/>
      <w:sz w:val="20"/>
      <w:szCs w:val="20"/>
    </w:rPr>
  </w:style>
  <w:style w:type="character" w:customStyle="1" w:styleId="180">
    <w:name w:val="Unresolved Mention"/>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chart" Target="charts/chart23.xml"/><Relationship Id="rId33" Type="http://schemas.openxmlformats.org/officeDocument/2006/relationships/chart" Target="charts/chart22.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header" Target="header1.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38656;&#27700;&#39044;&#27979;-&#35745;&#31639;&#34920;&#26684;-&#25913;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38656;&#27700;&#39044;&#27979;-&#35745;&#31639;&#34920;&#26684;-&#25913;3.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7126\Desktop\&#20845;&#23433;&#24066;&#27700;&#36164;&#28304;&#32508;&#21512;&#35268;&#21010;&#20462;&#32534;\&#38656;&#27700;&#39044;&#27979;-&#35745;&#31639;&#34920;&#26684;-&#25913;4.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4"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4"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4"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4"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7126\Desktop\&#20845;&#23433;&#24066;&#27700;&#36164;&#28304;&#32508;&#21512;&#35268;&#21010;&#20462;&#32534;\&#27700;&#36136;.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7126\Desktop\&#20845;&#23433;&#24066;&#27700;&#36164;&#28304;&#32508;&#21512;&#35268;&#21010;&#20462;&#32534;\&#27700;&#3613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37126\Desktop\&#20845;&#23433;&#24066;&#27700;&#36164;&#28304;&#32508;&#21512;&#35268;&#21010;&#20462;&#32534;\&#27700;&#36136;.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37126\Desktop\&#20845;&#23433;&#24066;&#27700;&#36164;&#28304;&#32508;&#21512;&#35268;&#21010;&#20462;&#32534;\&#27700;&#36136;.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37126\Desktop\&#20845;&#23433;&#24066;&#27700;&#36164;&#28304;&#32508;&#21512;&#35268;&#21010;&#20462;&#32534;\&#27700;&#36136;.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37126\Desktop\&#20845;&#23433;&#24066;&#27700;&#36164;&#28304;&#32508;&#21512;&#35268;&#21010;&#20462;&#32534;\&#27700;&#3613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0845;&#23433;&#27700;&#36164;&#28304;&#32508;&#21512;&#35268;&#21010;&#20462;&#32534;-&#35745;&#31639;&#34920;&#266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37126\Desktop\&#20845;&#23433;&#24066;&#27700;&#36164;&#28304;&#32508;&#21512;&#35268;&#21010;&#20462;&#32534;\&#27700;&#36164;&#28304;&#21450;&#24320;&#21457;&#21033;&#29992;&#29616;&#29366;&#35780;&#20215;-&#35745;&#31639;&#34920;&#2668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地表水!$D$80:$D$86</c:f>
              <c:strCache>
                <c:ptCount val="7"/>
                <c:pt idx="0">
                  <c:v>金安区</c:v>
                </c:pt>
                <c:pt idx="1">
                  <c:v>裕安区</c:v>
                </c:pt>
                <c:pt idx="2">
                  <c:v>叶集区</c:v>
                </c:pt>
                <c:pt idx="3">
                  <c:v>霍邱县</c:v>
                </c:pt>
                <c:pt idx="4">
                  <c:v>舒城县</c:v>
                </c:pt>
                <c:pt idx="5">
                  <c:v>金寨县</c:v>
                </c:pt>
                <c:pt idx="6">
                  <c:v>霍山县</c:v>
                </c:pt>
              </c:strCache>
            </c:strRef>
          </c:cat>
          <c:val>
            <c:numRef>
              <c:f>地表水!$E$80:$E$86</c:f>
              <c:numCache>
                <c:formatCode>0.0</c:formatCode>
                <c:ptCount val="7"/>
                <c:pt idx="0">
                  <c:v>413.729978135481</c:v>
                </c:pt>
                <c:pt idx="1">
                  <c:v>508.735738726316</c:v>
                </c:pt>
                <c:pt idx="2">
                  <c:v>487.794360424844</c:v>
                </c:pt>
                <c:pt idx="3">
                  <c:v>285.554272307117</c:v>
                </c:pt>
                <c:pt idx="4">
                  <c:v>630.484886807182</c:v>
                </c:pt>
                <c:pt idx="5">
                  <c:v>717.244345680711</c:v>
                </c:pt>
                <c:pt idx="6">
                  <c:v>823.75583158807</c:v>
                </c:pt>
              </c:numCache>
            </c:numRef>
          </c:val>
        </c:ser>
        <c:dLbls>
          <c:showLegendKey val="0"/>
          <c:showVal val="0"/>
          <c:showCatName val="0"/>
          <c:showSerName val="0"/>
          <c:showPercent val="0"/>
          <c:showBubbleSize val="0"/>
        </c:dLbls>
        <c:gapWidth val="219"/>
        <c:overlap val="-27"/>
        <c:axId val="267750784"/>
        <c:axId val="268035200"/>
      </c:barChart>
      <c:catAx>
        <c:axId val="26775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035200"/>
        <c:crosses val="autoZero"/>
        <c:auto val="1"/>
        <c:lblAlgn val="ctr"/>
        <c:lblOffset val="100"/>
        <c:noMultiLvlLbl val="0"/>
      </c:catAx>
      <c:valAx>
        <c:axId val="268035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750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用水指标!$D$42</c:f>
              <c:strCache>
                <c:ptCount val="1"/>
                <c:pt idx="0">
                  <c:v>万元GDP用水量（m3/万元）</c:v>
                </c:pt>
              </c:strCache>
            </c:strRef>
          </c:tx>
          <c:spPr>
            <a:ln w="19050" cap="rnd" cmpd="sng" algn="ctr">
              <a:solidFill>
                <a:schemeClr val="accent1"/>
              </a:solidFill>
              <a:prstDash val="solid"/>
              <a:round/>
            </a:ln>
            <a:effectLst/>
          </c:spPr>
          <c:marker>
            <c:symbol val="triangle"/>
            <c:size val="5"/>
            <c:spPr>
              <a:noFill/>
              <a:ln w="9525" cap="flat" cmpd="sng" algn="ctr">
                <a:solidFill>
                  <a:schemeClr val="accent1"/>
                </a:solidFill>
                <a:prstDash val="solid"/>
                <a:round/>
              </a:ln>
              <a:effectLst/>
            </c:spPr>
          </c:marker>
          <c:dLbls>
            <c:delete val="1"/>
          </c:dLbls>
          <c:cat>
            <c:numRef>
              <c:f>用水指标!$B$43:$B$53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用水指标!$D$43:$D$53</c:f>
              <c:numCache>
                <c:formatCode>0.0</c:formatCode>
                <c:ptCount val="11"/>
                <c:pt idx="0">
                  <c:v>379.338658036974</c:v>
                </c:pt>
                <c:pt idx="1">
                  <c:v>333.914658829401</c:v>
                </c:pt>
                <c:pt idx="2">
                  <c:v>286.538839000932</c:v>
                </c:pt>
                <c:pt idx="3">
                  <c:v>267.049386252948</c:v>
                </c:pt>
                <c:pt idx="4">
                  <c:v>241.035341884285</c:v>
                </c:pt>
                <c:pt idx="5">
                  <c:v>232.199037865596</c:v>
                </c:pt>
                <c:pt idx="6">
                  <c:v>212.214050444434</c:v>
                </c:pt>
                <c:pt idx="7">
                  <c:v>201.426308805274</c:v>
                </c:pt>
                <c:pt idx="8">
                  <c:v>179.107953883778</c:v>
                </c:pt>
                <c:pt idx="9">
                  <c:v>142.69843229231</c:v>
                </c:pt>
                <c:pt idx="10">
                  <c:v>133.347708894879</c:v>
                </c:pt>
              </c:numCache>
            </c:numRef>
          </c:val>
          <c:smooth val="0"/>
        </c:ser>
        <c:ser>
          <c:idx val="1"/>
          <c:order val="1"/>
          <c:tx>
            <c:strRef>
              <c:f>用水指标!$E$42</c:f>
              <c:strCache>
                <c:ptCount val="1"/>
                <c:pt idx="0">
                  <c:v>万元工业增加值用水量（m3/万元）</c:v>
                </c:pt>
              </c:strCache>
            </c:strRef>
          </c:tx>
          <c:spPr>
            <a:ln w="19050" cap="rnd" cmpd="sng" algn="ctr">
              <a:solidFill>
                <a:schemeClr val="accent2"/>
              </a:solidFill>
              <a:prstDash val="solid"/>
              <a:round/>
            </a:ln>
            <a:effectLst/>
          </c:spPr>
          <c:marker>
            <c:symbol val="diamond"/>
            <c:size val="5"/>
            <c:spPr>
              <a:noFill/>
              <a:ln w="9525" cap="flat" cmpd="sng" algn="ctr">
                <a:solidFill>
                  <a:schemeClr val="accent2"/>
                </a:solidFill>
                <a:prstDash val="solid"/>
                <a:round/>
              </a:ln>
              <a:effectLst/>
            </c:spPr>
          </c:marker>
          <c:dLbls>
            <c:delete val="1"/>
          </c:dLbls>
          <c:cat>
            <c:numRef>
              <c:f>用水指标!$B$43:$B$53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用水指标!$E$43:$E$53</c:f>
              <c:numCache>
                <c:formatCode>0.0</c:formatCode>
                <c:ptCount val="11"/>
                <c:pt idx="0">
                  <c:v>139.267949319568</c:v>
                </c:pt>
                <c:pt idx="1">
                  <c:v>114.107538802661</c:v>
                </c:pt>
                <c:pt idx="2">
                  <c:v>98.5588182309494</c:v>
                </c:pt>
                <c:pt idx="3">
                  <c:v>84.6581375838926</c:v>
                </c:pt>
                <c:pt idx="4">
                  <c:v>71.9940707620529</c:v>
                </c:pt>
                <c:pt idx="5">
                  <c:v>75.4423757501154</c:v>
                </c:pt>
                <c:pt idx="6">
                  <c:v>67.0830883793847</c:v>
                </c:pt>
                <c:pt idx="7">
                  <c:v>64.5723611008085</c:v>
                </c:pt>
                <c:pt idx="8">
                  <c:v>56.3187784244881</c:v>
                </c:pt>
                <c:pt idx="9">
                  <c:v>52.657122057753</c:v>
                </c:pt>
                <c:pt idx="10">
                  <c:v>45.2064054450945</c:v>
                </c:pt>
              </c:numCache>
            </c:numRef>
          </c:val>
          <c:smooth val="0"/>
        </c:ser>
        <c:dLbls>
          <c:showLegendKey val="0"/>
          <c:showVal val="0"/>
          <c:showCatName val="0"/>
          <c:showSerName val="0"/>
          <c:showPercent val="0"/>
          <c:showBubbleSize val="0"/>
        </c:dLbls>
        <c:marker val="1"/>
        <c:smooth val="0"/>
        <c:axId val="398456704"/>
        <c:axId val="399532032"/>
      </c:lineChart>
      <c:catAx>
        <c:axId val="39845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532032"/>
        <c:crosses val="autoZero"/>
        <c:auto val="1"/>
        <c:lblAlgn val="ctr"/>
        <c:lblOffset val="100"/>
        <c:noMultiLvlLbl val="0"/>
      </c:catAx>
      <c:valAx>
        <c:axId val="399532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456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spPr>
            <a:ln>
              <a:noFill/>
            </a:ln>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需水成果整理!$C$124:$F$124</c:f>
              <c:numCache>
                <c:formatCode>0.0</c:formatCode>
                <c:ptCount val="4"/>
                <c:pt idx="0">
                  <c:v>80.8128133322142</c:v>
                </c:pt>
                <c:pt idx="1">
                  <c:v>7.39940939023739</c:v>
                </c:pt>
                <c:pt idx="2">
                  <c:v>9.15712203645909</c:v>
                </c:pt>
                <c:pt idx="3">
                  <c:v>2.63065524108935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需水成果整理!$C$125:$F$125</c:f>
              <c:numCache>
                <c:formatCode>0.0</c:formatCode>
                <c:ptCount val="4"/>
                <c:pt idx="0">
                  <c:v>78.731904274776</c:v>
                </c:pt>
                <c:pt idx="1">
                  <c:v>8.05550389038718</c:v>
                </c:pt>
                <c:pt idx="2">
                  <c:v>10.2483027992188</c:v>
                </c:pt>
                <c:pt idx="3">
                  <c:v>2.96428903561797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82108486439"/>
          <c:y val="0.130186154075523"/>
          <c:w val="0.505902449693788"/>
          <c:h val="0.801958969131501"/>
        </c:manualLayout>
      </c:layout>
      <c:pieChart>
        <c:varyColors val="1"/>
        <c:ser>
          <c:idx val="0"/>
          <c:order val="0"/>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需水成果整理!$C$123:$F$123</c:f>
              <c:strCache>
                <c:ptCount val="4"/>
                <c:pt idx="0">
                  <c:v>农业</c:v>
                </c:pt>
                <c:pt idx="1">
                  <c:v>工业</c:v>
                </c:pt>
                <c:pt idx="2">
                  <c:v>生活</c:v>
                </c:pt>
                <c:pt idx="3">
                  <c:v>河道外生态</c:v>
                </c:pt>
              </c:strCache>
            </c:strRef>
          </c:cat>
          <c:val>
            <c:numRef>
              <c:f>需水成果整理!$C$126:$F$126</c:f>
              <c:numCache>
                <c:formatCode>0.0</c:formatCode>
                <c:ptCount val="4"/>
                <c:pt idx="0">
                  <c:v>76.0141642508318</c:v>
                </c:pt>
                <c:pt idx="1">
                  <c:v>8.86316321964317</c:v>
                </c:pt>
                <c:pt idx="2">
                  <c:v>11.8629491993696</c:v>
                </c:pt>
                <c:pt idx="3">
                  <c:v>3.25972333015546</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大店岗</a:t>
            </a:r>
            <a:r>
              <a:rPr lang="en-US" altLang="zh-CN"/>
              <a:t>-</a:t>
            </a:r>
            <a:r>
              <a:rPr lang="zh-CN" altLang="en-US"/>
              <a:t>氨氮</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Sheet2!$E$2:$E$13</c:f>
              <c:numCache>
                <c:formatCode>0.00_ </c:formatCode>
                <c:ptCount val="12"/>
                <c:pt idx="0">
                  <c:v>0.97</c:v>
                </c:pt>
                <c:pt idx="1">
                  <c:v>1.61</c:v>
                </c:pt>
                <c:pt idx="2">
                  <c:v>0.85</c:v>
                </c:pt>
                <c:pt idx="3">
                  <c:v>0.25</c:v>
                </c:pt>
                <c:pt idx="4">
                  <c:v>0.11</c:v>
                </c:pt>
                <c:pt idx="5" c:formatCode="General">
                  <c:v>0.24</c:v>
                </c:pt>
                <c:pt idx="6" c:formatCode="General">
                  <c:v>0.1</c:v>
                </c:pt>
                <c:pt idx="7" c:formatCode="General">
                  <c:v>0.14</c:v>
                </c:pt>
                <c:pt idx="8" c:formatCode="General">
                  <c:v>0.1</c:v>
                </c:pt>
                <c:pt idx="9">
                  <c:v>0.13</c:v>
                </c:pt>
                <c:pt idx="10">
                  <c:v>0.21</c:v>
                </c:pt>
                <c:pt idx="11">
                  <c:v>0.41</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Sheet2!$F$2:$F$13</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工农兵大桥</a:t>
            </a:r>
            <a:r>
              <a:rPr lang="en-US" altLang="zh-CN"/>
              <a:t>-</a:t>
            </a:r>
            <a:r>
              <a:rPr lang="zh-CN" altLang="en-US"/>
              <a:t>化学需氧量</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Sheet2!$D$15:$D$26</c:f>
              <c:numCache>
                <c:formatCode>0.0_ </c:formatCode>
                <c:ptCount val="12"/>
                <c:pt idx="0">
                  <c:v>18</c:v>
                </c:pt>
                <c:pt idx="1">
                  <c:v>15.5</c:v>
                </c:pt>
                <c:pt idx="2">
                  <c:v>18</c:v>
                </c:pt>
                <c:pt idx="3">
                  <c:v>18</c:v>
                </c:pt>
                <c:pt idx="4">
                  <c:v>16.5</c:v>
                </c:pt>
                <c:pt idx="5" c:formatCode="General">
                  <c:v>35.5</c:v>
                </c:pt>
                <c:pt idx="6" c:formatCode="General">
                  <c:v>16.5</c:v>
                </c:pt>
                <c:pt idx="7" c:formatCode="General">
                  <c:v>13.8</c:v>
                </c:pt>
                <c:pt idx="8" c:formatCode="General">
                  <c:v>13.8</c:v>
                </c:pt>
                <c:pt idx="9">
                  <c:v>13.8</c:v>
                </c:pt>
                <c:pt idx="10">
                  <c:v>17</c:v>
                </c:pt>
                <c:pt idx="11">
                  <c:v>17</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Sheet2!$F$15:$F$26</c:f>
              <c:numCache>
                <c:formatCode>General</c:formatCode>
                <c:ptCount val="12"/>
                <c:pt idx="0">
                  <c:v>20</c:v>
                </c:pt>
                <c:pt idx="1">
                  <c:v>20</c:v>
                </c:pt>
                <c:pt idx="2">
                  <c:v>20</c:v>
                </c:pt>
                <c:pt idx="3">
                  <c:v>20</c:v>
                </c:pt>
                <c:pt idx="4">
                  <c:v>20</c:v>
                </c:pt>
                <c:pt idx="5">
                  <c:v>20</c:v>
                </c:pt>
                <c:pt idx="6">
                  <c:v>20</c:v>
                </c:pt>
                <c:pt idx="7">
                  <c:v>20</c:v>
                </c:pt>
                <c:pt idx="8">
                  <c:v>20</c:v>
                </c:pt>
                <c:pt idx="9">
                  <c:v>20</c:v>
                </c:pt>
                <c:pt idx="10">
                  <c:v>20</c:v>
                </c:pt>
                <c:pt idx="11">
                  <c:v>20</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三河镇大桥</a:t>
            </a:r>
            <a:r>
              <a:rPr lang="en-US" altLang="zh-CN"/>
              <a:t>-</a:t>
            </a:r>
            <a:r>
              <a:rPr lang="zh-CN" altLang="en-US"/>
              <a:t>化学需氧量</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Sheet2!$D$28:$D$39</c:f>
              <c:numCache>
                <c:formatCode>0.0_ </c:formatCode>
                <c:ptCount val="12"/>
                <c:pt idx="0">
                  <c:v>15</c:v>
                </c:pt>
                <c:pt idx="1">
                  <c:v>13</c:v>
                </c:pt>
                <c:pt idx="2">
                  <c:v>16</c:v>
                </c:pt>
                <c:pt idx="3">
                  <c:v>16</c:v>
                </c:pt>
                <c:pt idx="4">
                  <c:v>12</c:v>
                </c:pt>
                <c:pt idx="5">
                  <c:v>23</c:v>
                </c:pt>
                <c:pt idx="6">
                  <c:v>15</c:v>
                </c:pt>
                <c:pt idx="7">
                  <c:v>5</c:v>
                </c:pt>
                <c:pt idx="8">
                  <c:v>5</c:v>
                </c:pt>
                <c:pt idx="9">
                  <c:v>5</c:v>
                </c:pt>
                <c:pt idx="10">
                  <c:v>17</c:v>
                </c:pt>
                <c:pt idx="11">
                  <c:v>17</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Sheet2!$F$28:$F$39</c:f>
              <c:numCache>
                <c:formatCode>General</c:formatCode>
                <c:ptCount val="12"/>
                <c:pt idx="0">
                  <c:v>20</c:v>
                </c:pt>
                <c:pt idx="1">
                  <c:v>20</c:v>
                </c:pt>
                <c:pt idx="2">
                  <c:v>20</c:v>
                </c:pt>
                <c:pt idx="3">
                  <c:v>20</c:v>
                </c:pt>
                <c:pt idx="4">
                  <c:v>20</c:v>
                </c:pt>
                <c:pt idx="5">
                  <c:v>20</c:v>
                </c:pt>
                <c:pt idx="6">
                  <c:v>20</c:v>
                </c:pt>
                <c:pt idx="7">
                  <c:v>20</c:v>
                </c:pt>
                <c:pt idx="8">
                  <c:v>20</c:v>
                </c:pt>
                <c:pt idx="9">
                  <c:v>20</c:v>
                </c:pt>
                <c:pt idx="10">
                  <c:v>20</c:v>
                </c:pt>
                <c:pt idx="11">
                  <c:v>20</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新安渡口</a:t>
            </a:r>
            <a:r>
              <a:rPr lang="en-US" altLang="zh-CN"/>
              <a:t>-</a:t>
            </a:r>
            <a:r>
              <a:rPr lang="zh-CN" altLang="en-US"/>
              <a:t>氨氮</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val>
            <c:numRef>
              <c:f>Sheet2!$E$41:$E$52</c:f>
              <c:numCache>
                <c:formatCode>0.00_ </c:formatCode>
                <c:ptCount val="12"/>
                <c:pt idx="0">
                  <c:v>2.82</c:v>
                </c:pt>
                <c:pt idx="1">
                  <c:v>2.41</c:v>
                </c:pt>
                <c:pt idx="2">
                  <c:v>1.48</c:v>
                </c:pt>
                <c:pt idx="3">
                  <c:v>1.14</c:v>
                </c:pt>
                <c:pt idx="4">
                  <c:v>0.1</c:v>
                </c:pt>
                <c:pt idx="5">
                  <c:v>0.16</c:v>
                </c:pt>
                <c:pt idx="6">
                  <c:v>0.06</c:v>
                </c:pt>
                <c:pt idx="7">
                  <c:v>0.03</c:v>
                </c:pt>
                <c:pt idx="8">
                  <c:v>0.06</c:v>
                </c:pt>
                <c:pt idx="9">
                  <c:v>0.17</c:v>
                </c:pt>
                <c:pt idx="10">
                  <c:v>0.26</c:v>
                </c:pt>
                <c:pt idx="11">
                  <c:v>0.3</c:v>
                </c:pt>
              </c:numCache>
            </c:numRef>
          </c:val>
        </c:ser>
        <c:dLbls>
          <c:showLegendKey val="0"/>
          <c:showVal val="0"/>
          <c:showCatName val="0"/>
          <c:showSerName val="0"/>
          <c:showPercent val="0"/>
          <c:showBubbleSize val="0"/>
        </c:dLbls>
        <c:gapWidth val="219"/>
        <c:axId val="527399536"/>
        <c:axId val="527400784"/>
      </c:barChart>
      <c:lineChart>
        <c:grouping val="standard"/>
        <c:varyColors val="0"/>
        <c:ser>
          <c:idx val="1"/>
          <c:order val="1"/>
          <c:tx>
            <c:strRef>
              <c:f>Sheet2!$P$14</c:f>
              <c:strCache>
                <c:ptCount val="1"/>
                <c:pt idx="0">
                  <c:v>氨氮</c:v>
                </c:pt>
              </c:strCache>
            </c:strRef>
          </c:tx>
          <c:spPr>
            <a:ln w="28575" cap="rnd">
              <a:solidFill>
                <a:schemeClr val="accent2"/>
              </a:solidFill>
              <a:round/>
            </a:ln>
            <a:effectLst/>
          </c:spPr>
          <c:marker>
            <c:symbol val="none"/>
          </c:marker>
          <c:dLbls>
            <c:delete val="1"/>
          </c:dLbls>
          <c:val>
            <c:numRef>
              <c:f>Sheet2!$F$41:$F$52</c:f>
              <c:numCache>
                <c:formatCode>General</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smooth val="0"/>
        </c:ser>
        <c:dLbls>
          <c:showLegendKey val="0"/>
          <c:showVal val="0"/>
          <c:showCatName val="0"/>
          <c:showSerName val="0"/>
          <c:showPercent val="0"/>
          <c:showBubbleSize val="0"/>
        </c:dLbls>
        <c:marker val="0"/>
        <c:smooth val="0"/>
        <c:axId val="527399536"/>
        <c:axId val="527400784"/>
      </c:lineChart>
      <c:catAx>
        <c:axId val="527399536"/>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月份</a:t>
                </a:r>
                <a:endParaRPr lang="zh-C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400784"/>
        <c:crosses val="autoZero"/>
        <c:auto val="1"/>
        <c:lblAlgn val="ctr"/>
        <c:lblOffset val="100"/>
        <c:noMultiLvlLbl val="0"/>
      </c:catAx>
      <c:valAx>
        <c:axId val="527400784"/>
        <c:scaling>
          <c:orientation val="minMax"/>
        </c:scaling>
        <c:delete val="0"/>
        <c:axPos val="l"/>
        <c:majorGridlines>
          <c:spPr>
            <a:ln w="9525" cap="flat" cmpd="sng" algn="ctr">
              <a:solidFill>
                <a:schemeClr val="bg1">
                  <a:lumMod val="6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浓度（</a:t>
                </a:r>
                <a:r>
                  <a:rPr lang="en-US" altLang="zh-CN"/>
                  <a:t>mg/L</a:t>
                </a:r>
                <a:r>
                  <a:rPr lang="zh-CN" altLang="en-US"/>
                  <a:t>）</a:t>
                </a:r>
                <a:endParaRPr lang="zh-CN" altLang="en-US"/>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399536"/>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年工业废水排放总量对比图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Sheet3!$B$44:$B$47</c:f>
              <c:strCache>
                <c:ptCount val="4"/>
                <c:pt idx="0">
                  <c:v>2016年</c:v>
                </c:pt>
                <c:pt idx="1">
                  <c:v>2017年</c:v>
                </c:pt>
                <c:pt idx="2">
                  <c:v>2018年</c:v>
                </c:pt>
                <c:pt idx="3">
                  <c:v>2019年</c:v>
                </c:pt>
              </c:strCache>
            </c:strRef>
          </c:cat>
          <c:val>
            <c:numRef>
              <c:f>Sheet3!$C$44:$C$47</c:f>
              <c:numCache>
                <c:formatCode>General</c:formatCode>
                <c:ptCount val="4"/>
                <c:pt idx="0">
                  <c:v>809.78</c:v>
                </c:pt>
                <c:pt idx="1">
                  <c:v>686.15</c:v>
                </c:pt>
                <c:pt idx="2">
                  <c:v>572.56</c:v>
                </c:pt>
                <c:pt idx="3">
                  <c:v>620.89</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a:t>
            </a:r>
            <a:r>
              <a:rPr lang="en-US" altLang="zh-CN"/>
              <a:t>COD</a:t>
            </a:r>
            <a:r>
              <a:rPr lang="zh-CN" altLang="en-US"/>
              <a:t>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Sheet3!$B$51:$B$54</c:f>
              <c:strCache>
                <c:ptCount val="4"/>
                <c:pt idx="0">
                  <c:v>2016年</c:v>
                </c:pt>
                <c:pt idx="1">
                  <c:v>2017年</c:v>
                </c:pt>
                <c:pt idx="2">
                  <c:v>2018年</c:v>
                </c:pt>
                <c:pt idx="3">
                  <c:v>2019年</c:v>
                </c:pt>
              </c:strCache>
            </c:strRef>
          </c:cat>
          <c:val>
            <c:numRef>
              <c:f>Sheet3!$C$51:$C$54</c:f>
              <c:numCache>
                <c:formatCode>General</c:formatCode>
                <c:ptCount val="4"/>
                <c:pt idx="0">
                  <c:v>819.71</c:v>
                </c:pt>
                <c:pt idx="1">
                  <c:v>651.49</c:v>
                </c:pt>
                <c:pt idx="2">
                  <c:v>548.69</c:v>
                </c:pt>
                <c:pt idx="3">
                  <c:v>422.08</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dPt>
          <c:dLbls>
            <c:dLbl>
              <c:idx val="0"/>
              <c:layout>
                <c:manualLayout>
                  <c:x val="-0.0389149168853893"/>
                  <c:y val="0.0059962817147856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6176290463692"/>
                  <c:y val="-0.023199547973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82565616797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75262467191601"/>
                  <c:y val="-0.07137139107611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536272965879265"/>
                  <c:y val="-0.035113735783027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36614173228346"/>
                  <c:y val="0.05418197725284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地表水!$D$80:$D$86</c:f>
              <c:strCache>
                <c:ptCount val="7"/>
                <c:pt idx="0">
                  <c:v>金安区</c:v>
                </c:pt>
                <c:pt idx="1">
                  <c:v>裕安区</c:v>
                </c:pt>
                <c:pt idx="2">
                  <c:v>叶集区</c:v>
                </c:pt>
                <c:pt idx="3">
                  <c:v>霍邱县</c:v>
                </c:pt>
                <c:pt idx="4">
                  <c:v>舒城县</c:v>
                </c:pt>
                <c:pt idx="5">
                  <c:v>金寨县</c:v>
                </c:pt>
                <c:pt idx="6">
                  <c:v>霍山县</c:v>
                </c:pt>
              </c:strCache>
            </c:strRef>
          </c:cat>
          <c:val>
            <c:numRef>
              <c:f>地表水!$F$80:$F$86</c:f>
              <c:numCache>
                <c:formatCode>0.00</c:formatCode>
                <c:ptCount val="7"/>
                <c:pt idx="0">
                  <c:v>6.85550573770492</c:v>
                </c:pt>
                <c:pt idx="1">
                  <c:v>9.79825032786885</c:v>
                </c:pt>
                <c:pt idx="2">
                  <c:v>2.77067196721311</c:v>
                </c:pt>
                <c:pt idx="3">
                  <c:v>9.25766950819672</c:v>
                </c:pt>
                <c:pt idx="4">
                  <c:v>13.2401826229508</c:v>
                </c:pt>
                <c:pt idx="5">
                  <c:v>27.3556993442623</c:v>
                </c:pt>
                <c:pt idx="6">
                  <c:v>16.8293316393443</c:v>
                </c:pt>
              </c:numCache>
            </c:numRef>
          </c:val>
        </c:ser>
        <c:dLbls>
          <c:showLegendKey val="0"/>
          <c:showVal val="0"/>
          <c:showCatName val="0"/>
          <c:showSerName val="0"/>
          <c:showPercent val="0"/>
          <c:showBubbleSize val="0"/>
          <c:showLeaderLines val="1"/>
        </c:dLbls>
        <c:firstSliceAng val="27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年工业氨氮排放总量对比图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Sheet3!$B$58:$B$61</c:f>
              <c:strCache>
                <c:ptCount val="4"/>
                <c:pt idx="0">
                  <c:v>2016年</c:v>
                </c:pt>
                <c:pt idx="1">
                  <c:v>2017年</c:v>
                </c:pt>
                <c:pt idx="2">
                  <c:v>2018年</c:v>
                </c:pt>
                <c:pt idx="3">
                  <c:v>2019年</c:v>
                </c:pt>
              </c:strCache>
            </c:strRef>
          </c:cat>
          <c:val>
            <c:numRef>
              <c:f>Sheet3!$C$58:$C$61</c:f>
              <c:numCache>
                <c:formatCode>General</c:formatCode>
                <c:ptCount val="4"/>
                <c:pt idx="0">
                  <c:v>92.79</c:v>
                </c:pt>
                <c:pt idx="1">
                  <c:v>72.31</c:v>
                </c:pt>
                <c:pt idx="2">
                  <c:v>55.02</c:v>
                </c:pt>
                <c:pt idx="3">
                  <c:v>50.3</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年城镇生活废水排放总量对比图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Sheet3!$B$3:$B$6</c:f>
              <c:strCache>
                <c:ptCount val="4"/>
                <c:pt idx="0">
                  <c:v>2016年</c:v>
                </c:pt>
                <c:pt idx="1">
                  <c:v>2017年</c:v>
                </c:pt>
                <c:pt idx="2">
                  <c:v>2018年</c:v>
                </c:pt>
                <c:pt idx="3">
                  <c:v>2019年</c:v>
                </c:pt>
              </c:strCache>
            </c:strRef>
          </c:cat>
          <c:val>
            <c:numRef>
              <c:f>Sheet3!$C$3:$C$6</c:f>
              <c:numCache>
                <c:formatCode>General</c:formatCode>
                <c:ptCount val="4"/>
                <c:pt idx="0">
                  <c:v>8968.29</c:v>
                </c:pt>
                <c:pt idx="1">
                  <c:v>9074.19</c:v>
                </c:pt>
                <c:pt idx="2">
                  <c:v>10250.13</c:v>
                </c:pt>
                <c:pt idx="3">
                  <c:v>11356.11</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a:t>
            </a:r>
            <a:r>
              <a:rPr lang="en-US" altLang="zh-CN"/>
              <a:t>COD</a:t>
            </a:r>
            <a:r>
              <a:rPr lang="zh-CN" altLang="en-US"/>
              <a:t>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Sheet3!$B$10:$B$13</c:f>
              <c:strCache>
                <c:ptCount val="4"/>
                <c:pt idx="0">
                  <c:v>2016年</c:v>
                </c:pt>
                <c:pt idx="1">
                  <c:v>2017年</c:v>
                </c:pt>
                <c:pt idx="2">
                  <c:v>2018年</c:v>
                </c:pt>
                <c:pt idx="3">
                  <c:v>2019年</c:v>
                </c:pt>
              </c:strCache>
            </c:strRef>
          </c:cat>
          <c:val>
            <c:numRef>
              <c:f>Sheet3!$C$10:$C$13</c:f>
              <c:numCache>
                <c:formatCode>General</c:formatCode>
                <c:ptCount val="4"/>
                <c:pt idx="0">
                  <c:v>8968.29</c:v>
                </c:pt>
                <c:pt idx="1">
                  <c:v>9074.19</c:v>
                </c:pt>
                <c:pt idx="2">
                  <c:v>10250.13</c:v>
                </c:pt>
                <c:pt idx="3">
                  <c:v>11356.11</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2016-2019</a:t>
            </a:r>
            <a:r>
              <a:rPr lang="zh-CN" altLang="en-US"/>
              <a:t>年城镇生活氨氮排放总量对比图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Sheet3!$B$17:$B$20</c:f>
              <c:strCache>
                <c:ptCount val="4"/>
                <c:pt idx="0">
                  <c:v>2016年</c:v>
                </c:pt>
                <c:pt idx="1">
                  <c:v>2017年</c:v>
                </c:pt>
                <c:pt idx="2">
                  <c:v>2018年</c:v>
                </c:pt>
                <c:pt idx="3">
                  <c:v>2019年</c:v>
                </c:pt>
              </c:strCache>
            </c:strRef>
          </c:cat>
          <c:val>
            <c:numRef>
              <c:f>Sheet3!$C$17:$C$20</c:f>
              <c:numCache>
                <c:formatCode>General</c:formatCode>
                <c:ptCount val="4"/>
                <c:pt idx="0">
                  <c:v>3943.32</c:v>
                </c:pt>
                <c:pt idx="1">
                  <c:v>4003.25</c:v>
                </c:pt>
                <c:pt idx="2">
                  <c:v>4003.72</c:v>
                </c:pt>
                <c:pt idx="3">
                  <c:v>3993.64</c:v>
                </c:pt>
              </c:numCache>
            </c:numRef>
          </c:val>
        </c:ser>
        <c:dLbls>
          <c:showLegendKey val="0"/>
          <c:showVal val="0"/>
          <c:showCatName val="0"/>
          <c:showSerName val="0"/>
          <c:showPercent val="0"/>
          <c:showBubbleSize val="0"/>
        </c:dLbls>
        <c:gapWidth val="219"/>
        <c:overlap val="-27"/>
        <c:axId val="236329504"/>
        <c:axId val="236330336"/>
      </c:barChart>
      <c:catAx>
        <c:axId val="2363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30336"/>
        <c:crosses val="autoZero"/>
        <c:auto val="1"/>
        <c:lblAlgn val="ctr"/>
        <c:lblOffset val="100"/>
        <c:noMultiLvlLbl val="0"/>
      </c:catAx>
      <c:valAx>
        <c:axId val="2363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32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1956-2016年径流深（mm）</c:f>
              <c:strCache>
                <c:ptCount val="1"/>
                <c:pt idx="0">
                  <c:v>1956-2016年径流深（mm）</c:v>
                </c:pt>
              </c:strCache>
            </c:strRef>
          </c:tx>
          <c:spPr>
            <a:solidFill>
              <a:schemeClr val="accent1"/>
            </a:solidFill>
            <a:ln>
              <a:noFill/>
            </a:ln>
            <a:effectLst/>
          </c:spPr>
          <c:invertIfNegative val="0"/>
          <c:dLbls>
            <c:delete val="1"/>
          </c:dLbls>
          <c:cat>
            <c:strRef>
              <c:f>地表水!$C$111:$C$113</c:f>
              <c:strCache>
                <c:ptCount val="3"/>
                <c:pt idx="0">
                  <c:v>淮河</c:v>
                </c:pt>
                <c:pt idx="1">
                  <c:v>长江</c:v>
                </c:pt>
                <c:pt idx="2">
                  <c:v>全市</c:v>
                </c:pt>
              </c:strCache>
            </c:strRef>
          </c:cat>
          <c:val>
            <c:numRef>
              <c:f>地表水!$E$111:$E$113</c:f>
              <c:numCache>
                <c:formatCode>0.0</c:formatCode>
                <c:ptCount val="3"/>
                <c:pt idx="0">
                  <c:v>558.22894304381</c:v>
                </c:pt>
                <c:pt idx="1">
                  <c:v>571.838269107941</c:v>
                </c:pt>
                <c:pt idx="2">
                  <c:v>560.959674267101</c:v>
                </c:pt>
              </c:numCache>
            </c:numRef>
          </c:val>
        </c:ser>
        <c:ser>
          <c:idx val="1"/>
          <c:order val="1"/>
          <c:tx>
            <c:strRef>
              <c:f>1980-2016年径流深（mm）</c:f>
              <c:strCache>
                <c:ptCount val="1"/>
                <c:pt idx="0">
                  <c:v>1980-2016年径流深（mm）</c:v>
                </c:pt>
              </c:strCache>
            </c:strRef>
          </c:tx>
          <c:spPr>
            <a:solidFill>
              <a:schemeClr val="accent2"/>
            </a:solidFill>
            <a:ln>
              <a:noFill/>
            </a:ln>
            <a:effectLst/>
          </c:spPr>
          <c:invertIfNegative val="0"/>
          <c:dLbls>
            <c:delete val="1"/>
          </c:dLbls>
          <c:cat>
            <c:strRef>
              <c:f>地表水!$C$111:$C$113</c:f>
              <c:strCache>
                <c:ptCount val="3"/>
                <c:pt idx="0">
                  <c:v>淮河</c:v>
                </c:pt>
                <c:pt idx="1">
                  <c:v>长江</c:v>
                </c:pt>
                <c:pt idx="2">
                  <c:v>全市</c:v>
                </c:pt>
              </c:strCache>
            </c:strRef>
          </c:cat>
          <c:val>
            <c:numRef>
              <c:f>地表水!$F$111:$F$113</c:f>
              <c:numCache>
                <c:formatCode>0.0</c:formatCode>
                <c:ptCount val="3"/>
                <c:pt idx="0">
                  <c:v>587.198969140289</c:v>
                </c:pt>
                <c:pt idx="1">
                  <c:v>600.094673569673</c:v>
                </c:pt>
                <c:pt idx="2">
                  <c:v>589.786511136544</c:v>
                </c:pt>
              </c:numCache>
            </c:numRef>
          </c:val>
        </c:ser>
        <c:dLbls>
          <c:showLegendKey val="0"/>
          <c:showVal val="0"/>
          <c:showCatName val="0"/>
          <c:showSerName val="0"/>
          <c:showPercent val="0"/>
          <c:showBubbleSize val="0"/>
        </c:dLbls>
        <c:gapWidth val="219"/>
        <c:overlap val="-27"/>
        <c:axId val="272052992"/>
        <c:axId val="272054528"/>
      </c:barChart>
      <c:catAx>
        <c:axId val="27205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54528"/>
        <c:crosses val="autoZero"/>
        <c:auto val="1"/>
        <c:lblAlgn val="ctr"/>
        <c:lblOffset val="100"/>
        <c:noMultiLvlLbl val="0"/>
      </c:catAx>
      <c:valAx>
        <c:axId val="272054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52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水资源总量!$D$91</c:f>
              <c:strCache>
                <c:ptCount val="1"/>
                <c:pt idx="0">
                  <c:v>淮河</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水资源总量!$E$91:$K$91</c:f>
              <c:numCache>
                <c:formatCode>0.00</c:formatCode>
                <c:ptCount val="7"/>
                <c:pt idx="0">
                  <c:v>69.690644</c:v>
                </c:pt>
                <c:pt idx="1">
                  <c:v>65.851206</c:v>
                </c:pt>
                <c:pt idx="2">
                  <c:v>65.392221</c:v>
                </c:pt>
                <c:pt idx="3">
                  <c:v>80.274573</c:v>
                </c:pt>
                <c:pt idx="4">
                  <c:v>66.413538</c:v>
                </c:pt>
                <c:pt idx="5">
                  <c:v>74.483122</c:v>
                </c:pt>
                <c:pt idx="6">
                  <c:v>74.921875</c:v>
                </c:pt>
              </c:numCache>
            </c:numRef>
          </c:val>
          <c:smooth val="0"/>
        </c:ser>
        <c:ser>
          <c:idx val="1"/>
          <c:order val="1"/>
          <c:tx>
            <c:strRef>
              <c:f>水资源总量!$D$92</c:f>
              <c:strCache>
                <c:ptCount val="1"/>
                <c:pt idx="0">
                  <c:v>长江</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水资源总量!$E$92:$K$92</c:f>
              <c:numCache>
                <c:formatCode>0.00</c:formatCode>
                <c:ptCount val="7"/>
                <c:pt idx="0">
                  <c:v>16.455586</c:v>
                </c:pt>
                <c:pt idx="1">
                  <c:v>17.203582</c:v>
                </c:pt>
                <c:pt idx="2">
                  <c:v>17.15085</c:v>
                </c:pt>
                <c:pt idx="3">
                  <c:v>20.468582</c:v>
                </c:pt>
                <c:pt idx="4">
                  <c:v>18.249992</c:v>
                </c:pt>
                <c:pt idx="5">
                  <c:v>18.658987</c:v>
                </c:pt>
                <c:pt idx="6">
                  <c:v>19.0702816666667</c:v>
                </c:pt>
              </c:numCache>
            </c:numRef>
          </c:val>
          <c:smooth val="0"/>
        </c:ser>
        <c:ser>
          <c:idx val="2"/>
          <c:order val="2"/>
          <c:tx>
            <c:strRef>
              <c:f>水资源总量!$D$93</c:f>
              <c:strCache>
                <c:ptCount val="1"/>
                <c:pt idx="0">
                  <c:v>全市</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cat>
            <c:strRef>
              <c:f>水资源总量!$E$90:$K$90</c:f>
              <c:strCache>
                <c:ptCount val="7"/>
                <c:pt idx="0">
                  <c:v>50年代</c:v>
                </c:pt>
                <c:pt idx="1">
                  <c:v>60年代</c:v>
                </c:pt>
                <c:pt idx="2">
                  <c:v>70年代</c:v>
                </c:pt>
                <c:pt idx="3">
                  <c:v>80年代</c:v>
                </c:pt>
                <c:pt idx="4">
                  <c:v>90年代</c:v>
                </c:pt>
                <c:pt idx="5">
                  <c:v>2001～2010年</c:v>
                </c:pt>
                <c:pt idx="6">
                  <c:v>2011～2016年</c:v>
                </c:pt>
              </c:strCache>
            </c:strRef>
          </c:cat>
          <c:val>
            <c:numRef>
              <c:f>水资源总量!$E$93:$K$93</c:f>
              <c:numCache>
                <c:formatCode>0.00</c:formatCode>
                <c:ptCount val="7"/>
                <c:pt idx="0">
                  <c:v>86.14623</c:v>
                </c:pt>
                <c:pt idx="1">
                  <c:v>83.054788</c:v>
                </c:pt>
                <c:pt idx="2">
                  <c:v>82.543071</c:v>
                </c:pt>
                <c:pt idx="3">
                  <c:v>100.743155</c:v>
                </c:pt>
                <c:pt idx="4">
                  <c:v>84.66353</c:v>
                </c:pt>
                <c:pt idx="5">
                  <c:v>93.142109</c:v>
                </c:pt>
                <c:pt idx="6">
                  <c:v>93.9921566666667</c:v>
                </c:pt>
              </c:numCache>
            </c:numRef>
          </c:val>
          <c:smooth val="0"/>
        </c:ser>
        <c:dLbls>
          <c:showLegendKey val="0"/>
          <c:showVal val="0"/>
          <c:showCatName val="0"/>
          <c:showSerName val="0"/>
          <c:showPercent val="0"/>
          <c:showBubbleSize val="0"/>
        </c:dLbls>
        <c:marker val="1"/>
        <c:smooth val="0"/>
        <c:axId val="272068992"/>
        <c:axId val="272070912"/>
      </c:lineChart>
      <c:catAx>
        <c:axId val="2720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272070912"/>
        <c:crosses val="autoZero"/>
        <c:auto val="1"/>
        <c:lblAlgn val="ctr"/>
        <c:lblOffset val="100"/>
        <c:noMultiLvlLbl val="0"/>
      </c:catAx>
      <c:valAx>
        <c:axId val="272070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068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739047193092"/>
          <c:y val="0.135086060801697"/>
          <c:w val="0.436067804024497"/>
          <c:h val="0.726779673374162"/>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0419728783902012"/>
                  <c:y val="-0.10931539807524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54903762029746"/>
                  <c:y val="0.02555263925342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36526684164479"/>
                  <c:y val="-0.04143299795858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6237460227785"/>
                  <c:y val="-0.001110970206323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供水量!$L$26:$P$26</c:f>
              <c:strCache>
                <c:ptCount val="5"/>
                <c:pt idx="0">
                  <c:v>蓄水</c:v>
                </c:pt>
                <c:pt idx="1">
                  <c:v>引水</c:v>
                </c:pt>
                <c:pt idx="2">
                  <c:v>提水</c:v>
                </c:pt>
                <c:pt idx="3">
                  <c:v>地下水</c:v>
                </c:pt>
                <c:pt idx="4">
                  <c:v>其他水源</c:v>
                </c:pt>
              </c:strCache>
            </c:strRef>
          </c:cat>
          <c:val>
            <c:numRef>
              <c:f>供水量!$L$27:$P$27</c:f>
              <c:numCache>
                <c:formatCode>0.00_ </c:formatCode>
                <c:ptCount val="5"/>
                <c:pt idx="0">
                  <c:v>18.149</c:v>
                </c:pt>
                <c:pt idx="1">
                  <c:v>1.4813</c:v>
                </c:pt>
                <c:pt idx="2">
                  <c:v>2.1186</c:v>
                </c:pt>
                <c:pt idx="3">
                  <c:v>0.0755</c:v>
                </c:pt>
                <c:pt idx="4">
                  <c:v>0.438</c:v>
                </c:pt>
              </c:numCache>
            </c:numRef>
          </c:val>
        </c:ser>
        <c:dLbls>
          <c:showLegendKey val="0"/>
          <c:showVal val="0"/>
          <c:showCatName val="0"/>
          <c:showSerName val="0"/>
          <c:showPercent val="0"/>
          <c:showBubbleSize val="0"/>
          <c:showLeaderLines val="1"/>
        </c:dLbls>
        <c:firstSliceAng val="300"/>
      </c:pieChart>
      <c:spPr>
        <a:noFill/>
        <a:ln>
          <a:noFill/>
        </a:ln>
        <a:effectLst/>
      </c:spPr>
    </c:plotArea>
    <c:legend>
      <c:legendPos val="b"/>
      <c:layout>
        <c:manualLayout>
          <c:xMode val="edge"/>
          <c:yMode val="edge"/>
          <c:x val="0.814278871391076"/>
          <c:y val="0.144096675415573"/>
          <c:w val="0.160331146106737"/>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4330708661"/>
          <c:y val="0.0972222222222222"/>
          <c:w val="0.475346894138233"/>
          <c:h val="0.792244823563721"/>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138888888888889"/>
                  <c:y val="-0.02777777777777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11111111111111"/>
                  <c:y val="0.06944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33333333333333"/>
                  <c:y val="0.004629629629629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788471128608924"/>
                      <c:h val="0.121157407407407"/>
                    </c:manualLayout>
                  </c15:layout>
                </c:ext>
              </c:extLst>
            </c:dLbl>
            <c:dLbl>
              <c:idx val="3"/>
              <c:layout>
                <c:manualLayout>
                  <c:x val="-0.030555555555555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
                  <c:y val="-0.004629629629629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11111111111111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用水量!$T$28:$T$33</c:f>
              <c:strCache>
                <c:ptCount val="6"/>
                <c:pt idx="0">
                  <c:v>农田灌溉</c:v>
                </c:pt>
                <c:pt idx="1">
                  <c:v>林牧渔畜</c:v>
                </c:pt>
                <c:pt idx="2">
                  <c:v>工业</c:v>
                </c:pt>
                <c:pt idx="3">
                  <c:v>城镇公共</c:v>
                </c:pt>
                <c:pt idx="4">
                  <c:v>居民生活</c:v>
                </c:pt>
                <c:pt idx="5">
                  <c:v>生态环境</c:v>
                </c:pt>
              </c:strCache>
            </c:strRef>
          </c:cat>
          <c:val>
            <c:numRef>
              <c:f>用水量!$U$28:$U$33</c:f>
              <c:numCache>
                <c:formatCode>0.00_ </c:formatCode>
                <c:ptCount val="6"/>
                <c:pt idx="0">
                  <c:v>16.768</c:v>
                </c:pt>
                <c:pt idx="1">
                  <c:v>0.4654</c:v>
                </c:pt>
                <c:pt idx="2">
                  <c:v>1.9394</c:v>
                </c:pt>
                <c:pt idx="3">
                  <c:v>0.4742</c:v>
                </c:pt>
                <c:pt idx="4">
                  <c:v>1.9259</c:v>
                </c:pt>
                <c:pt idx="5">
                  <c:v>0.6895</c:v>
                </c:pt>
              </c:numCache>
            </c:numRef>
          </c:val>
        </c:ser>
        <c:dLbls>
          <c:showLegendKey val="0"/>
          <c:showVal val="0"/>
          <c:showCatName val="0"/>
          <c:showSerName val="0"/>
          <c:showPercent val="0"/>
          <c:showBubbleSize val="0"/>
          <c:showLeaderLines val="1"/>
        </c:dLbls>
        <c:firstSliceAng val="337"/>
      </c:pieChart>
      <c:spPr>
        <a:noFill/>
        <a:ln>
          <a:noFill/>
        </a:ln>
        <a:effectLst/>
      </c:spPr>
    </c:plotArea>
    <c:legend>
      <c:legendPos val="b"/>
      <c:layout>
        <c:manualLayout>
          <c:xMode val="edge"/>
          <c:yMode val="edge"/>
          <c:x val="0.801690288713911"/>
          <c:y val="0.167244823563721"/>
          <c:w val="0.174397200349956"/>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441898512685914"/>
                  <c:y val="0.03793416447944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3825678040245"/>
                  <c:y val="-0.01478382910469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66977252843395"/>
                  <c:y val="-0.05592592592592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234838145231846"/>
                  <c:y val="0.05498213764946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74383202099738"/>
                  <c:y val="0.002314814814814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用水量!$J$28:$J$34</c:f>
              <c:strCache>
                <c:ptCount val="7"/>
                <c:pt idx="0">
                  <c:v>金安区</c:v>
                </c:pt>
                <c:pt idx="1">
                  <c:v>裕安区</c:v>
                </c:pt>
                <c:pt idx="2">
                  <c:v>叶集区</c:v>
                </c:pt>
                <c:pt idx="3">
                  <c:v>霍邱县</c:v>
                </c:pt>
                <c:pt idx="4">
                  <c:v>舒城县</c:v>
                </c:pt>
                <c:pt idx="5">
                  <c:v>金寨县</c:v>
                </c:pt>
                <c:pt idx="6">
                  <c:v>霍山县</c:v>
                </c:pt>
              </c:strCache>
            </c:strRef>
          </c:cat>
          <c:val>
            <c:numRef>
              <c:f>用水量!$R$28:$R$34</c:f>
              <c:numCache>
                <c:formatCode>0.00_ </c:formatCode>
                <c:ptCount val="7"/>
                <c:pt idx="0">
                  <c:v>4.4783</c:v>
                </c:pt>
                <c:pt idx="1">
                  <c:v>3.2203</c:v>
                </c:pt>
                <c:pt idx="2">
                  <c:v>1.0653</c:v>
                </c:pt>
                <c:pt idx="3">
                  <c:v>7.1761</c:v>
                </c:pt>
                <c:pt idx="4">
                  <c:v>3.5469</c:v>
                </c:pt>
                <c:pt idx="5">
                  <c:v>1.5019</c:v>
                </c:pt>
                <c:pt idx="6">
                  <c:v>1.2736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用水量!$C$48</c:f>
              <c:strCache>
                <c:ptCount val="1"/>
                <c:pt idx="0">
                  <c:v>农业</c:v>
                </c:pt>
              </c:strCache>
            </c:strRef>
          </c:tx>
          <c:spPr>
            <a:solidFill>
              <a:schemeClr val="accent1"/>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用水量!$C$49:$C$59</c:f>
              <c:numCache>
                <c:formatCode>0.00_ </c:formatCode>
                <c:ptCount val="11"/>
                <c:pt idx="0">
                  <c:v>17.1028</c:v>
                </c:pt>
                <c:pt idx="1">
                  <c:v>18.8017</c:v>
                </c:pt>
                <c:pt idx="2">
                  <c:v>17.9964</c:v>
                </c:pt>
                <c:pt idx="3">
                  <c:v>18.6957</c:v>
                </c:pt>
                <c:pt idx="4">
                  <c:v>18.1477</c:v>
                </c:pt>
                <c:pt idx="5">
                  <c:v>18.2365</c:v>
                </c:pt>
                <c:pt idx="6">
                  <c:v>18.3015</c:v>
                </c:pt>
                <c:pt idx="7">
                  <c:v>18.3878</c:v>
                </c:pt>
                <c:pt idx="8">
                  <c:v>18.15</c:v>
                </c:pt>
                <c:pt idx="9">
                  <c:v>18.28</c:v>
                </c:pt>
                <c:pt idx="10">
                  <c:v>17.2334</c:v>
                </c:pt>
              </c:numCache>
            </c:numRef>
          </c:val>
        </c:ser>
        <c:ser>
          <c:idx val="1"/>
          <c:order val="1"/>
          <c:tx>
            <c:strRef>
              <c:f>用水量!$D$48</c:f>
              <c:strCache>
                <c:ptCount val="1"/>
                <c:pt idx="0">
                  <c:v>工业</c:v>
                </c:pt>
              </c:strCache>
            </c:strRef>
          </c:tx>
          <c:spPr>
            <a:solidFill>
              <a:schemeClr val="accent2"/>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用水量!$D$49:$D$59</c:f>
              <c:numCache>
                <c:formatCode>0.00_ </c:formatCode>
                <c:ptCount val="11"/>
                <c:pt idx="0">
                  <c:v>2.9678</c:v>
                </c:pt>
                <c:pt idx="1">
                  <c:v>3.2936</c:v>
                </c:pt>
                <c:pt idx="2">
                  <c:v>3.2826</c:v>
                </c:pt>
                <c:pt idx="3">
                  <c:v>3.2292</c:v>
                </c:pt>
                <c:pt idx="4">
                  <c:v>2.9627</c:v>
                </c:pt>
                <c:pt idx="5">
                  <c:v>2.9418</c:v>
                </c:pt>
                <c:pt idx="6">
                  <c:v>2.7386</c:v>
                </c:pt>
                <c:pt idx="7">
                  <c:v>2.6115</c:v>
                </c:pt>
                <c:pt idx="8">
                  <c:v>2.39</c:v>
                </c:pt>
                <c:pt idx="9">
                  <c:v>2.17</c:v>
                </c:pt>
                <c:pt idx="10">
                  <c:v>1.9394</c:v>
                </c:pt>
              </c:numCache>
            </c:numRef>
          </c:val>
        </c:ser>
        <c:ser>
          <c:idx val="2"/>
          <c:order val="2"/>
          <c:tx>
            <c:strRef>
              <c:f>用水量!$E$48</c:f>
              <c:strCache>
                <c:ptCount val="1"/>
                <c:pt idx="0">
                  <c:v>生活</c:v>
                </c:pt>
              </c:strCache>
            </c:strRef>
          </c:tx>
          <c:spPr>
            <a:solidFill>
              <a:schemeClr val="accent3"/>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用水量!$E$49:$E$59</c:f>
              <c:numCache>
                <c:formatCode>0.00_ </c:formatCode>
                <c:ptCount val="11"/>
                <c:pt idx="0">
                  <c:v>1.9467</c:v>
                </c:pt>
                <c:pt idx="1">
                  <c:v>1.9713</c:v>
                </c:pt>
                <c:pt idx="2">
                  <c:v>2.0138</c:v>
                </c:pt>
                <c:pt idx="3">
                  <c:v>2.0997</c:v>
                </c:pt>
                <c:pt idx="4">
                  <c:v>2.1261</c:v>
                </c:pt>
                <c:pt idx="5">
                  <c:v>2.1397</c:v>
                </c:pt>
                <c:pt idx="6">
                  <c:v>2.1833</c:v>
                </c:pt>
                <c:pt idx="7">
                  <c:v>2.2129</c:v>
                </c:pt>
                <c:pt idx="8">
                  <c:v>2.24</c:v>
                </c:pt>
                <c:pt idx="9">
                  <c:v>2.33</c:v>
                </c:pt>
                <c:pt idx="10">
                  <c:v>2.4001</c:v>
                </c:pt>
              </c:numCache>
            </c:numRef>
          </c:val>
        </c:ser>
        <c:ser>
          <c:idx val="3"/>
          <c:order val="3"/>
          <c:tx>
            <c:strRef>
              <c:f>用水量!$F$48</c:f>
              <c:strCache>
                <c:ptCount val="1"/>
                <c:pt idx="0">
                  <c:v>生态</c:v>
                </c:pt>
              </c:strCache>
            </c:strRef>
          </c:tx>
          <c:spPr>
            <a:solidFill>
              <a:schemeClr val="accent4"/>
            </a:solidFill>
            <a:ln>
              <a:noFill/>
            </a:ln>
            <a:effectLst/>
          </c:spPr>
          <c:invertIfNegative val="0"/>
          <c:dLbls>
            <c:delete val="1"/>
          </c:dLbls>
          <c:cat>
            <c:numRef>
              <c:f>用水量!$B$49:$B$59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用水量!$F$49:$F$59</c:f>
              <c:numCache>
                <c:formatCode>0.00_ </c:formatCode>
                <c:ptCount val="11"/>
                <c:pt idx="0">
                  <c:v>0.02</c:v>
                </c:pt>
                <c:pt idx="1">
                  <c:v>0.02</c:v>
                </c:pt>
                <c:pt idx="2">
                  <c:v>0.0647</c:v>
                </c:pt>
                <c:pt idx="3">
                  <c:v>0.2112</c:v>
                </c:pt>
                <c:pt idx="4">
                  <c:v>0.2724</c:v>
                </c:pt>
                <c:pt idx="5">
                  <c:v>0.2848</c:v>
                </c:pt>
                <c:pt idx="6">
                  <c:v>0.2931</c:v>
                </c:pt>
                <c:pt idx="7">
                  <c:v>0.3154</c:v>
                </c:pt>
                <c:pt idx="8">
                  <c:v>0.29</c:v>
                </c:pt>
                <c:pt idx="9">
                  <c:v>0.34</c:v>
                </c:pt>
                <c:pt idx="10">
                  <c:v>0.6895</c:v>
                </c:pt>
              </c:numCache>
            </c:numRef>
          </c:val>
        </c:ser>
        <c:dLbls>
          <c:showLegendKey val="0"/>
          <c:showVal val="0"/>
          <c:showCatName val="0"/>
          <c:showSerName val="0"/>
          <c:showPercent val="0"/>
          <c:showBubbleSize val="0"/>
        </c:dLbls>
        <c:gapWidth val="150"/>
        <c:overlap val="100"/>
        <c:axId val="357114240"/>
        <c:axId val="357115776"/>
      </c:barChart>
      <c:catAx>
        <c:axId val="35711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15776"/>
        <c:crosses val="autoZero"/>
        <c:auto val="1"/>
        <c:lblAlgn val="ctr"/>
        <c:lblOffset val="100"/>
        <c:noMultiLvlLbl val="0"/>
      </c:catAx>
      <c:valAx>
        <c:axId val="357115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14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4330708661"/>
          <c:y val="0.0972222222222222"/>
          <c:w val="0.475346894138233"/>
          <c:h val="0.792244823563721"/>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166666666666667"/>
                  <c:y val="-8.48755627201333e-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5"/>
                  <c:y val="0.069444444444444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27777777777778"/>
                  <c:y val="0.01851851851851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44444444444445"/>
                  <c:y val="-0.0092592592592592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5"/>
                  <c:y val="-0.032407407407407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13888888888888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用水量!$T$28:$T$33</c:f>
              <c:strCache>
                <c:ptCount val="6"/>
                <c:pt idx="0">
                  <c:v>农田灌溉</c:v>
                </c:pt>
                <c:pt idx="1">
                  <c:v>林牧渔畜</c:v>
                </c:pt>
                <c:pt idx="2">
                  <c:v>工业</c:v>
                </c:pt>
                <c:pt idx="3">
                  <c:v>城镇公共</c:v>
                </c:pt>
                <c:pt idx="4">
                  <c:v>居民生活</c:v>
                </c:pt>
                <c:pt idx="5">
                  <c:v>生态环境</c:v>
                </c:pt>
              </c:strCache>
            </c:strRef>
          </c:cat>
          <c:val>
            <c:numRef>
              <c:f>耗水量!$P$28:$P$33</c:f>
              <c:numCache>
                <c:formatCode>0.00_ </c:formatCode>
                <c:ptCount val="6"/>
                <c:pt idx="0">
                  <c:v>10.9215</c:v>
                </c:pt>
                <c:pt idx="1">
                  <c:v>0.3389</c:v>
                </c:pt>
                <c:pt idx="2">
                  <c:v>0.5529</c:v>
                </c:pt>
                <c:pt idx="3">
                  <c:v>0.1592</c:v>
                </c:pt>
                <c:pt idx="4">
                  <c:v>0.8753</c:v>
                </c:pt>
                <c:pt idx="5">
                  <c:v>0.5939</c:v>
                </c:pt>
              </c:numCache>
            </c:numRef>
          </c:val>
        </c:ser>
        <c:dLbls>
          <c:showLegendKey val="0"/>
          <c:showVal val="0"/>
          <c:showCatName val="0"/>
          <c:showSerName val="0"/>
          <c:showPercent val="0"/>
          <c:showBubbleSize val="0"/>
          <c:showLeaderLines val="1"/>
        </c:dLbls>
        <c:firstSliceAng val="330"/>
      </c:pieChart>
      <c:spPr>
        <a:noFill/>
        <a:ln>
          <a:noFill/>
        </a:ln>
        <a:effectLst/>
      </c:spPr>
    </c:plotArea>
    <c:legend>
      <c:legendPos val="b"/>
      <c:layout>
        <c:manualLayout>
          <c:xMode val="edge"/>
          <c:yMode val="edge"/>
          <c:x val="0.801690288713911"/>
          <c:y val="0.167244823563721"/>
          <c:w val="0.174397200349956"/>
          <c:h val="0.71701443569553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87F9-EEB2-42DA-BC2E-EEC4D1B715C9}">
  <ds:schemaRefs/>
</ds:datastoreItem>
</file>

<file path=docProps/app.xml><?xml version="1.0" encoding="utf-8"?>
<Properties xmlns="http://schemas.openxmlformats.org/officeDocument/2006/extended-properties" xmlns:vt="http://schemas.openxmlformats.org/officeDocument/2006/docPropsVTypes">
  <Template>Normal.dotm</Template>
  <Pages>167</Pages>
  <Words>94525</Words>
  <Characters>118096</Characters>
  <Lines>991</Lines>
  <Paragraphs>279</Paragraphs>
  <TotalTime>1200</TotalTime>
  <ScaleCrop>false</ScaleCrop>
  <LinksUpToDate>false</LinksUpToDate>
  <CharactersWithSpaces>120095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2022-01-16T08:01:00Z</dcterms:created>
  <dc:creator>888</dc:creator>
  <cp:lastModifiedBy>WPS_1659445485</cp:lastModifiedBy>
  <cp:lastPrinted>2020-12-11T03:23:00Z</cp:lastPrinted>
  <dcterms:modified xsi:type="dcterms:W3CDTF">2024-04-26T06:59:19Z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43B3C838AA104E53B783F0F6C71AF4A2_13</vt:lpwstr>
  </property>
</Properties>
</file>