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关于进一步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优化</w:t>
      </w:r>
      <w:r>
        <w:rPr>
          <w:rFonts w:ascii="Times New Roman" w:hAnsi="Times New Roman" w:eastAsia="方正小标宋简体" w:cs="Times New Roman"/>
          <w:sz w:val="44"/>
          <w:szCs w:val="44"/>
        </w:rPr>
        <w:t>省级以上开发区项目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供</w:t>
      </w:r>
      <w:r>
        <w:rPr>
          <w:rFonts w:ascii="Times New Roman" w:hAnsi="Times New Roman" w:eastAsia="方正小标宋简体" w:cs="Times New Roman"/>
          <w:sz w:val="44"/>
          <w:szCs w:val="44"/>
        </w:rPr>
        <w:t>地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管理</w:t>
      </w:r>
      <w:r>
        <w:rPr>
          <w:rFonts w:ascii="Times New Roman" w:hAnsi="Times New Roman" w:eastAsia="方正小标宋简体" w:cs="Times New Roman"/>
          <w:sz w:val="44"/>
          <w:szCs w:val="44"/>
        </w:rPr>
        <w:t>的若干措施</w:t>
      </w:r>
    </w:p>
    <w:p>
      <w:pPr>
        <w:spacing w:beforeLines="50" w:line="240" w:lineRule="auto"/>
        <w:ind w:firstLine="0" w:firstLineChars="0"/>
        <w:jc w:val="center"/>
        <w:rPr>
          <w:rFonts w:ascii="Times New Roman" w:hAnsi="Times New Roman" w:eastAsia="楷体_GB2312" w:cs="Times New Roman"/>
          <w:b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征求意见稿</w:t>
      </w:r>
      <w:r>
        <w:rPr>
          <w:rFonts w:ascii="Times New Roman" w:hAnsi="Times New Roman" w:eastAsia="楷体_GB2312" w:cs="Times New Roman"/>
          <w:b/>
        </w:rPr>
        <w:t>）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为进一步提升全市省级以上开发区节约集约用地水平，促进开发区高质量发展，现制定以下措施。</w:t>
      </w:r>
    </w:p>
    <w:p>
      <w:pPr>
        <w:spacing w:line="540" w:lineRule="exact"/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一、建立提级</w:t>
      </w:r>
      <w:r>
        <w:rPr>
          <w:rFonts w:hint="eastAsia" w:ascii="Times New Roman" w:hAnsi="Times New Roman" w:eastAsia="黑体" w:cs="Times New Roman"/>
        </w:rPr>
        <w:t>审核</w:t>
      </w:r>
      <w:r>
        <w:rPr>
          <w:rFonts w:ascii="Times New Roman" w:hAnsi="Times New Roman" w:eastAsia="黑体" w:cs="Times New Roman"/>
        </w:rPr>
        <w:t>机制</w:t>
      </w:r>
    </w:p>
    <w:p>
      <w:pPr>
        <w:spacing w:line="540" w:lineRule="exact"/>
        <w:ind w:firstLine="643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</w:rPr>
        <w:t>（一）成立市级审核小组。</w:t>
      </w:r>
      <w:r>
        <w:rPr>
          <w:rFonts w:hint="eastAsia" w:ascii="Times New Roman" w:hAnsi="Times New Roman" w:cs="Times New Roman"/>
        </w:rPr>
        <w:t>在市土地资产管理委员会办公室设立开发区项目供地审核小组</w:t>
      </w:r>
      <w:r>
        <w:rPr>
          <w:rFonts w:ascii="Times New Roman" w:hAnsi="Times New Roman" w:cs="Times New Roman"/>
        </w:rPr>
        <w:t>（下称“</w:t>
      </w:r>
      <w:r>
        <w:rPr>
          <w:rFonts w:hint="eastAsia" w:ascii="Times New Roman" w:hAnsi="Times New Roman" w:cs="Times New Roman"/>
        </w:rPr>
        <w:t>市审核</w:t>
      </w:r>
      <w:r>
        <w:rPr>
          <w:rFonts w:ascii="Times New Roman" w:hAnsi="Times New Roman" w:cs="Times New Roman"/>
        </w:rPr>
        <w:t>小组”，详见附件1）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对</w:t>
      </w:r>
      <w:r>
        <w:rPr>
          <w:rFonts w:hint="eastAsia" w:ascii="Times New Roman" w:hAnsi="Times New Roman" w:cs="Times New Roman"/>
        </w:rPr>
        <w:t>全市省级以上开发区</w:t>
      </w:r>
      <w:r>
        <w:rPr>
          <w:rFonts w:ascii="Times New Roman" w:hAnsi="Times New Roman" w:cs="Times New Roman"/>
        </w:rPr>
        <w:t>项目</w:t>
      </w:r>
      <w:r>
        <w:rPr>
          <w:rFonts w:hint="eastAsia" w:ascii="Times New Roman" w:hAnsi="Times New Roman" w:cs="Times New Roman"/>
        </w:rPr>
        <w:t>供地提级前置</w:t>
      </w:r>
      <w:r>
        <w:rPr>
          <w:rFonts w:ascii="Times New Roman" w:hAnsi="Times New Roman" w:cs="Times New Roman"/>
        </w:rPr>
        <w:t>审核。</w:t>
      </w:r>
      <w:r>
        <w:rPr>
          <w:rFonts w:hint="eastAsia" w:ascii="Times New Roman" w:hAnsi="Times New Roman" w:cs="Times New Roman"/>
        </w:rPr>
        <w:t>市审核小组从市直相关部门抽调熟悉土地、规划、产业等政策以及掌握行业规范、工艺流程、项目建设等领域的领导干部、业务骨干组成，必要时可邀请相关专家参与。</w:t>
      </w:r>
    </w:p>
    <w:p>
      <w:pPr>
        <w:spacing w:line="540" w:lineRule="exact"/>
        <w:ind w:firstLine="643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/>
        </w:rPr>
        <w:t>（二）实行高效精细审核。</w:t>
      </w:r>
    </w:p>
    <w:p>
      <w:pPr>
        <w:spacing w:line="540" w:lineRule="exact"/>
        <w:ind w:firstLine="64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eastAsia="楷体_GB2312" w:cs="Times New Roman"/>
          <w:bCs/>
        </w:rPr>
        <w:t>审核</w:t>
      </w:r>
      <w:r>
        <w:rPr>
          <w:rFonts w:ascii="Times New Roman" w:hAnsi="Times New Roman" w:eastAsia="楷体_GB2312" w:cs="Times New Roman"/>
          <w:bCs/>
        </w:rPr>
        <w:t>范围</w:t>
      </w:r>
      <w:r>
        <w:rPr>
          <w:rFonts w:hint="eastAsia" w:ascii="Times New Roman" w:hAnsi="Times New Roman" w:eastAsia="楷体_GB2312" w:cs="Times New Roman"/>
          <w:bCs/>
        </w:rPr>
        <w:t>：</w:t>
      </w:r>
      <w:r>
        <w:rPr>
          <w:rFonts w:ascii="Times New Roman" w:hAnsi="Times New Roman" w:cs="Times New Roman"/>
          <w:bCs/>
        </w:rPr>
        <w:t>省级以上开发区</w:t>
      </w:r>
      <w:r>
        <w:rPr>
          <w:rFonts w:hint="eastAsia" w:ascii="Times New Roman" w:hAnsi="Times New Roman" w:cs="Times New Roman"/>
        </w:rPr>
        <w:t>单个项目整体</w:t>
      </w:r>
      <w:r>
        <w:rPr>
          <w:rFonts w:ascii="Times New Roman" w:hAnsi="Times New Roman" w:cs="Times New Roman"/>
        </w:rPr>
        <w:t>用地规模</w:t>
      </w:r>
      <w:r>
        <w:rPr>
          <w:rFonts w:hint="eastAsia" w:ascii="Times New Roman" w:hAnsi="Times New Roman" w:cs="Times New Roman"/>
        </w:rPr>
        <w:t>达</w:t>
      </w:r>
      <w:r>
        <w:rPr>
          <w:rFonts w:ascii="Times New Roman" w:hAnsi="Times New Roman" w:cs="Times New Roman"/>
          <w:bCs/>
        </w:rPr>
        <w:t>50亩</w:t>
      </w:r>
      <w:r>
        <w:rPr>
          <w:rFonts w:hint="eastAsia" w:ascii="Times New Roman" w:hAnsi="Times New Roman" w:cs="Times New Roman"/>
          <w:bCs/>
        </w:rPr>
        <w:t>的工业</w:t>
      </w:r>
      <w:r>
        <w:rPr>
          <w:rFonts w:ascii="Times New Roman" w:hAnsi="Times New Roman" w:cs="Times New Roman"/>
          <w:bCs/>
        </w:rPr>
        <w:t>用地</w:t>
      </w:r>
      <w:r>
        <w:rPr>
          <w:rFonts w:hint="eastAsia" w:ascii="Times New Roman" w:hAnsi="Times New Roman" w:cs="Times New Roman"/>
          <w:bCs/>
        </w:rPr>
        <w:t>（含仓储用地，下同），</w:t>
      </w:r>
      <w:r>
        <w:rPr>
          <w:rFonts w:ascii="Times New Roman" w:hAnsi="Times New Roman" w:cs="Times New Roman"/>
          <w:bCs/>
        </w:rPr>
        <w:t>居住用地、商服用地。</w:t>
      </w:r>
    </w:p>
    <w:p>
      <w:pPr>
        <w:spacing w:line="540" w:lineRule="exact"/>
        <w:ind w:firstLine="64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eastAsia="楷体_GB2312" w:cs="Times New Roman"/>
          <w:bCs/>
        </w:rPr>
        <w:t>审核</w:t>
      </w:r>
      <w:r>
        <w:rPr>
          <w:rFonts w:ascii="Times New Roman" w:hAnsi="Times New Roman" w:eastAsia="楷体_GB2312" w:cs="Times New Roman"/>
          <w:bCs/>
        </w:rPr>
        <w:t>内容</w:t>
      </w:r>
      <w:r>
        <w:rPr>
          <w:rFonts w:hint="eastAsia" w:ascii="Times New Roman" w:hAnsi="Times New Roman" w:eastAsia="楷体_GB2312" w:cs="Times New Roman"/>
          <w:bCs/>
        </w:rPr>
        <w:t>：</w:t>
      </w:r>
      <w:r>
        <w:rPr>
          <w:rFonts w:ascii="Times New Roman" w:hAnsi="Times New Roman" w:cs="Times New Roman"/>
          <w:bCs/>
        </w:rPr>
        <w:t>工业用地重点</w:t>
      </w:r>
      <w:r>
        <w:rPr>
          <w:rFonts w:hint="eastAsia" w:ascii="Times New Roman" w:hAnsi="Times New Roman" w:cs="Times New Roman"/>
          <w:bCs/>
        </w:rPr>
        <w:t>审核</w:t>
      </w:r>
      <w:r>
        <w:rPr>
          <w:rFonts w:ascii="Times New Roman" w:hAnsi="Times New Roman" w:cs="Times New Roman"/>
          <w:bCs/>
        </w:rPr>
        <w:t>项目供地的必要性</w:t>
      </w:r>
      <w:r>
        <w:rPr>
          <w:rFonts w:hint="eastAsia" w:ascii="Times New Roman" w:hAnsi="Times New Roman" w:cs="Times New Roman"/>
          <w:bCs/>
        </w:rPr>
        <w:t>、园区主导产业契合性、节约集约用地程度等</w:t>
      </w:r>
      <w:r>
        <w:rPr>
          <w:rFonts w:ascii="Times New Roman" w:hAnsi="Times New Roman" w:cs="Times New Roman"/>
          <w:bCs/>
        </w:rPr>
        <w:t>；居住用地、商服用地重点</w:t>
      </w:r>
      <w:r>
        <w:rPr>
          <w:rFonts w:hint="eastAsia" w:ascii="Times New Roman" w:hAnsi="Times New Roman" w:cs="Times New Roman"/>
          <w:bCs/>
        </w:rPr>
        <w:t>审核</w:t>
      </w:r>
      <w:r>
        <w:rPr>
          <w:rFonts w:ascii="Times New Roman" w:hAnsi="Times New Roman" w:cs="Times New Roman"/>
          <w:bCs/>
        </w:rPr>
        <w:t>项目实施建设的必要性</w:t>
      </w:r>
      <w:r>
        <w:rPr>
          <w:rFonts w:hint="eastAsia"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</w:rPr>
        <w:t>规划</w:t>
      </w:r>
      <w:r>
        <w:rPr>
          <w:rFonts w:hint="eastAsia" w:ascii="Times New Roman" w:hAnsi="Times New Roman" w:cs="Times New Roman"/>
          <w:bCs/>
        </w:rPr>
        <w:t>布局的合理性等</w:t>
      </w:r>
      <w:r>
        <w:rPr>
          <w:rFonts w:ascii="Times New Roman" w:hAnsi="Times New Roman" w:cs="Times New Roman"/>
          <w:bCs/>
        </w:rPr>
        <w:t>。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Cs/>
        </w:rPr>
        <w:t>审核流程。</w:t>
      </w:r>
      <w:r>
        <w:rPr>
          <w:rFonts w:hint="eastAsia" w:ascii="Times New Roman" w:hAnsi="Times New Roman" w:cs="Times New Roman"/>
          <w:bCs/>
        </w:rPr>
        <w:t>各</w:t>
      </w:r>
      <w:r>
        <w:rPr>
          <w:rFonts w:hint="eastAsia" w:ascii="Times New Roman" w:hAnsi="Times New Roman" w:cs="Times New Roman"/>
        </w:rPr>
        <w:t>开发区对项目拟用地情况初步论证报经</w:t>
      </w:r>
      <w:r>
        <w:rPr>
          <w:rFonts w:ascii="Times New Roman" w:hAnsi="Times New Roman" w:cs="Times New Roman"/>
        </w:rPr>
        <w:t>县区政府</w:t>
      </w:r>
      <w:r>
        <w:rPr>
          <w:rFonts w:hint="eastAsia" w:ascii="Times New Roman" w:hAnsi="Times New Roman" w:cs="Times New Roman"/>
        </w:rPr>
        <w:t>（管委）</w:t>
      </w:r>
      <w:r>
        <w:rPr>
          <w:rFonts w:ascii="Times New Roman" w:hAnsi="Times New Roman" w:cs="Times New Roman"/>
        </w:rPr>
        <w:t>初审</w:t>
      </w:r>
      <w:r>
        <w:rPr>
          <w:rFonts w:hint="eastAsia" w:ascii="Times New Roman" w:hAnsi="Times New Roman" w:cs="Times New Roman"/>
        </w:rPr>
        <w:t>通过后，提交市审核小组；市审核小组按周集中受理，</w:t>
      </w:r>
      <w:r>
        <w:rPr>
          <w:rFonts w:ascii="Times New Roman" w:hAnsi="Times New Roman" w:cs="Times New Roman"/>
        </w:rPr>
        <w:t>2个工作日内反馈审核意见，重大项目即报即审</w:t>
      </w:r>
      <w:r>
        <w:rPr>
          <w:rFonts w:hint="eastAsia" w:ascii="Times New Roman" w:hAnsi="Times New Roman" w:cs="Times New Roman"/>
        </w:rPr>
        <w:t>即反馈</w:t>
      </w:r>
      <w:r>
        <w:rPr>
          <w:rFonts w:ascii="Times New Roman" w:hAnsi="Times New Roman" w:cs="Times New Roman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二、严控项目用地准入</w:t>
      </w:r>
    </w:p>
    <w:p>
      <w:pPr>
        <w:spacing w:line="56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三</w:t>
      </w:r>
      <w:r>
        <w:rPr>
          <w:rFonts w:ascii="Times New Roman" w:hAnsi="Times New Roman" w:eastAsia="楷体_GB2312" w:cs="Times New Roman"/>
          <w:b/>
        </w:rPr>
        <w:t>）优化工业用地准入。</w:t>
      </w:r>
    </w:p>
    <w:p>
      <w:pPr>
        <w:spacing w:line="56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用地规模小于1.5公顷且适宜使用标准化厂房、国家级开发区固定资产投资额低于1亿元、省级开发区固定资产投资额低于6000万元的单个工业项目，原则上不单独供地</w:t>
      </w:r>
      <w:r>
        <w:rPr>
          <w:rFonts w:hint="eastAsia" w:ascii="Times New Roman" w:hAnsi="Times New Roman" w:cs="Times New Roman"/>
        </w:rPr>
        <w:t>。坚持优先保障符合供地条件的主导产业项目，严控非主导产业项目供地。</w:t>
      </w:r>
    </w:p>
    <w:p>
      <w:pPr>
        <w:spacing w:line="560" w:lineRule="exact"/>
        <w:ind w:firstLine="64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cs="Times New Roman"/>
        </w:rPr>
        <w:t>2.严格</w:t>
      </w:r>
      <w:r>
        <w:rPr>
          <w:rFonts w:ascii="Times New Roman" w:hAnsi="Times New Roman" w:cs="Times New Roman"/>
        </w:rPr>
        <w:t>落实国家级开发区、省级开发区新建工业项目土地投资强度一般不低于300万元/亩、200万元/亩及预期亩均税收（不含土地使用率）不少于30万元/年、15万元/年的规定，对达不到上述规定的新建项目，相应核减</w:t>
      </w:r>
      <w:r>
        <w:rPr>
          <w:rFonts w:hint="eastAsia" w:ascii="Times New Roman" w:hAnsi="Times New Roman" w:cs="Times New Roman"/>
        </w:rPr>
        <w:t>供</w:t>
      </w:r>
      <w:r>
        <w:rPr>
          <w:rFonts w:ascii="Times New Roman" w:hAnsi="Times New Roman" w:cs="Times New Roman"/>
        </w:rPr>
        <w:t>地面积。</w:t>
      </w:r>
    </w:p>
    <w:p>
      <w:pPr>
        <w:spacing w:line="56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-6"/>
        </w:rPr>
        <w:t>省级</w:t>
      </w:r>
      <w:r>
        <w:rPr>
          <w:rFonts w:hint="eastAsia" w:ascii="Times New Roman" w:hAnsi="Times New Roman" w:cs="Times New Roman"/>
          <w:spacing w:val="-6"/>
        </w:rPr>
        <w:t>以上</w:t>
      </w:r>
      <w:r>
        <w:rPr>
          <w:rFonts w:ascii="Times New Roman" w:hAnsi="Times New Roman" w:cs="Times New Roman"/>
          <w:spacing w:val="-6"/>
        </w:rPr>
        <w:t>开发区新增工业项目容积率</w:t>
      </w:r>
      <w:r>
        <w:rPr>
          <w:rFonts w:hint="eastAsia" w:ascii="Times New Roman" w:hAnsi="Times New Roman" w:cs="Times New Roman"/>
          <w:spacing w:val="-6"/>
        </w:rPr>
        <w:t>原则上</w:t>
      </w:r>
      <w:r>
        <w:rPr>
          <w:rFonts w:ascii="Times New Roman" w:hAnsi="Times New Roman" w:cs="Times New Roman"/>
          <w:spacing w:val="-6"/>
        </w:rPr>
        <w:t>不低于1.</w:t>
      </w:r>
      <w:r>
        <w:rPr>
          <w:rFonts w:hint="eastAsia" w:ascii="Times New Roman" w:hAnsi="Times New Roman" w:cs="Times New Roman"/>
          <w:spacing w:val="-6"/>
        </w:rPr>
        <w:t>3</w:t>
      </w:r>
      <w:r>
        <w:rPr>
          <w:rFonts w:ascii="Times New Roman" w:hAnsi="Times New Roman" w:cs="Times New Roman"/>
          <w:spacing w:val="-6"/>
        </w:rPr>
        <w:t>，新建标准化厂房容积率原则上不低于2.0，按工业用地管理的研发项目用地容积率一般不低于2.5。</w:t>
      </w:r>
    </w:p>
    <w:p>
      <w:pPr>
        <w:spacing w:line="56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达不到</w:t>
      </w:r>
      <w:r>
        <w:rPr>
          <w:rFonts w:hint="eastAsia" w:ascii="Times New Roman" w:hAnsi="Times New Roman" w:cs="Times New Roman"/>
        </w:rPr>
        <w:t>上述</w:t>
      </w:r>
      <w:r>
        <w:rPr>
          <w:rFonts w:ascii="Times New Roman" w:hAnsi="Times New Roman" w:cs="Times New Roman"/>
        </w:rPr>
        <w:t>供地条件，但</w:t>
      </w:r>
      <w:r>
        <w:rPr>
          <w:rFonts w:hint="eastAsia" w:ascii="Times New Roman" w:hAnsi="Times New Roman" w:cs="Times New Roman"/>
        </w:rPr>
        <w:t>因</w:t>
      </w:r>
      <w:r>
        <w:rPr>
          <w:rFonts w:ascii="Times New Roman" w:hAnsi="Times New Roman" w:cs="Times New Roman"/>
        </w:rPr>
        <w:t>产业</w:t>
      </w:r>
      <w:r>
        <w:rPr>
          <w:rFonts w:hint="eastAsia" w:ascii="Times New Roman" w:hAnsi="Times New Roman" w:cs="Times New Roman"/>
        </w:rPr>
        <w:t>发展需要</w:t>
      </w:r>
      <w:r>
        <w:rPr>
          <w:rFonts w:ascii="Times New Roman" w:hAnsi="Times New Roman" w:cs="Times New Roman"/>
        </w:rPr>
        <w:t>、确需供地的重点项目，报市级“一事一议”。</w:t>
      </w:r>
    </w:p>
    <w:p>
      <w:pPr>
        <w:spacing w:line="56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.坚持“优先使用存量、严格控制增量”原则</w:t>
      </w:r>
      <w:r>
        <w:rPr>
          <w:rFonts w:hint="eastAsia" w:ascii="Times New Roman" w:hAnsi="Times New Roman" w:cs="Times New Roman"/>
        </w:rPr>
        <w:t>供地</w:t>
      </w:r>
      <w:r>
        <w:rPr>
          <w:rFonts w:ascii="Times New Roman" w:hAnsi="Times New Roman" w:cs="Times New Roman"/>
        </w:rPr>
        <w:t>。各开发区要结合园区产业规划，推进多元化标准化厂房建设，保障不单独供地项目</w:t>
      </w:r>
      <w:r>
        <w:rPr>
          <w:rFonts w:hint="eastAsia" w:ascii="Times New Roman" w:hAnsi="Times New Roman" w:cs="Times New Roman"/>
        </w:rPr>
        <w:t>落户</w:t>
      </w:r>
      <w:r>
        <w:rPr>
          <w:rFonts w:ascii="Times New Roman" w:hAnsi="Times New Roman" w:cs="Times New Roman"/>
        </w:rPr>
        <w:t>需求。</w:t>
      </w:r>
    </w:p>
    <w:p>
      <w:pPr>
        <w:spacing w:line="56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四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探索</w:t>
      </w:r>
      <w:r>
        <w:rPr>
          <w:rFonts w:ascii="Times New Roman" w:hAnsi="Times New Roman" w:eastAsia="楷体_GB2312" w:cs="Times New Roman"/>
          <w:b/>
        </w:rPr>
        <w:t>容积率</w:t>
      </w:r>
      <w:r>
        <w:rPr>
          <w:rFonts w:hint="eastAsia" w:ascii="Times New Roman" w:hAnsi="Times New Roman" w:eastAsia="楷体_GB2312" w:cs="Times New Roman"/>
          <w:b/>
        </w:rPr>
        <w:t>准入条件动态调整</w:t>
      </w:r>
      <w:r>
        <w:rPr>
          <w:rFonts w:ascii="Times New Roman" w:hAnsi="Times New Roman" w:eastAsia="楷体_GB2312" w:cs="Times New Roman"/>
          <w:b/>
        </w:rPr>
        <w:t>。</w:t>
      </w:r>
      <w:r>
        <w:rPr>
          <w:rFonts w:ascii="Times New Roman" w:hAnsi="Times New Roman" w:cs="Times New Roman"/>
        </w:rPr>
        <w:t>以主导产业现状</w:t>
      </w:r>
      <w:r>
        <w:rPr>
          <w:rFonts w:hint="eastAsia" w:ascii="Times New Roman" w:hAnsi="Times New Roman" w:cs="Times New Roman"/>
        </w:rPr>
        <w:t>综合</w:t>
      </w:r>
      <w:r>
        <w:rPr>
          <w:rFonts w:ascii="Times New Roman" w:hAnsi="Times New Roman" w:cs="Times New Roman"/>
        </w:rPr>
        <w:t>容积率为基准，</w:t>
      </w:r>
      <w:r>
        <w:rPr>
          <w:rFonts w:hint="eastAsia" w:ascii="Times New Roman" w:hAnsi="Times New Roman" w:cs="Times New Roman"/>
        </w:rPr>
        <w:t>开展</w:t>
      </w:r>
      <w:r>
        <w:rPr>
          <w:rFonts w:ascii="Times New Roman" w:hAnsi="Times New Roman" w:cs="Times New Roman"/>
        </w:rPr>
        <w:t>容积率差别化、阶梯化管控</w:t>
      </w:r>
      <w:r>
        <w:rPr>
          <w:rFonts w:hint="eastAsia" w:ascii="Times New Roman" w:hAnsi="Times New Roman" w:cs="Times New Roman"/>
        </w:rPr>
        <w:t>，鼓励综合</w:t>
      </w:r>
      <w:r>
        <w:rPr>
          <w:rFonts w:ascii="Times New Roman" w:hAnsi="Times New Roman" w:cs="Times New Roman"/>
        </w:rPr>
        <w:t>容积率按照2024至2026年</w:t>
      </w:r>
      <w:r>
        <w:rPr>
          <w:rFonts w:hint="eastAsia" w:ascii="Times New Roman" w:hAnsi="Times New Roman" w:cs="Times New Roman"/>
        </w:rPr>
        <w:t>国家级开发区</w:t>
      </w:r>
      <w:r>
        <w:rPr>
          <w:rFonts w:ascii="Times New Roman" w:hAnsi="Times New Roman" w:cs="Times New Roman"/>
        </w:rPr>
        <w:t>每年提升0.1</w:t>
      </w:r>
      <w:r>
        <w:rPr>
          <w:rFonts w:hint="eastAsia" w:ascii="Times New Roman" w:hAnsi="Times New Roman" w:cs="Times New Roman"/>
        </w:rPr>
        <w:t>，省级开发区每年提升0.05</w:t>
      </w:r>
      <w:r>
        <w:rPr>
          <w:rFonts w:ascii="Times New Roman" w:hAnsi="Times New Roman" w:cs="Times New Roman"/>
        </w:rPr>
        <w:t>（详见附件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）。</w:t>
      </w:r>
    </w:p>
    <w:p>
      <w:pPr>
        <w:spacing w:line="530" w:lineRule="exact"/>
        <w:ind w:firstLine="643"/>
        <w:rPr>
          <w:rFonts w:ascii="Times New Roman" w:hAnsi="Times New Roman" w:eastAsia="楷体_GB2312" w:cs="Times New Roman"/>
          <w:b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五</w:t>
      </w:r>
      <w:r>
        <w:rPr>
          <w:rFonts w:ascii="Times New Roman" w:hAnsi="Times New Roman" w:eastAsia="楷体_GB2312" w:cs="Times New Roman"/>
          <w:b/>
        </w:rPr>
        <w:t>）严控居住、商服用地准入。</w:t>
      </w:r>
    </w:p>
    <w:p>
      <w:pPr>
        <w:spacing w:line="53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1.在严格落实现行国土空间规划和控制性详细规划的基础上，科学合理推进生产、生活配套建设，严禁</w:t>
      </w:r>
      <w:r>
        <w:rPr>
          <w:rFonts w:hint="eastAsia" w:ascii="Times New Roman" w:hAnsi="Times New Roman" w:cs="Times New Roman"/>
        </w:rPr>
        <w:t>通过</w:t>
      </w:r>
      <w:r>
        <w:rPr>
          <w:rFonts w:ascii="Times New Roman" w:hAnsi="Times New Roman" w:cs="Times New Roman"/>
        </w:rPr>
        <w:t>随意调整规划等</w:t>
      </w:r>
      <w:r>
        <w:rPr>
          <w:rFonts w:hint="eastAsia" w:ascii="Times New Roman" w:hAnsi="Times New Roman" w:cs="Times New Roman"/>
        </w:rPr>
        <w:t>方式</w:t>
      </w:r>
      <w:r>
        <w:rPr>
          <w:rFonts w:ascii="Times New Roman" w:hAnsi="Times New Roman" w:cs="Times New Roman"/>
        </w:rPr>
        <w:t>挤占工业用地空间行为，坚决防止非工业项目占用工业用地现象，坚决防止打着产城融合名义变相搞房地产开发等。确因园区产业发展需要的，可通过依法调整规划等方式，有序推进规划非工业用地向工业用地转换，拓展工业用地空间。</w:t>
      </w:r>
    </w:p>
    <w:p>
      <w:pPr>
        <w:spacing w:line="53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2.聚焦服务产业发展和园区功能配套实际需求，分期有序推进居住、商服项目建设，保持与产业发展实际和园区配套功能相适应、相协调、相匹配。</w:t>
      </w:r>
    </w:p>
    <w:p>
      <w:pPr>
        <w:spacing w:line="53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6"/>
        </w:rPr>
        <w:t>按照“慎供居住、严控商服”原则，加强居住</w:t>
      </w:r>
      <w:r>
        <w:rPr>
          <w:rFonts w:hint="eastAsia" w:ascii="Times New Roman" w:hAnsi="Times New Roman" w:cs="Times New Roman"/>
          <w:spacing w:val="6"/>
        </w:rPr>
        <w:t>用地</w:t>
      </w:r>
      <w:r>
        <w:rPr>
          <w:rFonts w:ascii="Times New Roman" w:hAnsi="Times New Roman" w:cs="Times New Roman"/>
          <w:spacing w:val="6"/>
        </w:rPr>
        <w:t>、商服用地供应管控。</w:t>
      </w:r>
    </w:p>
    <w:p>
      <w:pPr>
        <w:spacing w:line="530" w:lineRule="exact"/>
        <w:ind w:firstLine="64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三</w:t>
      </w:r>
      <w:r>
        <w:rPr>
          <w:rFonts w:ascii="Times New Roman" w:hAnsi="Times New Roman" w:eastAsia="黑体" w:cs="Times New Roman"/>
          <w:bCs/>
        </w:rPr>
        <w:t>、</w:t>
      </w:r>
      <w:r>
        <w:rPr>
          <w:rFonts w:hint="eastAsia" w:ascii="Times New Roman" w:hAnsi="Times New Roman" w:eastAsia="黑体" w:cs="Times New Roman"/>
          <w:bCs/>
        </w:rPr>
        <w:t>优化项目供地方式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</w:rPr>
        <w:t>（六）</w:t>
      </w:r>
      <w:r>
        <w:rPr>
          <w:rFonts w:ascii="Times New Roman" w:hAnsi="Times New Roman" w:eastAsia="楷体_GB2312" w:cs="Times New Roman"/>
          <w:b/>
        </w:rPr>
        <w:t>优化</w:t>
      </w:r>
      <w:r>
        <w:rPr>
          <w:rFonts w:hint="eastAsia" w:ascii="Times New Roman" w:hAnsi="Times New Roman" w:eastAsia="楷体_GB2312" w:cs="Times New Roman"/>
          <w:b/>
        </w:rPr>
        <w:t>供地时序。</w:t>
      </w:r>
      <w:r>
        <w:rPr>
          <w:rFonts w:ascii="Times New Roman" w:hAnsi="Times New Roman" w:cs="Times New Roman"/>
        </w:rPr>
        <w:t>新增工业用地出让前，应编制规划总平面图并明确建设时序。对</w:t>
      </w:r>
      <w:r>
        <w:rPr>
          <w:rFonts w:hint="eastAsia" w:ascii="Times New Roman" w:hAnsi="Times New Roman" w:cs="Times New Roman"/>
        </w:rPr>
        <w:t>单个项目整体</w:t>
      </w:r>
      <w:r>
        <w:rPr>
          <w:rFonts w:ascii="Times New Roman" w:hAnsi="Times New Roman" w:cs="Times New Roman"/>
        </w:rPr>
        <w:t>用地规模超过100亩的工业项目，原则上分期供地，其中：1年内可全面开工（开工面积达到规划建筑占地面积的80%）的可一次性供地；1年内不能全面开工的实行分期供地、规划预留，预留期限不超过2年。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</w:rPr>
        <w:t>（七）</w:t>
      </w:r>
      <w:r>
        <w:rPr>
          <w:rFonts w:ascii="Times New Roman" w:hAnsi="Times New Roman" w:eastAsia="楷体_GB2312" w:cs="Times New Roman"/>
          <w:b/>
        </w:rPr>
        <w:t>探索</w:t>
      </w:r>
      <w:r>
        <w:rPr>
          <w:rFonts w:hint="eastAsia" w:ascii="Times New Roman" w:hAnsi="Times New Roman" w:eastAsia="楷体_GB2312" w:cs="Times New Roman"/>
          <w:b/>
        </w:rPr>
        <w:t>供地模式。</w:t>
      </w:r>
      <w:r>
        <w:rPr>
          <w:rFonts w:hint="eastAsia" w:ascii="Times New Roman" w:hAnsi="Times New Roman" w:cs="Times New Roman"/>
        </w:rPr>
        <w:t>各县区（管委）要结合实际，积极探索</w:t>
      </w:r>
      <w:r>
        <w:rPr>
          <w:rFonts w:ascii="Times New Roman" w:hAnsi="Times New Roman" w:cs="Times New Roman"/>
        </w:rPr>
        <w:t>推进长期租赁、先租后让、租让结合</w:t>
      </w:r>
      <w:r>
        <w:rPr>
          <w:rFonts w:hint="eastAsia" w:ascii="Times New Roman" w:hAnsi="Times New Roman" w:cs="Times New Roman"/>
        </w:rPr>
        <w:t>、弹性年期等</w:t>
      </w:r>
      <w:r>
        <w:rPr>
          <w:rFonts w:ascii="Times New Roman" w:hAnsi="Times New Roman" w:cs="Times New Roman"/>
        </w:rPr>
        <w:t>供地方式改革</w:t>
      </w:r>
      <w:r>
        <w:rPr>
          <w:rFonts w:hint="eastAsia" w:ascii="Times New Roman" w:hAnsi="Times New Roman" w:cs="Times New Roman"/>
        </w:rPr>
        <w:t>，拓展供地渠道。</w:t>
      </w:r>
    </w:p>
    <w:p>
      <w:pPr>
        <w:spacing w:line="530" w:lineRule="exact"/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</w:t>
      </w:r>
      <w:r>
        <w:rPr>
          <w:rFonts w:ascii="Times New Roman" w:hAnsi="Times New Roman" w:eastAsia="黑体" w:cs="Times New Roman"/>
        </w:rPr>
        <w:t>、</w:t>
      </w:r>
      <w:r>
        <w:rPr>
          <w:rFonts w:hint="eastAsia" w:ascii="Times New Roman" w:hAnsi="Times New Roman" w:eastAsia="黑体" w:cs="Times New Roman"/>
        </w:rPr>
        <w:t>着力提升用地质效</w:t>
      </w:r>
    </w:p>
    <w:p>
      <w:pPr>
        <w:spacing w:line="530" w:lineRule="exact"/>
        <w:ind w:firstLine="643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八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鼓励建设</w:t>
      </w:r>
      <w:r>
        <w:rPr>
          <w:rFonts w:ascii="Times New Roman" w:hAnsi="Times New Roman" w:eastAsia="楷体_GB2312" w:cs="Times New Roman"/>
          <w:b/>
        </w:rPr>
        <w:t>多层厂房。</w:t>
      </w:r>
      <w:r>
        <w:rPr>
          <w:rFonts w:hint="eastAsia" w:ascii="Times New Roman" w:hAnsi="Times New Roman" w:cs="Times New Roman"/>
          <w:spacing w:val="-6"/>
        </w:rPr>
        <w:t>非特殊工艺或安全等需要不允许新增</w:t>
      </w:r>
      <w:r>
        <w:rPr>
          <w:rFonts w:ascii="Times New Roman" w:hAnsi="Times New Roman" w:cs="Times New Roman"/>
          <w:spacing w:val="-6"/>
        </w:rPr>
        <w:t>单独供地工业项目</w:t>
      </w:r>
      <w:r>
        <w:rPr>
          <w:rFonts w:hint="eastAsia" w:ascii="Times New Roman" w:hAnsi="Times New Roman" w:cs="Times New Roman"/>
          <w:spacing w:val="-6"/>
        </w:rPr>
        <w:t>建设单层厂房，鼓励</w:t>
      </w:r>
      <w:r>
        <w:rPr>
          <w:rFonts w:ascii="Times New Roman" w:hAnsi="Times New Roman" w:cs="Times New Roman"/>
          <w:spacing w:val="-6"/>
        </w:rPr>
        <w:t>建设2层以上多层厂房（不包含科技研发楼、办公楼等生产配套用房），各地</w:t>
      </w:r>
      <w:r>
        <w:rPr>
          <w:rFonts w:hint="eastAsia" w:ascii="Times New Roman" w:hAnsi="Times New Roman" w:cs="Times New Roman"/>
          <w:spacing w:val="-6"/>
        </w:rPr>
        <w:t>应结合实际对三</w:t>
      </w:r>
      <w:r>
        <w:rPr>
          <w:rFonts w:ascii="Times New Roman" w:hAnsi="Times New Roman" w:cs="Times New Roman"/>
          <w:spacing w:val="-6"/>
        </w:rPr>
        <w:t>层</w:t>
      </w:r>
      <w:r>
        <w:rPr>
          <w:rFonts w:hint="eastAsia" w:ascii="Times New Roman" w:hAnsi="Times New Roman" w:cs="Times New Roman"/>
          <w:spacing w:val="-6"/>
        </w:rPr>
        <w:t>及以上建筑面积</w:t>
      </w:r>
      <w:r>
        <w:rPr>
          <w:rFonts w:ascii="Times New Roman" w:hAnsi="Times New Roman" w:cs="Times New Roman"/>
          <w:spacing w:val="-6"/>
        </w:rPr>
        <w:t>实行奖励，单个项目应合理设定奖励上限。奖励兑现要与投入产出监管合同约定指标完成情况挂钩。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</w:t>
      </w:r>
      <w:r>
        <w:rPr>
          <w:rFonts w:hint="eastAsia" w:ascii="Times New Roman" w:hAnsi="Times New Roman" w:eastAsia="楷体_GB2312" w:cs="Times New Roman"/>
          <w:b/>
        </w:rPr>
        <w:t>九</w:t>
      </w:r>
      <w:r>
        <w:rPr>
          <w:rFonts w:ascii="Times New Roman" w:hAnsi="Times New Roman" w:eastAsia="楷体_GB2312" w:cs="Times New Roman"/>
          <w:b/>
        </w:rPr>
        <w:t>）支持企业多建厂房。</w:t>
      </w:r>
      <w:r>
        <w:rPr>
          <w:rFonts w:hint="eastAsia" w:ascii="Times New Roman" w:hAnsi="Times New Roman" w:cs="Times New Roman"/>
        </w:rPr>
        <w:t>支持单独供地工业企业多建厂房，对超出自身生产经营需要部分的厂房，在不改变规划用途条件下，各开发区可通过协议约定等方式，采取园区直接租赁、引荐项目租赁、补贴企业自行租赁等方式进行利用。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（十）支持存量用地增容。</w:t>
      </w:r>
      <w:r>
        <w:rPr>
          <w:rFonts w:ascii="Times New Roman" w:hAnsi="Times New Roman" w:cs="Times New Roman"/>
        </w:rPr>
        <w:t>鼓励工业企业在现有用地上进行改扩建或拆旧建新，对超出原批准总计容建筑面积的部分，可不增收土地出让价款。在符合国土空间规划、满足安全生产等要求和不改变工业用途的前提下，采取增加建筑密度、建设多层厂房、减少绿地布置等方式拓展用地空间的，可适度提高配套行政办公及生活服务设施建筑面积所占比重。允许具备独立分宗条件的节余土地依法批准后带条件分割转让，提高容积率的部分可不再增收土地出让价款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一</w:t>
      </w:r>
      <w:r>
        <w:rPr>
          <w:rFonts w:ascii="Times New Roman" w:hAnsi="Times New Roman" w:eastAsia="楷体_GB2312" w:cs="Times New Roman"/>
          <w:b/>
        </w:rPr>
        <w:t>）探索建立土地自愿退出机制。</w:t>
      </w:r>
      <w:r>
        <w:rPr>
          <w:rFonts w:hint="eastAsia" w:ascii="Times New Roman" w:hAnsi="Times New Roman" w:cs="Times New Roman"/>
        </w:rPr>
        <w:t>在未违反土地出让合同约定的前提下</w:t>
      </w:r>
      <w:r>
        <w:rPr>
          <w:rFonts w:ascii="Times New Roman" w:hAnsi="Times New Roman" w:cs="Times New Roman"/>
        </w:rPr>
        <w:t>，土地权利人可申请提前解除土地出让合同。经出让人同意的，可返还剩余年期土地出让价款</w:t>
      </w:r>
      <w:r>
        <w:rPr>
          <w:rFonts w:hint="eastAsia" w:ascii="Times New Roman" w:hAnsi="Times New Roman" w:cs="Times New Roman"/>
        </w:rPr>
        <w:t>，地上建筑物、构筑物及其附属设施补偿按照评估确定。</w:t>
      </w:r>
    </w:p>
    <w:p>
      <w:pPr>
        <w:spacing w:line="530" w:lineRule="exact"/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五</w:t>
      </w:r>
      <w:r>
        <w:rPr>
          <w:rFonts w:ascii="Times New Roman" w:hAnsi="Times New Roman" w:eastAsia="黑体" w:cs="Times New Roman"/>
        </w:rPr>
        <w:t>、加强用地供后监管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二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加强</w:t>
      </w:r>
      <w:r>
        <w:rPr>
          <w:rFonts w:ascii="Times New Roman" w:hAnsi="Times New Roman" w:eastAsia="楷体_GB2312" w:cs="Times New Roman"/>
          <w:b/>
        </w:rPr>
        <w:t>全</w:t>
      </w:r>
      <w:r>
        <w:rPr>
          <w:rFonts w:hint="eastAsia" w:ascii="Times New Roman" w:hAnsi="Times New Roman" w:eastAsia="楷体_GB2312" w:cs="Times New Roman"/>
          <w:b/>
        </w:rPr>
        <w:t>程</w:t>
      </w:r>
      <w:r>
        <w:rPr>
          <w:rFonts w:ascii="Times New Roman" w:hAnsi="Times New Roman" w:eastAsia="楷体_GB2312" w:cs="Times New Roman"/>
          <w:b/>
        </w:rPr>
        <w:t>管理。</w:t>
      </w:r>
      <w:r>
        <w:rPr>
          <w:rFonts w:ascii="Times New Roman" w:hAnsi="Times New Roman" w:cs="Times New Roman"/>
        </w:rPr>
        <w:t>各开发区要全面实行工业项目“标准地”出让，严格执行《国有建设用地使用权出让合同》《工业项目用地投入产出监管合同》“双合同”监管。居住</w:t>
      </w:r>
      <w:r>
        <w:rPr>
          <w:rFonts w:hint="eastAsia" w:ascii="Times New Roman" w:hAnsi="Times New Roman" w:cs="Times New Roman"/>
        </w:rPr>
        <w:t>用地</w:t>
      </w:r>
      <w:r>
        <w:rPr>
          <w:rFonts w:ascii="Times New Roman" w:hAnsi="Times New Roman" w:cs="Times New Roman"/>
        </w:rPr>
        <w:t>和商服用地项目要严格落实土地出让合同监管。各地要定期巡查、跟踪服务、预警提示，督促企业按期开工、</w:t>
      </w:r>
      <w:r>
        <w:rPr>
          <w:rFonts w:hint="eastAsia" w:ascii="Times New Roman" w:hAnsi="Times New Roman" w:cs="Times New Roman"/>
        </w:rPr>
        <w:t>纳统、</w:t>
      </w:r>
      <w:r>
        <w:rPr>
          <w:rFonts w:ascii="Times New Roman" w:hAnsi="Times New Roman" w:cs="Times New Roman"/>
        </w:rPr>
        <w:t>竣工，按约完成项目亩均投资强度、亩均税收等指标。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三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严格督查通报</w:t>
      </w:r>
      <w:r>
        <w:rPr>
          <w:rFonts w:ascii="Times New Roman" w:hAnsi="Times New Roman" w:eastAsia="楷体_GB2312" w:cs="Times New Roman"/>
          <w:b/>
        </w:rPr>
        <w:t>。</w:t>
      </w:r>
      <w:r>
        <w:rPr>
          <w:rFonts w:ascii="Times New Roman" w:hAnsi="Times New Roman" w:cs="Times New Roman"/>
        </w:rPr>
        <w:t>对各开发区</w:t>
      </w:r>
      <w:r>
        <w:rPr>
          <w:rFonts w:hint="eastAsia" w:ascii="Times New Roman" w:hAnsi="Times New Roman" w:cs="Times New Roman"/>
        </w:rPr>
        <w:t>优化供地管理情况</w:t>
      </w:r>
      <w:r>
        <w:rPr>
          <w:rFonts w:ascii="Times New Roman" w:hAnsi="Times New Roman" w:cs="Times New Roman"/>
        </w:rPr>
        <w:t>实行定期督查通报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重点督查是否存在违反</w:t>
      </w:r>
      <w:r>
        <w:rPr>
          <w:rFonts w:hint="eastAsia" w:ascii="Times New Roman" w:hAnsi="Times New Roman" w:cs="Times New Roman"/>
        </w:rPr>
        <w:t>提级前置审核</w:t>
      </w:r>
      <w:r>
        <w:rPr>
          <w:rFonts w:ascii="Times New Roman" w:hAnsi="Times New Roman" w:cs="Times New Roman"/>
        </w:rPr>
        <w:t>机制供地情况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提级</w:t>
      </w:r>
      <w:r>
        <w:rPr>
          <w:rFonts w:hint="eastAsia" w:ascii="Times New Roman" w:hAnsi="Times New Roman" w:cs="Times New Roman"/>
        </w:rPr>
        <w:t>前置审核通过后的</w:t>
      </w:r>
      <w:r>
        <w:rPr>
          <w:rFonts w:ascii="Times New Roman" w:hAnsi="Times New Roman" w:cs="Times New Roman"/>
        </w:rPr>
        <w:t>供地项目相关指标</w:t>
      </w:r>
      <w:r>
        <w:rPr>
          <w:rFonts w:hint="eastAsia" w:ascii="Times New Roman" w:hAnsi="Times New Roman" w:cs="Times New Roman"/>
        </w:rPr>
        <w:t>完成</w:t>
      </w:r>
      <w:r>
        <w:rPr>
          <w:rFonts w:ascii="Times New Roman" w:hAnsi="Times New Roman" w:cs="Times New Roman"/>
        </w:rPr>
        <w:t>情况，以及属地供后监管</w:t>
      </w:r>
      <w:r>
        <w:rPr>
          <w:rFonts w:hint="eastAsia" w:ascii="Times New Roman" w:hAnsi="Times New Roman" w:cs="Times New Roman"/>
        </w:rPr>
        <w:t>职责</w:t>
      </w:r>
      <w:r>
        <w:rPr>
          <w:rFonts w:ascii="Times New Roman" w:hAnsi="Times New Roman" w:cs="Times New Roman"/>
        </w:rPr>
        <w:t>履行情况。</w:t>
      </w:r>
    </w:p>
    <w:p>
      <w:pPr>
        <w:spacing w:line="530" w:lineRule="exact"/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六</w:t>
      </w:r>
      <w:r>
        <w:rPr>
          <w:rFonts w:ascii="Times New Roman" w:hAnsi="Times New Roman" w:eastAsia="黑体" w:cs="Times New Roman"/>
        </w:rPr>
        <w:t>、健全工作保障机制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四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压实工作责任</w:t>
      </w:r>
      <w:r>
        <w:rPr>
          <w:rFonts w:ascii="Times New Roman" w:hAnsi="Times New Roman" w:eastAsia="楷体_GB2312" w:cs="Times New Roman"/>
          <w:b/>
        </w:rPr>
        <w:t>。</w:t>
      </w:r>
      <w:r>
        <w:rPr>
          <w:rFonts w:ascii="Times New Roman" w:hAnsi="Times New Roman" w:cs="Times New Roman"/>
        </w:rPr>
        <w:t>各市直有关部门要按照职责做好对开发区项目</w:t>
      </w:r>
      <w:r>
        <w:rPr>
          <w:rFonts w:hint="eastAsia" w:ascii="Times New Roman" w:hAnsi="Times New Roman" w:cs="Times New Roman"/>
        </w:rPr>
        <w:t>供地工作</w:t>
      </w:r>
      <w:r>
        <w:rPr>
          <w:rFonts w:ascii="Times New Roman" w:hAnsi="Times New Roman" w:cs="Times New Roman"/>
        </w:rPr>
        <w:t>的指导、协调、服务。市</w:t>
      </w:r>
      <w:r>
        <w:rPr>
          <w:rFonts w:hint="eastAsia" w:ascii="Times New Roman" w:hAnsi="Times New Roman" w:cs="Times New Roman"/>
        </w:rPr>
        <w:t>审核</w:t>
      </w:r>
      <w:r>
        <w:rPr>
          <w:rFonts w:ascii="Times New Roman" w:hAnsi="Times New Roman" w:cs="Times New Roman"/>
        </w:rPr>
        <w:t>小组</w:t>
      </w:r>
      <w:r>
        <w:rPr>
          <w:rFonts w:hint="eastAsia" w:ascii="Times New Roman" w:hAnsi="Times New Roman" w:cs="Times New Roman"/>
        </w:rPr>
        <w:t>要制定实施细则，</w:t>
      </w:r>
      <w:r>
        <w:rPr>
          <w:rFonts w:ascii="Times New Roman" w:hAnsi="Times New Roman" w:cs="Times New Roman"/>
        </w:rPr>
        <w:t>做好</w:t>
      </w:r>
      <w:r>
        <w:rPr>
          <w:rFonts w:hint="eastAsia" w:ascii="Times New Roman" w:hAnsi="Times New Roman" w:cs="Times New Roman"/>
        </w:rPr>
        <w:t>前置审核</w:t>
      </w:r>
      <w:r>
        <w:rPr>
          <w:rFonts w:ascii="Times New Roman" w:hAnsi="Times New Roman" w:cs="Times New Roman"/>
        </w:rPr>
        <w:t>、工作督查和年度考评等工作。各县区要高度重视，</w:t>
      </w:r>
      <w:r>
        <w:rPr>
          <w:rFonts w:hint="eastAsia" w:ascii="Times New Roman" w:hAnsi="Times New Roman" w:cs="Times New Roman"/>
        </w:rPr>
        <w:t>细化准入标准、制定支持政策，</w:t>
      </w:r>
      <w:r>
        <w:rPr>
          <w:rFonts w:ascii="Times New Roman" w:hAnsi="Times New Roman" w:cs="Times New Roman"/>
        </w:rPr>
        <w:t>健全机制</w:t>
      </w:r>
      <w:r>
        <w:rPr>
          <w:rFonts w:hint="eastAsia" w:ascii="Times New Roman" w:hAnsi="Times New Roman" w:cs="Times New Roman"/>
        </w:rPr>
        <w:t>、压实</w:t>
      </w:r>
      <w:r>
        <w:rPr>
          <w:rFonts w:ascii="Times New Roman" w:hAnsi="Times New Roman" w:cs="Times New Roman"/>
        </w:rPr>
        <w:t>责任，统筹推进各项工作落到实处。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五</w:t>
      </w:r>
      <w:r>
        <w:rPr>
          <w:rFonts w:ascii="Times New Roman" w:hAnsi="Times New Roman" w:eastAsia="楷体_GB2312" w:cs="Times New Roman"/>
          <w:b/>
        </w:rPr>
        <w:t>）</w:t>
      </w:r>
      <w:r>
        <w:rPr>
          <w:rFonts w:hint="eastAsia" w:ascii="Times New Roman" w:hAnsi="Times New Roman" w:eastAsia="楷体_GB2312" w:cs="Times New Roman"/>
          <w:b/>
        </w:rPr>
        <w:t>深化</w:t>
      </w:r>
      <w:r>
        <w:rPr>
          <w:rFonts w:ascii="Times New Roman" w:hAnsi="Times New Roman" w:eastAsia="楷体_GB2312" w:cs="Times New Roman"/>
          <w:b/>
        </w:rPr>
        <w:t>宣传引导。</w:t>
      </w:r>
      <w:r>
        <w:rPr>
          <w:rFonts w:ascii="Times New Roman" w:hAnsi="Times New Roman" w:cs="Times New Roman"/>
        </w:rPr>
        <w:t>各县区及相关部门在招商项目洽谈、土地推介等前期工作中，要加大节地政策宣传，增强企业节约集约用地意识。在项目选址、规划方案审批等工作环节，要主动服务、充分对接，引导市场主体合理精细利用土地。</w:t>
      </w:r>
    </w:p>
    <w:p>
      <w:pPr>
        <w:spacing w:line="530" w:lineRule="exact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>（十</w:t>
      </w:r>
      <w:r>
        <w:rPr>
          <w:rFonts w:hint="eastAsia" w:ascii="Times New Roman" w:hAnsi="Times New Roman" w:eastAsia="楷体_GB2312" w:cs="Times New Roman"/>
          <w:b/>
        </w:rPr>
        <w:t>六</w:t>
      </w:r>
      <w:r>
        <w:rPr>
          <w:rFonts w:ascii="Times New Roman" w:hAnsi="Times New Roman" w:eastAsia="楷体_GB2312" w:cs="Times New Roman"/>
          <w:b/>
        </w:rPr>
        <w:t>）强化考核评价。</w:t>
      </w:r>
      <w:r>
        <w:rPr>
          <w:rFonts w:ascii="Times New Roman" w:hAnsi="Times New Roman" w:cs="Times New Roman"/>
        </w:rPr>
        <w:t>对各地项目</w:t>
      </w:r>
      <w:r>
        <w:rPr>
          <w:rFonts w:hint="eastAsia" w:ascii="Times New Roman" w:hAnsi="Times New Roman" w:cs="Times New Roman"/>
        </w:rPr>
        <w:t>供地管理</w:t>
      </w:r>
      <w:r>
        <w:rPr>
          <w:rFonts w:ascii="Times New Roman" w:hAnsi="Times New Roman" w:cs="Times New Roman"/>
        </w:rPr>
        <w:t>工作进行评价，</w:t>
      </w:r>
      <w:r>
        <w:rPr>
          <w:rFonts w:hint="eastAsia" w:ascii="Times New Roman" w:hAnsi="Times New Roman" w:cs="Times New Roman"/>
        </w:rPr>
        <w:t>评价结果要与“标准地”改革、“亩均论英雄”改革相衔接，</w:t>
      </w:r>
      <w:r>
        <w:rPr>
          <w:rFonts w:ascii="Times New Roman" w:hAnsi="Times New Roman" w:cs="Times New Roman"/>
        </w:rPr>
        <w:t>并纳入政府年度目标管理绩效</w:t>
      </w:r>
      <w:r>
        <w:rPr>
          <w:rFonts w:hint="eastAsia" w:ascii="Times New Roman" w:hAnsi="Times New Roman" w:cs="Times New Roman"/>
        </w:rPr>
        <w:t>考核</w:t>
      </w:r>
      <w:r>
        <w:rPr>
          <w:rFonts w:ascii="Times New Roman" w:hAnsi="Times New Roman" w:cs="Times New Roman"/>
        </w:rPr>
        <w:t>。对成效显著的开发区在新增建设用地计划、专项资金等方面给予激励，对工作落实不到位、成效不明显甚至弄虚作假的要及时进行通报，并视情开展约谈、实行用地限批等措施。</w:t>
      </w: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spacing w:line="6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省级以上开发区项目供地审核小组</w:t>
      </w:r>
    </w:p>
    <w:p>
      <w:pPr>
        <w:spacing w:line="540" w:lineRule="exact"/>
        <w:ind w:firstLine="880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spacing w:line="540" w:lineRule="exact"/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一、组成人员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组  长：</w:t>
      </w:r>
      <w:r>
        <w:rPr>
          <w:rFonts w:ascii="Times New Roman" w:hAnsi="Times New Roman" w:cs="Times New Roman"/>
        </w:rPr>
        <w:t>市自然资源局</w:t>
      </w:r>
      <w:r>
        <w:rPr>
          <w:rFonts w:hint="eastAsia" w:ascii="Times New Roman" w:hAnsi="Times New Roman" w:cs="Times New Roman"/>
        </w:rPr>
        <w:t>主要负责人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副组长：</w:t>
      </w:r>
      <w:r>
        <w:rPr>
          <w:rFonts w:ascii="Times New Roman" w:hAnsi="Times New Roman" w:cs="Times New Roman"/>
        </w:rPr>
        <w:t>市自然资源局分管</w:t>
      </w:r>
      <w:r>
        <w:rPr>
          <w:rFonts w:hint="eastAsia" w:ascii="Times New Roman" w:hAnsi="Times New Roman" w:cs="Times New Roman"/>
        </w:rPr>
        <w:t>负责人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市</w:t>
      </w:r>
      <w:r>
        <w:rPr>
          <w:rFonts w:ascii="Times New Roman" w:hAnsi="Times New Roman" w:cs="Times New Roman"/>
        </w:rPr>
        <w:t>经信局分管</w:t>
      </w:r>
      <w:r>
        <w:rPr>
          <w:rFonts w:hint="eastAsia" w:ascii="Times New Roman" w:hAnsi="Times New Roman" w:cs="Times New Roman"/>
        </w:rPr>
        <w:t>负责人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成  员：</w:t>
      </w:r>
      <w:r>
        <w:rPr>
          <w:rFonts w:ascii="Times New Roman" w:hAnsi="Times New Roman" w:cs="Times New Roman"/>
        </w:rPr>
        <w:t>市发改委</w:t>
      </w:r>
      <w:r>
        <w:rPr>
          <w:rFonts w:hint="eastAsia" w:ascii="Times New Roman" w:hAnsi="Times New Roman" w:cs="Times New Roman"/>
        </w:rPr>
        <w:t>分管负责人或业务科室负责人</w:t>
      </w:r>
    </w:p>
    <w:p>
      <w:pPr>
        <w:spacing w:line="540" w:lineRule="exact"/>
        <w:ind w:firstLine="1929" w:firstLineChars="6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市经信局</w:t>
      </w:r>
      <w:r>
        <w:rPr>
          <w:rFonts w:hint="eastAsia" w:ascii="Times New Roman" w:hAnsi="Times New Roman" w:cs="Times New Roman"/>
        </w:rPr>
        <w:t>业务科室负责人</w:t>
      </w:r>
    </w:p>
    <w:p>
      <w:pPr>
        <w:spacing w:line="540" w:lineRule="exact"/>
        <w:ind w:firstLine="1929" w:firstLineChars="6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市自然资源局</w:t>
      </w:r>
      <w:r>
        <w:rPr>
          <w:rFonts w:hint="eastAsia" w:ascii="Times New Roman" w:hAnsi="Times New Roman" w:cs="Times New Roman"/>
        </w:rPr>
        <w:t>业务科室负责人</w:t>
      </w:r>
    </w:p>
    <w:p>
      <w:pPr>
        <w:spacing w:line="540" w:lineRule="exact"/>
        <w:ind w:firstLine="1929" w:firstLineChars="6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市投创中心</w:t>
      </w:r>
      <w:r>
        <w:rPr>
          <w:rFonts w:hint="eastAsia" w:ascii="Times New Roman" w:hAnsi="Times New Roman" w:cs="Times New Roman"/>
        </w:rPr>
        <w:t>分管负责人或业务科室负责人</w:t>
      </w:r>
    </w:p>
    <w:p>
      <w:pPr>
        <w:spacing w:line="540" w:lineRule="exact"/>
        <w:ind w:firstLine="1929" w:firstLineChars="60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2-3名专业人员</w:t>
      </w:r>
    </w:p>
    <w:p>
      <w:pPr>
        <w:spacing w:line="540" w:lineRule="exact"/>
        <w:ind w:firstLine="64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二、职责分工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市发改委负责</w:t>
      </w:r>
      <w:r>
        <w:rPr>
          <w:rFonts w:hint="eastAsia" w:ascii="Times New Roman" w:hAnsi="Times New Roman" w:cs="Times New Roman"/>
        </w:rPr>
        <w:t>审核</w:t>
      </w:r>
      <w:r>
        <w:rPr>
          <w:rFonts w:ascii="Times New Roman" w:hAnsi="Times New Roman" w:cs="Times New Roman"/>
        </w:rPr>
        <w:t>是否符合国家产业政策、产业布局及能耗等要求。</w:t>
      </w:r>
    </w:p>
    <w:p>
      <w:pPr>
        <w:spacing w:line="540" w:lineRule="exact"/>
        <w:ind w:firstLine="616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市经信局负责</w:t>
      </w:r>
      <w:r>
        <w:rPr>
          <w:rFonts w:hint="eastAsia" w:ascii="Times New Roman" w:hAnsi="Times New Roman" w:cs="Times New Roman"/>
          <w:spacing w:val="-6"/>
        </w:rPr>
        <w:t>审核</w:t>
      </w:r>
      <w:r>
        <w:rPr>
          <w:rFonts w:ascii="Times New Roman" w:hAnsi="Times New Roman" w:cs="Times New Roman"/>
          <w:spacing w:val="-6"/>
        </w:rPr>
        <w:t>是否符合行业准入标准</w:t>
      </w:r>
      <w:r>
        <w:rPr>
          <w:rFonts w:hint="eastAsia" w:ascii="Times New Roman" w:hAnsi="Times New Roman" w:cs="Times New Roman"/>
          <w:spacing w:val="-6"/>
        </w:rPr>
        <w:t>、亩均税收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spacing w:val="-6"/>
        </w:rPr>
        <w:t>是否契合园区主导产业</w:t>
      </w:r>
      <w:r>
        <w:rPr>
          <w:rFonts w:ascii="Times New Roman" w:hAnsi="Times New Roman" w:cs="Times New Roman"/>
          <w:spacing w:val="-6"/>
        </w:rPr>
        <w:t>等要求。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市自然资源局负责</w:t>
      </w:r>
      <w:r>
        <w:rPr>
          <w:rFonts w:hint="eastAsia" w:ascii="Times New Roman" w:hAnsi="Times New Roman" w:cs="Times New Roman"/>
        </w:rPr>
        <w:t>审核</w:t>
      </w:r>
      <w:r>
        <w:rPr>
          <w:rFonts w:ascii="Times New Roman" w:hAnsi="Times New Roman" w:cs="Times New Roman"/>
        </w:rPr>
        <w:t>是否符合国土空间规划管控要求，是否符合投资强度、容积率、绿地率、建筑密度和行业用地使用标准等要求。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市投创中心负责</w:t>
      </w:r>
      <w:r>
        <w:rPr>
          <w:rFonts w:hint="eastAsia" w:ascii="Times New Roman" w:hAnsi="Times New Roman" w:cs="Times New Roman"/>
        </w:rPr>
        <w:t>审核</w:t>
      </w:r>
      <w:r>
        <w:rPr>
          <w:rFonts w:ascii="Times New Roman" w:hAnsi="Times New Roman" w:cs="Times New Roman"/>
        </w:rPr>
        <w:t>是否符合我市招商引资相关政策要求。</w:t>
      </w:r>
    </w:p>
    <w:p>
      <w:pPr>
        <w:spacing w:line="540" w:lineRule="exact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审核</w:t>
      </w:r>
      <w:r>
        <w:rPr>
          <w:rFonts w:ascii="Times New Roman" w:hAnsi="Times New Roman" w:cs="Times New Roman"/>
        </w:rPr>
        <w:t>小组</w:t>
      </w:r>
      <w:r>
        <w:rPr>
          <w:rFonts w:hint="eastAsia" w:ascii="Times New Roman" w:hAnsi="Times New Roman" w:cs="Times New Roman"/>
        </w:rPr>
        <w:t>负责</w:t>
      </w:r>
      <w:r>
        <w:rPr>
          <w:rFonts w:ascii="Times New Roman" w:hAnsi="Times New Roman" w:cs="Times New Roman"/>
        </w:rPr>
        <w:t>对各</w:t>
      </w:r>
      <w:r>
        <w:rPr>
          <w:rFonts w:hint="eastAsia" w:ascii="Times New Roman" w:hAnsi="Times New Roman" w:cs="Times New Roman"/>
        </w:rPr>
        <w:t>开发区</w:t>
      </w:r>
      <w:r>
        <w:rPr>
          <w:rFonts w:ascii="Times New Roman" w:hAnsi="Times New Roman" w:cs="Times New Roman"/>
        </w:rPr>
        <w:t>项目</w:t>
      </w:r>
      <w:r>
        <w:rPr>
          <w:rFonts w:hint="eastAsia" w:ascii="Times New Roman" w:hAnsi="Times New Roman" w:cs="Times New Roman"/>
        </w:rPr>
        <w:t>供地</w:t>
      </w:r>
      <w:r>
        <w:rPr>
          <w:rFonts w:ascii="Times New Roman" w:hAnsi="Times New Roman" w:cs="Times New Roman"/>
        </w:rPr>
        <w:t>进行</w:t>
      </w:r>
      <w:r>
        <w:rPr>
          <w:rFonts w:hint="eastAsia" w:ascii="Times New Roman" w:hAnsi="Times New Roman" w:cs="Times New Roman"/>
        </w:rPr>
        <w:t>前置</w:t>
      </w:r>
      <w:r>
        <w:rPr>
          <w:rFonts w:ascii="Times New Roman" w:hAnsi="Times New Roman" w:cs="Times New Roman"/>
        </w:rPr>
        <w:t>审核，</w:t>
      </w:r>
      <w:r>
        <w:rPr>
          <w:rFonts w:ascii="Times New Roman" w:hAnsi="Times New Roman" w:cs="Times New Roman"/>
          <w:spacing w:val="-6"/>
        </w:rPr>
        <w:t>重大项目、“一事一议”项目</w:t>
      </w:r>
      <w:r>
        <w:rPr>
          <w:rFonts w:hint="eastAsia" w:ascii="Times New Roman" w:hAnsi="Times New Roman" w:cs="Times New Roman"/>
          <w:spacing w:val="-6"/>
        </w:rPr>
        <w:t>及时报市土地资产管理委员会办公室审议。</w:t>
      </w:r>
      <w:r>
        <w:rPr>
          <w:rFonts w:ascii="Times New Roman" w:hAnsi="Times New Roman" w:cs="Times New Roman"/>
        </w:rPr>
        <w:br w:type="page"/>
      </w:r>
    </w:p>
    <w:p>
      <w:pPr>
        <w:spacing w:line="500" w:lineRule="exact"/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2</w:t>
      </w:r>
    </w:p>
    <w:p>
      <w:pPr>
        <w:spacing w:beforeLines="50" w:afterLines="50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6"/>
          <w:kern w:val="0"/>
          <w:sz w:val="36"/>
          <w:szCs w:val="36"/>
        </w:rPr>
        <w:t>省级以上开发区主导产业</w:t>
      </w:r>
      <w:r>
        <w:rPr>
          <w:rFonts w:hint="eastAsia" w:ascii="Times New Roman" w:hAnsi="Times New Roman" w:eastAsia="方正小标宋简体" w:cs="Times New Roman"/>
          <w:spacing w:val="-6"/>
          <w:kern w:val="0"/>
          <w:sz w:val="36"/>
          <w:szCs w:val="36"/>
        </w:rPr>
        <w:t>综合</w:t>
      </w:r>
      <w:r>
        <w:rPr>
          <w:rFonts w:ascii="Times New Roman" w:hAnsi="Times New Roman" w:eastAsia="方正小标宋简体" w:cs="Times New Roman"/>
          <w:spacing w:val="-6"/>
          <w:kern w:val="0"/>
          <w:sz w:val="36"/>
          <w:szCs w:val="36"/>
        </w:rPr>
        <w:t>容积率</w:t>
      </w:r>
      <w:r>
        <w:rPr>
          <w:rFonts w:hint="eastAsia" w:ascii="Times New Roman" w:hAnsi="Times New Roman" w:eastAsia="方正小标宋简体" w:cs="Times New Roman"/>
          <w:spacing w:val="-6"/>
          <w:kern w:val="0"/>
          <w:sz w:val="36"/>
          <w:szCs w:val="36"/>
        </w:rPr>
        <w:t>指导性标准</w:t>
      </w:r>
    </w:p>
    <w:tbl>
      <w:tblPr>
        <w:tblStyle w:val="9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537"/>
        <w:gridCol w:w="3835"/>
        <w:gridCol w:w="814"/>
        <w:gridCol w:w="1074"/>
        <w:gridCol w:w="107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开发区名称</w:t>
            </w:r>
          </w:p>
        </w:tc>
        <w:tc>
          <w:tcPr>
            <w:tcW w:w="3835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主导产业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现状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综合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容积率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年度综合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2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  <w:vMerge w:val="continue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2024年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2025年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六安经济技术开发区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装备制造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汽车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制造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新材料产业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1.28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4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电子信息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1.27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霍</w:t>
            </w:r>
            <w:r>
              <w:rPr>
                <w:rFonts w:ascii="Times New Roman" w:hAnsi="Times New Roman" w:cs="Times New Roman"/>
                <w:b/>
                <w:bCs/>
                <w:spacing w:val="-17"/>
                <w:kern w:val="0"/>
                <w:sz w:val="24"/>
                <w:szCs w:val="24"/>
              </w:rPr>
              <w:t>邱经济开发区（现代产业园）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高端装备制造业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1.26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1.13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1.23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64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5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储能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铁基新材料产业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1.02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1.07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1.12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金寨经济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1.32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金属制品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霍山经济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1.34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绿色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农产品加工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1.16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1.21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1.26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舒城经济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农副食品加工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0.93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1.03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1.04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1.09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1.14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金安经济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0.83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0.88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0.94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1.12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1.17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1.22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纺织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0.85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0.95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六安高新技术产业开发区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1.25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0.94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0.99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1.04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叶集经济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木竹产品加工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1.15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1.19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1.25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家具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1.27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建材</w:t>
            </w:r>
          </w:p>
        </w:tc>
        <w:tc>
          <w:tcPr>
            <w:tcW w:w="81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1.09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1.14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1.19</w:t>
            </w:r>
          </w:p>
        </w:tc>
        <w:tc>
          <w:tcPr>
            <w:tcW w:w="1164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1.24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8"/>
          <w:szCs w:val="28"/>
        </w:rPr>
        <w:t>注：现状容积率系各开发区自行统计，具体数据经市审核小组核定后确定。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74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hAuIdYBAACwAwAADgAAAGRycy9lMm9Eb2MueG1srVPNjtMwEL4j8Q6W&#10;7zRp0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UhAuI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a1797b2a-1862-4747-9c2a-2459eba32412"/>
  </w:docVars>
  <w:rsids>
    <w:rsidRoot w:val="5B3854DB"/>
    <w:rsid w:val="00020301"/>
    <w:rsid w:val="00031309"/>
    <w:rsid w:val="00087E16"/>
    <w:rsid w:val="000B253D"/>
    <w:rsid w:val="000E5A10"/>
    <w:rsid w:val="000F4536"/>
    <w:rsid w:val="000F5AFE"/>
    <w:rsid w:val="001E5CD2"/>
    <w:rsid w:val="00210471"/>
    <w:rsid w:val="00232857"/>
    <w:rsid w:val="0023316B"/>
    <w:rsid w:val="002439F8"/>
    <w:rsid w:val="002825E8"/>
    <w:rsid w:val="002C7BB4"/>
    <w:rsid w:val="002E5AE8"/>
    <w:rsid w:val="003B5771"/>
    <w:rsid w:val="003C083B"/>
    <w:rsid w:val="003C4EFB"/>
    <w:rsid w:val="004107A2"/>
    <w:rsid w:val="004147CB"/>
    <w:rsid w:val="004560CB"/>
    <w:rsid w:val="004815D9"/>
    <w:rsid w:val="004D2991"/>
    <w:rsid w:val="004E0361"/>
    <w:rsid w:val="004E46DD"/>
    <w:rsid w:val="004F0813"/>
    <w:rsid w:val="00540E8B"/>
    <w:rsid w:val="00566F13"/>
    <w:rsid w:val="005922EF"/>
    <w:rsid w:val="005F36BE"/>
    <w:rsid w:val="00617E1B"/>
    <w:rsid w:val="00685752"/>
    <w:rsid w:val="007120D0"/>
    <w:rsid w:val="00741884"/>
    <w:rsid w:val="00760ADC"/>
    <w:rsid w:val="00775B42"/>
    <w:rsid w:val="007C07C1"/>
    <w:rsid w:val="00813D38"/>
    <w:rsid w:val="008665FD"/>
    <w:rsid w:val="00881AA3"/>
    <w:rsid w:val="008F1F5D"/>
    <w:rsid w:val="00906737"/>
    <w:rsid w:val="00926C1D"/>
    <w:rsid w:val="00942917"/>
    <w:rsid w:val="00983774"/>
    <w:rsid w:val="009B2FD5"/>
    <w:rsid w:val="009D44DE"/>
    <w:rsid w:val="00A10FDC"/>
    <w:rsid w:val="00A32025"/>
    <w:rsid w:val="00AA1E3E"/>
    <w:rsid w:val="00AD04E1"/>
    <w:rsid w:val="00AD5A09"/>
    <w:rsid w:val="00AF75D4"/>
    <w:rsid w:val="00B255E4"/>
    <w:rsid w:val="00B71E53"/>
    <w:rsid w:val="00B92040"/>
    <w:rsid w:val="00B95F38"/>
    <w:rsid w:val="00BC67F2"/>
    <w:rsid w:val="00BE71AA"/>
    <w:rsid w:val="00BF190B"/>
    <w:rsid w:val="00C1439B"/>
    <w:rsid w:val="00C43DFE"/>
    <w:rsid w:val="00C64C5A"/>
    <w:rsid w:val="00C73CBD"/>
    <w:rsid w:val="00CC458D"/>
    <w:rsid w:val="00D14F0C"/>
    <w:rsid w:val="00D81564"/>
    <w:rsid w:val="00DD49AD"/>
    <w:rsid w:val="00DF2745"/>
    <w:rsid w:val="00E341B7"/>
    <w:rsid w:val="00E375EF"/>
    <w:rsid w:val="00E63EDC"/>
    <w:rsid w:val="00E778C0"/>
    <w:rsid w:val="00EB063A"/>
    <w:rsid w:val="00F05198"/>
    <w:rsid w:val="00F66405"/>
    <w:rsid w:val="00F8485E"/>
    <w:rsid w:val="00F96010"/>
    <w:rsid w:val="00F96726"/>
    <w:rsid w:val="00FA3657"/>
    <w:rsid w:val="00FA572B"/>
    <w:rsid w:val="00FA735E"/>
    <w:rsid w:val="00FB46F2"/>
    <w:rsid w:val="00FB7764"/>
    <w:rsid w:val="00FD2450"/>
    <w:rsid w:val="00FD4026"/>
    <w:rsid w:val="00FD4035"/>
    <w:rsid w:val="00FD6B14"/>
    <w:rsid w:val="00FE21E8"/>
    <w:rsid w:val="00FF140A"/>
    <w:rsid w:val="024E77B5"/>
    <w:rsid w:val="02BF42AE"/>
    <w:rsid w:val="04AB7A36"/>
    <w:rsid w:val="053A2EE4"/>
    <w:rsid w:val="07F160B6"/>
    <w:rsid w:val="0E032F8E"/>
    <w:rsid w:val="0FFF16F9"/>
    <w:rsid w:val="10712750"/>
    <w:rsid w:val="108F528E"/>
    <w:rsid w:val="12354B50"/>
    <w:rsid w:val="14A313F7"/>
    <w:rsid w:val="14CF0F94"/>
    <w:rsid w:val="176506E2"/>
    <w:rsid w:val="1A0A44A4"/>
    <w:rsid w:val="1A252B14"/>
    <w:rsid w:val="1A5E2DF1"/>
    <w:rsid w:val="1ADB5C82"/>
    <w:rsid w:val="2174626B"/>
    <w:rsid w:val="223200A3"/>
    <w:rsid w:val="223A7E86"/>
    <w:rsid w:val="237E09F9"/>
    <w:rsid w:val="250414AF"/>
    <w:rsid w:val="25D52901"/>
    <w:rsid w:val="27333B61"/>
    <w:rsid w:val="27C3F2DE"/>
    <w:rsid w:val="297333B3"/>
    <w:rsid w:val="2A691C72"/>
    <w:rsid w:val="2EFEB5A9"/>
    <w:rsid w:val="2FA9630A"/>
    <w:rsid w:val="302208F9"/>
    <w:rsid w:val="31281A7F"/>
    <w:rsid w:val="34BD3B8C"/>
    <w:rsid w:val="35AD0A6B"/>
    <w:rsid w:val="3694185D"/>
    <w:rsid w:val="37E5663A"/>
    <w:rsid w:val="39A974D4"/>
    <w:rsid w:val="3A487297"/>
    <w:rsid w:val="3DEEC2D4"/>
    <w:rsid w:val="3E79027E"/>
    <w:rsid w:val="4104109D"/>
    <w:rsid w:val="4191369F"/>
    <w:rsid w:val="423C72FB"/>
    <w:rsid w:val="42FE448D"/>
    <w:rsid w:val="441B7793"/>
    <w:rsid w:val="45321187"/>
    <w:rsid w:val="47504094"/>
    <w:rsid w:val="486E2D7E"/>
    <w:rsid w:val="4AA92334"/>
    <w:rsid w:val="4C2B6930"/>
    <w:rsid w:val="4C7F2D16"/>
    <w:rsid w:val="4D107F9E"/>
    <w:rsid w:val="4D2924C7"/>
    <w:rsid w:val="4D2E0700"/>
    <w:rsid w:val="4D6B25F9"/>
    <w:rsid w:val="4DCE39AF"/>
    <w:rsid w:val="4DF25043"/>
    <w:rsid w:val="4E0C4895"/>
    <w:rsid w:val="4F065C08"/>
    <w:rsid w:val="5009107A"/>
    <w:rsid w:val="501B79D7"/>
    <w:rsid w:val="52BF1329"/>
    <w:rsid w:val="535350EA"/>
    <w:rsid w:val="53FD6657"/>
    <w:rsid w:val="54E555D5"/>
    <w:rsid w:val="56474ED8"/>
    <w:rsid w:val="56634168"/>
    <w:rsid w:val="58624BAE"/>
    <w:rsid w:val="588014A2"/>
    <w:rsid w:val="596A5429"/>
    <w:rsid w:val="59E32A4E"/>
    <w:rsid w:val="5A024E48"/>
    <w:rsid w:val="5B3854DB"/>
    <w:rsid w:val="5BFD50CD"/>
    <w:rsid w:val="5C092CCE"/>
    <w:rsid w:val="5DAE34E1"/>
    <w:rsid w:val="5DBE13B2"/>
    <w:rsid w:val="5FE3356B"/>
    <w:rsid w:val="61D94A0C"/>
    <w:rsid w:val="639775E5"/>
    <w:rsid w:val="64AE077F"/>
    <w:rsid w:val="64CE293E"/>
    <w:rsid w:val="668C4743"/>
    <w:rsid w:val="67573008"/>
    <w:rsid w:val="676E5318"/>
    <w:rsid w:val="6914224B"/>
    <w:rsid w:val="6B3C7B57"/>
    <w:rsid w:val="6C9E53AF"/>
    <w:rsid w:val="6EC644DA"/>
    <w:rsid w:val="6EED739E"/>
    <w:rsid w:val="70B665D8"/>
    <w:rsid w:val="720558F5"/>
    <w:rsid w:val="724C63AF"/>
    <w:rsid w:val="72AD1CA3"/>
    <w:rsid w:val="7386180A"/>
    <w:rsid w:val="765D6DA6"/>
    <w:rsid w:val="77B91110"/>
    <w:rsid w:val="77E3073C"/>
    <w:rsid w:val="783A67DD"/>
    <w:rsid w:val="787E5EB6"/>
    <w:rsid w:val="7A77402F"/>
    <w:rsid w:val="7C685B1B"/>
    <w:rsid w:val="7D287080"/>
    <w:rsid w:val="7E431733"/>
    <w:rsid w:val="7EC80DD2"/>
    <w:rsid w:val="7FDB3A81"/>
    <w:rsid w:val="7FE5ADCC"/>
    <w:rsid w:val="7FF6B93A"/>
    <w:rsid w:val="A7B7FA6C"/>
    <w:rsid w:val="BBF11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3">
    <w:name w:val="Body Text Indent"/>
    <w:basedOn w:val="1"/>
    <w:autoRedefine/>
    <w:qFormat/>
    <w:uiPriority w:val="0"/>
    <w:pPr>
      <w:ind w:firstLine="645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1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586</Words>
  <Characters>3346</Characters>
  <Lines>27</Lines>
  <Paragraphs>7</Paragraphs>
  <TotalTime>30</TotalTime>
  <ScaleCrop>false</ScaleCrop>
  <LinksUpToDate>false</LinksUpToDate>
  <CharactersWithSpaces>3925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2024-03-08T06:02:00Z</dcterms:created>
  <dc:creator>涉琴猎音</dc:creator>
  <cp:lastModifiedBy>倪堃</cp:lastModifiedBy>
  <cp:lastPrinted>2024-03-08T00:13:00Z</cp:lastPrinted>
  <dcterms:modified xsi:type="dcterms:W3CDTF">2024-03-22T08:42:22Z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901444B2648242A4B16E0F57DF48D164_13</vt:lpwstr>
  </property>
</Properties>
</file>