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ind w:firstLine="420"/>
        <w:jc w:val="center"/>
        <w:rPr>
          <w:rFonts w:hint="eastAsia" w:ascii="方正小标宋简体" w:hAnsi="方正小标宋简体" w:eastAsia="方正小标宋简体" w:cs="方正小标宋简体"/>
          <w:color w:val="auto"/>
          <w:sz w:val="36"/>
          <w:szCs w:val="36"/>
          <w:shd w:val="clear" w:color="auto" w:fill="FFFFFF"/>
        </w:rPr>
      </w:pPr>
      <w:r>
        <w:rPr>
          <w:rFonts w:hint="eastAsia" w:ascii="方正小标宋简体" w:hAnsi="方正小标宋简体" w:eastAsia="方正小标宋简体" w:cs="方正小标宋简体"/>
          <w:color w:val="auto"/>
          <w:sz w:val="36"/>
          <w:szCs w:val="36"/>
          <w:shd w:val="clear" w:color="auto" w:fill="FFFFFF"/>
        </w:rPr>
        <w:t>六安市烟草专卖局202</w:t>
      </w:r>
      <w:r>
        <w:rPr>
          <w:rFonts w:hint="eastAsia" w:ascii="方正小标宋简体" w:hAnsi="方正小标宋简体" w:eastAsia="方正小标宋简体" w:cs="方正小标宋简体"/>
          <w:color w:val="auto"/>
          <w:sz w:val="36"/>
          <w:szCs w:val="36"/>
          <w:shd w:val="clear" w:color="auto" w:fill="FFFFFF"/>
          <w:lang w:val="en-US" w:eastAsia="zh-CN"/>
        </w:rPr>
        <w:t>2</w:t>
      </w:r>
      <w:r>
        <w:rPr>
          <w:rFonts w:hint="eastAsia" w:ascii="方正小标宋简体" w:hAnsi="方正小标宋简体" w:eastAsia="方正小标宋简体" w:cs="方正小标宋简体"/>
          <w:color w:val="auto"/>
          <w:sz w:val="36"/>
          <w:szCs w:val="36"/>
          <w:shd w:val="clear" w:color="auto" w:fill="FFFFFF"/>
        </w:rPr>
        <w:t>年政府信息公开年报</w:t>
      </w:r>
    </w:p>
    <w:p>
      <w:pPr>
        <w:pStyle w:val="5"/>
        <w:widowControl/>
        <w:shd w:val="clear" w:color="auto" w:fill="FFFFFF"/>
        <w:spacing w:before="0" w:beforeAutospacing="0" w:after="0" w:afterAutospacing="0"/>
        <w:ind w:firstLine="420"/>
        <w:jc w:val="both"/>
        <w:rPr>
          <w:rFonts w:hint="eastAsia" w:ascii="宋体" w:hAnsi="宋体" w:cs="宋体"/>
          <w:b/>
          <w:bCs/>
          <w:color w:val="auto"/>
          <w:shd w:val="clear" w:color="auto" w:fill="FFFFFF"/>
        </w:rPr>
      </w:pPr>
      <w:bookmarkStart w:id="0" w:name="_GoBack"/>
      <w:bookmarkEnd w:id="0"/>
    </w:p>
    <w:p>
      <w:pPr>
        <w:ind w:firstLine="640" w:firstLineChars="200"/>
        <w:rPr>
          <w:rFonts w:hint="eastAsia" w:ascii="仿宋" w:hAnsi="仿宋" w:eastAsia="仿宋" w:cs="仿宋"/>
          <w:i w:val="0"/>
          <w:iCs w:val="0"/>
          <w:caps w:val="0"/>
          <w:color w:val="auto"/>
          <w:spacing w:val="0"/>
          <w:sz w:val="32"/>
          <w:szCs w:val="32"/>
          <w:vertAlign w:val="baseline"/>
          <w:lang w:val="en-US" w:eastAsia="zh-CN"/>
        </w:rPr>
      </w:pPr>
      <w:r>
        <w:rPr>
          <w:rFonts w:hint="eastAsia" w:ascii="仿宋" w:hAnsi="仿宋" w:eastAsia="仿宋" w:cs="仿宋"/>
          <w:color w:val="auto"/>
          <w:sz w:val="32"/>
          <w:szCs w:val="32"/>
        </w:rPr>
        <w:t>根据《中华人民共和国政府信息公开条例》(国令第 711 号)要求</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现将</w:t>
      </w:r>
      <w:r>
        <w:rPr>
          <w:rFonts w:hint="eastAsia" w:ascii="仿宋" w:hAnsi="仿宋" w:eastAsia="仿宋" w:cs="仿宋"/>
          <w:color w:val="auto"/>
          <w:sz w:val="32"/>
          <w:szCs w:val="32"/>
          <w:shd w:val="clear" w:color="auto" w:fill="FFFFFF"/>
        </w:rPr>
        <w:t>六安市烟草专卖局202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年度</w:t>
      </w:r>
      <w:r>
        <w:rPr>
          <w:rFonts w:hint="eastAsia" w:ascii="仿宋" w:hAnsi="仿宋" w:eastAsia="仿宋" w:cs="仿宋"/>
          <w:color w:val="auto"/>
          <w:sz w:val="32"/>
          <w:szCs w:val="32"/>
          <w:shd w:val="clear" w:color="auto" w:fill="FFFFFF"/>
          <w:lang w:val="en-US" w:eastAsia="zh-CN"/>
        </w:rPr>
        <w:t>政府</w:t>
      </w:r>
      <w:r>
        <w:rPr>
          <w:rFonts w:hint="eastAsia" w:ascii="仿宋" w:hAnsi="仿宋" w:eastAsia="仿宋" w:cs="仿宋"/>
          <w:color w:val="auto"/>
          <w:sz w:val="32"/>
          <w:szCs w:val="32"/>
          <w:shd w:val="clear" w:color="auto" w:fill="FFFFFF"/>
        </w:rPr>
        <w:t>信息公开年度报告</w:t>
      </w:r>
      <w:r>
        <w:rPr>
          <w:rFonts w:hint="eastAsia" w:ascii="仿宋" w:hAnsi="仿宋" w:eastAsia="仿宋" w:cs="仿宋"/>
          <w:color w:val="auto"/>
          <w:sz w:val="32"/>
          <w:szCs w:val="32"/>
          <w:shd w:val="clear" w:color="auto" w:fill="FFFFFF"/>
          <w:lang w:val="en-US" w:eastAsia="zh-CN"/>
        </w:rPr>
        <w:t>予以公开</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本报告</w:t>
      </w:r>
      <w:r>
        <w:rPr>
          <w:rFonts w:hint="eastAsia" w:ascii="仿宋" w:hAnsi="仿宋" w:eastAsia="仿宋" w:cs="仿宋"/>
          <w:color w:val="auto"/>
          <w:sz w:val="32"/>
          <w:szCs w:val="32"/>
          <w:shd w:val="clear" w:color="auto" w:fill="FFFFFF"/>
        </w:rPr>
        <w:t>全文包括总体情况、主动公开政府信息情况、收到和处理政府信息公开申请情况、因政府信息公开工作被申请行政复议和提起行政诉讼情况、存在的主要问题及改进情况和其他需要报告的事项。本报告中使用数据统计期限为202</w:t>
      </w:r>
      <w:r>
        <w:rPr>
          <w:rFonts w:hint="eastAsia" w:ascii="仿宋" w:hAnsi="仿宋" w:eastAsia="仿宋" w:cs="仿宋"/>
          <w:color w:val="auto"/>
          <w:sz w:val="32"/>
          <w:szCs w:val="32"/>
          <w:shd w:val="clear" w:color="auto" w:fill="FFFFFF"/>
          <w:lang w:eastAsia="zh-CN"/>
        </w:rPr>
        <w:t>2</w:t>
      </w:r>
      <w:r>
        <w:rPr>
          <w:rFonts w:hint="eastAsia" w:ascii="仿宋" w:hAnsi="仿宋" w:eastAsia="仿宋" w:cs="仿宋"/>
          <w:color w:val="auto"/>
          <w:sz w:val="32"/>
          <w:szCs w:val="32"/>
          <w:shd w:val="clear" w:color="auto" w:fill="FFFFFF"/>
        </w:rPr>
        <w:t>年1月1日至202</w:t>
      </w:r>
      <w:r>
        <w:rPr>
          <w:rFonts w:hint="eastAsia" w:ascii="仿宋" w:hAnsi="仿宋" w:eastAsia="仿宋" w:cs="仿宋"/>
          <w:color w:val="auto"/>
          <w:sz w:val="32"/>
          <w:szCs w:val="32"/>
          <w:shd w:val="clear" w:color="auto" w:fill="FFFFFF"/>
          <w:lang w:eastAsia="zh-CN"/>
        </w:rPr>
        <w:t>2</w:t>
      </w:r>
      <w:r>
        <w:rPr>
          <w:rFonts w:hint="eastAsia" w:ascii="仿宋" w:hAnsi="仿宋" w:eastAsia="仿宋" w:cs="仿宋"/>
          <w:color w:val="auto"/>
          <w:sz w:val="32"/>
          <w:szCs w:val="32"/>
          <w:shd w:val="clear" w:color="auto" w:fill="FFFFFF"/>
        </w:rPr>
        <w:t>年12月31日，本报告电子版可在六安市烟草专卖局信息公开平台下载。如对本报</w:t>
      </w:r>
      <w:r>
        <w:rPr>
          <w:rFonts w:hint="eastAsia" w:ascii="仿宋" w:hAnsi="仿宋" w:eastAsia="仿宋" w:cs="仿宋"/>
          <w:i w:val="0"/>
          <w:iCs w:val="0"/>
          <w:caps w:val="0"/>
          <w:color w:val="auto"/>
          <w:spacing w:val="0"/>
          <w:sz w:val="32"/>
          <w:szCs w:val="32"/>
          <w:vertAlign w:val="baseline"/>
        </w:rPr>
        <w:t>告有任何疑问，请与六安市烟草专卖局联系（地址：六安市皖西大道与迎宾大道交汇处；邮编：237010；联系电话：0564-3630926）。</w:t>
      </w:r>
      <w:r>
        <w:rPr>
          <w:rFonts w:hint="eastAsia" w:ascii="仿宋" w:hAnsi="仿宋" w:eastAsia="仿宋" w:cs="仿宋"/>
          <w:i w:val="0"/>
          <w:iCs w:val="0"/>
          <w:caps w:val="0"/>
          <w:color w:val="auto"/>
          <w:spacing w:val="0"/>
          <w:sz w:val="32"/>
          <w:szCs w:val="32"/>
          <w:vertAlign w:val="baseline"/>
          <w:lang w:val="en-US" w:eastAsia="zh-CN"/>
        </w:rPr>
        <w:t xml:space="preserve">                                      </w:t>
      </w:r>
    </w:p>
    <w:p>
      <w:pPr>
        <w:ind w:firstLine="640" w:firstLineChars="200"/>
        <w:rPr>
          <w:rFonts w:hint="eastAsia" w:ascii="黑体" w:hAnsi="黑体" w:eastAsia="黑体" w:cs="黑体"/>
          <w:i w:val="0"/>
          <w:iCs w:val="0"/>
          <w:caps w:val="0"/>
          <w:color w:val="auto"/>
          <w:spacing w:val="0"/>
          <w:sz w:val="32"/>
          <w:szCs w:val="32"/>
          <w:vertAlign w:val="baseline"/>
        </w:rPr>
      </w:pPr>
      <w:r>
        <w:rPr>
          <w:rFonts w:hint="eastAsia" w:ascii="黑体" w:hAnsi="黑体" w:eastAsia="黑体" w:cs="黑体"/>
          <w:i w:val="0"/>
          <w:iCs w:val="0"/>
          <w:caps w:val="0"/>
          <w:color w:val="auto"/>
          <w:spacing w:val="0"/>
          <w:sz w:val="32"/>
          <w:szCs w:val="32"/>
          <w:vertAlign w:val="baseline"/>
          <w:lang w:val="en-US" w:eastAsia="zh-CN"/>
        </w:rPr>
        <w:t>一、</w:t>
      </w:r>
      <w:r>
        <w:rPr>
          <w:rFonts w:hint="eastAsia" w:ascii="黑体" w:hAnsi="黑体" w:eastAsia="黑体" w:cs="黑体"/>
          <w:i w:val="0"/>
          <w:iCs w:val="0"/>
          <w:caps w:val="0"/>
          <w:color w:val="auto"/>
          <w:spacing w:val="0"/>
          <w:sz w:val="32"/>
          <w:szCs w:val="32"/>
          <w:vertAlign w:val="baseline"/>
        </w:rPr>
        <w:t>总体情况</w:t>
      </w:r>
    </w:p>
    <w:p>
      <w:pPr>
        <w:ind w:firstLine="640" w:firstLineChars="200"/>
        <w:rPr>
          <w:rFonts w:hint="eastAsia" w:ascii="仿宋" w:hAnsi="仿宋" w:eastAsia="仿宋" w:cs="仿宋"/>
          <w:i w:val="0"/>
          <w:iCs w:val="0"/>
          <w:caps w:val="0"/>
          <w:color w:val="auto"/>
          <w:spacing w:val="0"/>
          <w:sz w:val="32"/>
          <w:szCs w:val="32"/>
          <w:vertAlign w:val="baseline"/>
        </w:rPr>
      </w:pPr>
      <w:r>
        <w:rPr>
          <w:rFonts w:hint="eastAsia" w:ascii="仿宋" w:hAnsi="仿宋" w:eastAsia="仿宋" w:cs="仿宋"/>
          <w:i w:val="0"/>
          <w:iCs w:val="0"/>
          <w:caps w:val="0"/>
          <w:color w:val="auto"/>
          <w:spacing w:val="0"/>
          <w:sz w:val="32"/>
          <w:szCs w:val="32"/>
          <w:vertAlign w:val="baseline"/>
        </w:rPr>
        <w:t>202</w:t>
      </w:r>
      <w:r>
        <w:rPr>
          <w:rFonts w:hint="eastAsia" w:ascii="仿宋" w:hAnsi="仿宋" w:eastAsia="仿宋" w:cs="仿宋"/>
          <w:i w:val="0"/>
          <w:iCs w:val="0"/>
          <w:caps w:val="0"/>
          <w:color w:val="auto"/>
          <w:spacing w:val="0"/>
          <w:sz w:val="32"/>
          <w:szCs w:val="32"/>
          <w:vertAlign w:val="baseline"/>
          <w:lang w:val="en-US" w:eastAsia="zh-CN"/>
        </w:rPr>
        <w:t>2</w:t>
      </w:r>
      <w:r>
        <w:rPr>
          <w:rFonts w:hint="eastAsia" w:ascii="仿宋" w:hAnsi="仿宋" w:eastAsia="仿宋" w:cs="仿宋"/>
          <w:i w:val="0"/>
          <w:iCs w:val="0"/>
          <w:caps w:val="0"/>
          <w:color w:val="auto"/>
          <w:spacing w:val="0"/>
          <w:sz w:val="32"/>
          <w:szCs w:val="32"/>
          <w:vertAlign w:val="baseline"/>
        </w:rPr>
        <w:t>年度累计主动公开政府信息</w:t>
      </w:r>
      <w:r>
        <w:rPr>
          <w:rFonts w:hint="eastAsia" w:ascii="仿宋" w:hAnsi="仿宋" w:eastAsia="仿宋" w:cs="仿宋"/>
          <w:i w:val="0"/>
          <w:iCs w:val="0"/>
          <w:caps w:val="0"/>
          <w:color w:val="auto"/>
          <w:spacing w:val="0"/>
          <w:sz w:val="32"/>
          <w:szCs w:val="32"/>
          <w:vertAlign w:val="baseline"/>
          <w:lang w:val="en-US" w:eastAsia="zh-CN"/>
        </w:rPr>
        <w:t>547</w:t>
      </w:r>
      <w:r>
        <w:rPr>
          <w:rFonts w:hint="eastAsia" w:ascii="仿宋" w:hAnsi="仿宋" w:eastAsia="仿宋" w:cs="仿宋"/>
          <w:i w:val="0"/>
          <w:iCs w:val="0"/>
          <w:caps w:val="0"/>
          <w:color w:val="auto"/>
          <w:spacing w:val="0"/>
          <w:sz w:val="32"/>
          <w:szCs w:val="32"/>
          <w:vertAlign w:val="baseline"/>
        </w:rPr>
        <w:t>条</w:t>
      </w:r>
      <w:r>
        <w:rPr>
          <w:rFonts w:hint="eastAsia" w:ascii="仿宋" w:hAnsi="仿宋" w:eastAsia="仿宋" w:cs="仿宋"/>
          <w:i w:val="0"/>
          <w:iCs w:val="0"/>
          <w:caps w:val="0"/>
          <w:color w:val="auto"/>
          <w:spacing w:val="0"/>
          <w:sz w:val="32"/>
          <w:szCs w:val="32"/>
          <w:vertAlign w:val="baseline"/>
          <w:lang w:eastAsia="zh-CN"/>
        </w:rPr>
        <w:t>，</w:t>
      </w:r>
      <w:r>
        <w:rPr>
          <w:rFonts w:hint="eastAsia" w:ascii="仿宋" w:hAnsi="仿宋" w:eastAsia="仿宋" w:cs="仿宋"/>
          <w:i w:val="0"/>
          <w:iCs w:val="0"/>
          <w:caps w:val="0"/>
          <w:color w:val="auto"/>
          <w:spacing w:val="0"/>
          <w:sz w:val="32"/>
          <w:szCs w:val="32"/>
          <w:vertAlign w:val="baseline"/>
          <w:lang w:val="en-US" w:eastAsia="zh-CN"/>
        </w:rPr>
        <w:t>其</w:t>
      </w:r>
      <w:r>
        <w:rPr>
          <w:rFonts w:hint="eastAsia" w:ascii="仿宋" w:hAnsi="仿宋" w:eastAsia="仿宋" w:cs="仿宋"/>
          <w:i w:val="0"/>
          <w:iCs w:val="0"/>
          <w:caps w:val="0"/>
          <w:color w:val="auto"/>
          <w:spacing w:val="0"/>
          <w:sz w:val="32"/>
          <w:szCs w:val="32"/>
          <w:vertAlign w:val="baseline"/>
        </w:rPr>
        <w:t>中，</w:t>
      </w:r>
      <w:r>
        <w:rPr>
          <w:rFonts w:hint="eastAsia" w:ascii="仿宋" w:hAnsi="仿宋" w:eastAsia="仿宋" w:cs="仿宋"/>
          <w:i w:val="0"/>
          <w:iCs w:val="0"/>
          <w:caps w:val="0"/>
          <w:color w:val="auto"/>
          <w:spacing w:val="0"/>
          <w:sz w:val="32"/>
          <w:szCs w:val="32"/>
          <w:vertAlign w:val="baseline"/>
          <w:lang w:val="en-US" w:eastAsia="zh-CN"/>
        </w:rPr>
        <w:t>发布规范性文件2件，其他文件3条</w:t>
      </w:r>
      <w:r>
        <w:rPr>
          <w:rFonts w:hint="eastAsia" w:ascii="仿宋" w:hAnsi="仿宋" w:eastAsia="仿宋" w:cs="仿宋"/>
          <w:i w:val="0"/>
          <w:iCs w:val="0"/>
          <w:caps w:val="0"/>
          <w:color w:val="auto"/>
          <w:spacing w:val="0"/>
          <w:sz w:val="32"/>
          <w:szCs w:val="32"/>
          <w:vertAlign w:val="baseline"/>
        </w:rPr>
        <w:t>；</w:t>
      </w:r>
      <w:r>
        <w:rPr>
          <w:rFonts w:hint="eastAsia" w:ascii="仿宋" w:hAnsi="仿宋" w:eastAsia="仿宋" w:cs="仿宋"/>
          <w:i w:val="0"/>
          <w:iCs w:val="0"/>
          <w:caps w:val="0"/>
          <w:color w:val="auto"/>
          <w:spacing w:val="0"/>
          <w:sz w:val="32"/>
          <w:szCs w:val="32"/>
          <w:vertAlign w:val="baseline"/>
          <w:lang w:val="en-US" w:eastAsia="zh-CN"/>
        </w:rPr>
        <w:t>上级政策解读2条，负责人</w:t>
      </w:r>
      <w:r>
        <w:rPr>
          <w:rFonts w:hint="eastAsia" w:ascii="仿宋" w:hAnsi="仿宋" w:eastAsia="仿宋" w:cs="仿宋"/>
          <w:i w:val="0"/>
          <w:iCs w:val="0"/>
          <w:caps w:val="0"/>
          <w:color w:val="auto"/>
          <w:spacing w:val="0"/>
          <w:sz w:val="32"/>
          <w:szCs w:val="32"/>
          <w:vertAlign w:val="baseline"/>
        </w:rPr>
        <w:t>解读</w:t>
      </w:r>
      <w:r>
        <w:rPr>
          <w:rFonts w:hint="eastAsia" w:ascii="仿宋" w:hAnsi="仿宋" w:eastAsia="仿宋" w:cs="仿宋"/>
          <w:i w:val="0"/>
          <w:iCs w:val="0"/>
          <w:caps w:val="0"/>
          <w:color w:val="auto"/>
          <w:spacing w:val="0"/>
          <w:sz w:val="32"/>
          <w:szCs w:val="32"/>
          <w:vertAlign w:val="baseline"/>
          <w:lang w:val="en-US" w:eastAsia="zh-CN"/>
        </w:rPr>
        <w:t>4</w:t>
      </w:r>
      <w:r>
        <w:rPr>
          <w:rFonts w:hint="eastAsia" w:ascii="仿宋" w:hAnsi="仿宋" w:eastAsia="仿宋" w:cs="仿宋"/>
          <w:i w:val="0"/>
          <w:iCs w:val="0"/>
          <w:caps w:val="0"/>
          <w:color w:val="auto"/>
          <w:spacing w:val="0"/>
          <w:sz w:val="32"/>
          <w:szCs w:val="32"/>
          <w:vertAlign w:val="baseline"/>
        </w:rPr>
        <w:t>条</w:t>
      </w:r>
      <w:r>
        <w:rPr>
          <w:rFonts w:hint="eastAsia" w:ascii="仿宋" w:hAnsi="仿宋" w:eastAsia="仿宋" w:cs="仿宋"/>
          <w:i w:val="0"/>
          <w:iCs w:val="0"/>
          <w:caps w:val="0"/>
          <w:color w:val="auto"/>
          <w:spacing w:val="0"/>
          <w:sz w:val="32"/>
          <w:szCs w:val="32"/>
          <w:vertAlign w:val="baseline"/>
          <w:lang w:eastAsia="zh-CN"/>
        </w:rPr>
        <w:t>，</w:t>
      </w:r>
      <w:r>
        <w:rPr>
          <w:rFonts w:hint="eastAsia" w:ascii="仿宋" w:hAnsi="仿宋" w:eastAsia="仿宋" w:cs="仿宋"/>
          <w:i w:val="0"/>
          <w:iCs w:val="0"/>
          <w:caps w:val="0"/>
          <w:color w:val="auto"/>
          <w:spacing w:val="0"/>
          <w:sz w:val="32"/>
          <w:szCs w:val="32"/>
          <w:vertAlign w:val="baseline"/>
          <w:lang w:val="en-US" w:eastAsia="zh-CN"/>
        </w:rPr>
        <w:t>其他解读1条</w:t>
      </w:r>
      <w:r>
        <w:rPr>
          <w:rFonts w:hint="eastAsia" w:ascii="仿宋" w:hAnsi="仿宋" w:eastAsia="仿宋" w:cs="仿宋"/>
          <w:i w:val="0"/>
          <w:iCs w:val="0"/>
          <w:caps w:val="0"/>
          <w:color w:val="auto"/>
          <w:spacing w:val="0"/>
          <w:sz w:val="32"/>
          <w:szCs w:val="32"/>
          <w:vertAlign w:val="baseline"/>
          <w:lang w:eastAsia="zh-CN"/>
        </w:rPr>
        <w:t>，</w:t>
      </w:r>
      <w:r>
        <w:rPr>
          <w:rFonts w:hint="eastAsia" w:ascii="仿宋" w:hAnsi="仿宋" w:eastAsia="仿宋" w:cs="仿宋"/>
          <w:i w:val="0"/>
          <w:iCs w:val="0"/>
          <w:caps w:val="0"/>
          <w:color w:val="auto"/>
          <w:spacing w:val="0"/>
          <w:sz w:val="32"/>
          <w:szCs w:val="32"/>
          <w:vertAlign w:val="baseline"/>
          <w:lang w:val="en-US" w:eastAsia="zh-CN"/>
        </w:rPr>
        <w:t>行政权力运行信息409条，主动回应关切2</w:t>
      </w:r>
      <w:r>
        <w:rPr>
          <w:rFonts w:hint="eastAsia" w:ascii="仿宋" w:hAnsi="仿宋" w:eastAsia="仿宋" w:cs="仿宋"/>
          <w:i w:val="0"/>
          <w:iCs w:val="0"/>
          <w:caps w:val="0"/>
          <w:color w:val="auto"/>
          <w:spacing w:val="0"/>
          <w:sz w:val="32"/>
          <w:szCs w:val="32"/>
          <w:vertAlign w:val="baseline"/>
        </w:rPr>
        <w:t>条</w:t>
      </w:r>
      <w:r>
        <w:rPr>
          <w:rFonts w:hint="eastAsia" w:ascii="仿宋" w:hAnsi="仿宋" w:eastAsia="仿宋" w:cs="仿宋"/>
          <w:i w:val="0"/>
          <w:iCs w:val="0"/>
          <w:caps w:val="0"/>
          <w:color w:val="auto"/>
          <w:spacing w:val="0"/>
          <w:sz w:val="32"/>
          <w:szCs w:val="32"/>
          <w:vertAlign w:val="baseline"/>
          <w:lang w:eastAsia="zh-CN"/>
        </w:rPr>
        <w:t>。</w:t>
      </w:r>
    </w:p>
    <w:p>
      <w:pPr>
        <w:ind w:firstLine="643" w:firstLineChars="200"/>
        <w:rPr>
          <w:rFonts w:hint="eastAsia" w:ascii="仿宋" w:hAnsi="仿宋" w:eastAsia="仿宋" w:cs="仿宋"/>
          <w:b/>
          <w:bCs/>
          <w:i w:val="0"/>
          <w:iCs w:val="0"/>
          <w:caps w:val="0"/>
          <w:color w:val="auto"/>
          <w:spacing w:val="0"/>
          <w:sz w:val="32"/>
          <w:szCs w:val="32"/>
          <w:vertAlign w:val="baseline"/>
          <w:lang w:val="en-US" w:eastAsia="zh-CN"/>
        </w:rPr>
      </w:pPr>
      <w:r>
        <w:rPr>
          <w:rFonts w:hint="eastAsia" w:ascii="仿宋" w:hAnsi="仿宋" w:eastAsia="仿宋" w:cs="仿宋"/>
          <w:b/>
          <w:bCs/>
          <w:i w:val="0"/>
          <w:iCs w:val="0"/>
          <w:caps w:val="0"/>
          <w:color w:val="auto"/>
          <w:spacing w:val="0"/>
          <w:sz w:val="32"/>
          <w:szCs w:val="32"/>
          <w:vertAlign w:val="baseline"/>
          <w:lang w:val="en-US" w:eastAsia="zh-CN"/>
        </w:rPr>
        <w:t>（一）主动公开</w:t>
      </w:r>
    </w:p>
    <w:p>
      <w:pPr>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i w:val="0"/>
          <w:iCs w:val="0"/>
          <w:caps w:val="0"/>
          <w:color w:val="auto"/>
          <w:spacing w:val="0"/>
          <w:sz w:val="32"/>
          <w:szCs w:val="32"/>
          <w:vertAlign w:val="baseline"/>
          <w:lang w:val="en-US" w:eastAsia="zh-CN"/>
        </w:rPr>
        <w:t>一是</w:t>
      </w:r>
      <w:r>
        <w:rPr>
          <w:rFonts w:hint="eastAsia" w:ascii="仿宋" w:hAnsi="仿宋" w:eastAsia="仿宋" w:cs="仿宋"/>
          <w:i w:val="0"/>
          <w:iCs w:val="0"/>
          <w:caps w:val="0"/>
          <w:color w:val="auto"/>
          <w:spacing w:val="0"/>
          <w:sz w:val="32"/>
          <w:szCs w:val="32"/>
          <w:vertAlign w:val="baseline"/>
        </w:rPr>
        <w:t>加强政策解读和关切回应。</w:t>
      </w:r>
      <w:r>
        <w:rPr>
          <w:rFonts w:hint="eastAsia" w:ascii="仿宋" w:hAnsi="仿宋" w:eastAsia="仿宋" w:cs="仿宋"/>
          <w:i w:val="0"/>
          <w:iCs w:val="0"/>
          <w:caps w:val="0"/>
          <w:color w:val="auto"/>
          <w:spacing w:val="0"/>
          <w:sz w:val="32"/>
          <w:szCs w:val="32"/>
          <w:vertAlign w:val="baseline"/>
          <w:lang w:val="en-US" w:eastAsia="zh-CN"/>
        </w:rPr>
        <w:t>围绕群众广泛关注的卷烟零售</w:t>
      </w:r>
      <w:r>
        <w:rPr>
          <w:rFonts w:hint="eastAsia" w:ascii="仿宋" w:hAnsi="仿宋" w:eastAsia="仿宋" w:cs="仿宋"/>
          <w:i w:val="0"/>
          <w:iCs w:val="0"/>
          <w:caps w:val="0"/>
          <w:color w:val="auto"/>
          <w:spacing w:val="0"/>
          <w:sz w:val="32"/>
          <w:szCs w:val="32"/>
          <w:vertAlign w:val="baseline"/>
        </w:rPr>
        <w:t>许可事项服务流程、办事指南</w:t>
      </w:r>
      <w:r>
        <w:rPr>
          <w:rFonts w:hint="eastAsia" w:ascii="仿宋" w:hAnsi="仿宋" w:eastAsia="仿宋" w:cs="仿宋"/>
          <w:i w:val="0"/>
          <w:iCs w:val="0"/>
          <w:caps w:val="0"/>
          <w:color w:val="auto"/>
          <w:spacing w:val="0"/>
          <w:sz w:val="32"/>
          <w:szCs w:val="32"/>
          <w:vertAlign w:val="baseline"/>
          <w:lang w:val="en-US" w:eastAsia="zh-CN"/>
        </w:rPr>
        <w:t>等</w:t>
      </w:r>
      <w:r>
        <w:rPr>
          <w:rFonts w:hint="eastAsia" w:ascii="仿宋" w:hAnsi="仿宋" w:eastAsia="仿宋" w:cs="仿宋"/>
          <w:color w:val="auto"/>
          <w:sz w:val="32"/>
          <w:szCs w:val="32"/>
          <w:shd w:val="clear" w:color="auto" w:fill="FFFFFF"/>
        </w:rPr>
        <w:t>热点</w:t>
      </w:r>
      <w:r>
        <w:rPr>
          <w:rFonts w:hint="eastAsia" w:ascii="仿宋" w:hAnsi="仿宋" w:eastAsia="仿宋" w:cs="仿宋"/>
          <w:color w:val="auto"/>
          <w:sz w:val="32"/>
          <w:szCs w:val="32"/>
          <w:shd w:val="clear" w:color="auto" w:fill="FFFFFF"/>
          <w:lang w:val="en-US" w:eastAsia="zh-CN"/>
        </w:rPr>
        <w:t>问题</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重点加强对《</w:t>
      </w:r>
      <w:r>
        <w:rPr>
          <w:rFonts w:hint="eastAsia" w:ascii="仿宋" w:hAnsi="仿宋" w:eastAsia="仿宋" w:cs="仿宋"/>
          <w:color w:val="auto"/>
          <w:sz w:val="32"/>
          <w:szCs w:val="32"/>
          <w:shd w:val="clear" w:color="auto" w:fill="FFFFFF"/>
        </w:rPr>
        <w:t>六安市烟草制品零售点合理布局规定</w:t>
      </w:r>
      <w:r>
        <w:rPr>
          <w:rFonts w:hint="eastAsia" w:ascii="仿宋" w:hAnsi="仿宋" w:eastAsia="仿宋" w:cs="仿宋"/>
          <w:color w:val="auto"/>
          <w:sz w:val="32"/>
          <w:szCs w:val="32"/>
          <w:shd w:val="clear" w:color="auto" w:fill="FFFFFF"/>
          <w:lang w:val="en-US" w:eastAsia="zh-CN"/>
        </w:rPr>
        <w:t>》的政策解读，</w:t>
      </w:r>
      <w:r>
        <w:rPr>
          <w:rFonts w:hint="eastAsia" w:ascii="仿宋" w:hAnsi="仿宋" w:eastAsia="仿宋" w:cs="仿宋"/>
          <w:color w:val="auto"/>
          <w:sz w:val="32"/>
          <w:szCs w:val="32"/>
          <w:shd w:val="clear" w:color="auto" w:fill="FFFFFF"/>
        </w:rPr>
        <w:t>并通过</w:t>
      </w:r>
      <w:r>
        <w:rPr>
          <w:rFonts w:hint="eastAsia" w:ascii="仿宋" w:hAnsi="仿宋" w:eastAsia="仿宋" w:cs="仿宋"/>
          <w:color w:val="auto"/>
          <w:sz w:val="32"/>
          <w:szCs w:val="32"/>
          <w:shd w:val="clear" w:color="auto" w:fill="FFFFFF"/>
          <w:lang w:val="en-US" w:eastAsia="zh-CN"/>
        </w:rPr>
        <w:t>部门</w:t>
      </w:r>
      <w:r>
        <w:rPr>
          <w:rFonts w:hint="eastAsia" w:ascii="仿宋" w:hAnsi="仿宋" w:eastAsia="仿宋" w:cs="仿宋"/>
          <w:color w:val="auto"/>
          <w:sz w:val="32"/>
          <w:szCs w:val="32"/>
          <w:shd w:val="clear" w:color="auto" w:fill="FFFFFF"/>
        </w:rPr>
        <w:t>信箱、百姓畅言、</w:t>
      </w:r>
      <w:r>
        <w:rPr>
          <w:rFonts w:hint="eastAsia" w:ascii="仿宋" w:hAnsi="仿宋" w:eastAsia="仿宋" w:cs="仿宋"/>
          <w:color w:val="auto"/>
          <w:sz w:val="32"/>
          <w:szCs w:val="32"/>
          <w:shd w:val="clear" w:color="auto" w:fill="FFFFFF"/>
          <w:lang w:val="en-US" w:eastAsia="zh-CN"/>
        </w:rPr>
        <w:t>12313</w:t>
      </w:r>
      <w:r>
        <w:rPr>
          <w:rFonts w:hint="eastAsia" w:ascii="仿宋" w:hAnsi="仿宋" w:eastAsia="仿宋" w:cs="仿宋"/>
          <w:color w:val="auto"/>
          <w:sz w:val="32"/>
          <w:szCs w:val="32"/>
          <w:shd w:val="clear" w:color="auto" w:fill="FFFFFF"/>
        </w:rPr>
        <w:t>投诉举报</w:t>
      </w:r>
      <w:r>
        <w:rPr>
          <w:rFonts w:hint="eastAsia" w:ascii="仿宋" w:hAnsi="仿宋" w:eastAsia="仿宋" w:cs="仿宋"/>
          <w:color w:val="auto"/>
          <w:sz w:val="32"/>
          <w:szCs w:val="32"/>
          <w:shd w:val="clear" w:color="auto" w:fill="FFFFFF"/>
          <w:lang w:val="en-US" w:eastAsia="zh-CN"/>
        </w:rPr>
        <w:t>热线</w:t>
      </w:r>
      <w:r>
        <w:rPr>
          <w:rFonts w:hint="eastAsia" w:ascii="仿宋" w:hAnsi="仿宋" w:eastAsia="仿宋" w:cs="仿宋"/>
          <w:color w:val="auto"/>
          <w:sz w:val="32"/>
          <w:szCs w:val="32"/>
          <w:shd w:val="clear" w:color="auto" w:fill="FFFFFF"/>
        </w:rPr>
        <w:t>等渠道</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i w:val="0"/>
          <w:iCs w:val="0"/>
          <w:caps w:val="0"/>
          <w:color w:val="auto"/>
          <w:spacing w:val="0"/>
          <w:sz w:val="32"/>
          <w:szCs w:val="32"/>
          <w:vertAlign w:val="baseline"/>
          <w:lang w:val="en-US" w:eastAsia="zh-CN"/>
        </w:rPr>
        <w:t>搭建网上解答、</w:t>
      </w:r>
      <w:r>
        <w:rPr>
          <w:rFonts w:hint="eastAsia" w:ascii="仿宋" w:hAnsi="仿宋" w:eastAsia="仿宋" w:cs="仿宋"/>
          <w:i w:val="0"/>
          <w:iCs w:val="0"/>
          <w:caps w:val="0"/>
          <w:color w:val="auto"/>
          <w:spacing w:val="0"/>
          <w:sz w:val="32"/>
          <w:szCs w:val="32"/>
          <w:vertAlign w:val="baseline"/>
        </w:rPr>
        <w:t>电话解答</w:t>
      </w:r>
      <w:r>
        <w:rPr>
          <w:rFonts w:hint="eastAsia" w:ascii="仿宋" w:hAnsi="仿宋" w:eastAsia="仿宋" w:cs="仿宋"/>
          <w:i w:val="0"/>
          <w:iCs w:val="0"/>
          <w:caps w:val="0"/>
          <w:color w:val="auto"/>
          <w:spacing w:val="0"/>
          <w:sz w:val="32"/>
          <w:szCs w:val="32"/>
          <w:vertAlign w:val="baseline"/>
          <w:lang w:eastAsia="zh-CN"/>
        </w:rPr>
        <w:t>、</w:t>
      </w:r>
      <w:r>
        <w:rPr>
          <w:rFonts w:hint="eastAsia" w:ascii="仿宋" w:hAnsi="仿宋" w:eastAsia="仿宋" w:cs="仿宋"/>
          <w:i w:val="0"/>
          <w:iCs w:val="0"/>
          <w:caps w:val="0"/>
          <w:color w:val="auto"/>
          <w:spacing w:val="0"/>
          <w:sz w:val="32"/>
          <w:szCs w:val="32"/>
          <w:vertAlign w:val="baseline"/>
        </w:rPr>
        <w:t>现场解答等政策咨询渠道</w:t>
      </w:r>
      <w:r>
        <w:rPr>
          <w:rFonts w:hint="eastAsia" w:ascii="仿宋" w:hAnsi="仿宋" w:eastAsia="仿宋" w:cs="仿宋"/>
          <w:i w:val="0"/>
          <w:iCs w:val="0"/>
          <w:caps w:val="0"/>
          <w:color w:val="auto"/>
          <w:spacing w:val="0"/>
          <w:sz w:val="32"/>
          <w:szCs w:val="32"/>
          <w:vertAlign w:val="baseline"/>
          <w:lang w:eastAsia="zh-CN"/>
        </w:rPr>
        <w:t>，</w:t>
      </w:r>
      <w:r>
        <w:rPr>
          <w:rFonts w:hint="eastAsia" w:ascii="仿宋" w:hAnsi="仿宋" w:eastAsia="仿宋" w:cs="仿宋"/>
          <w:color w:val="auto"/>
          <w:sz w:val="32"/>
          <w:szCs w:val="32"/>
          <w:shd w:val="clear" w:color="auto" w:fill="FFFFFF"/>
          <w:lang w:val="en-US" w:eastAsia="zh-CN"/>
        </w:rPr>
        <w:t>主动做好群众关切</w:t>
      </w:r>
      <w:r>
        <w:rPr>
          <w:rFonts w:hint="eastAsia" w:ascii="仿宋" w:hAnsi="仿宋" w:eastAsia="仿宋" w:cs="仿宋"/>
          <w:color w:val="auto"/>
          <w:sz w:val="32"/>
          <w:szCs w:val="32"/>
          <w:shd w:val="clear" w:color="auto" w:fill="FFFFFF"/>
        </w:rPr>
        <w:t>回应</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二是</w:t>
      </w:r>
      <w:r>
        <w:rPr>
          <w:rFonts w:hint="eastAsia" w:ascii="仿宋" w:hAnsi="仿宋" w:eastAsia="仿宋" w:cs="仿宋"/>
          <w:i w:val="0"/>
          <w:iCs w:val="0"/>
          <w:caps w:val="0"/>
          <w:color w:val="auto"/>
          <w:spacing w:val="0"/>
          <w:sz w:val="32"/>
          <w:szCs w:val="32"/>
          <w:vertAlign w:val="baseline"/>
        </w:rPr>
        <w:t>进一步</w:t>
      </w:r>
      <w:r>
        <w:rPr>
          <w:rFonts w:hint="eastAsia" w:ascii="仿宋" w:hAnsi="仿宋" w:eastAsia="仿宋" w:cs="仿宋"/>
          <w:i w:val="0"/>
          <w:iCs w:val="0"/>
          <w:caps w:val="0"/>
          <w:color w:val="auto"/>
          <w:spacing w:val="0"/>
          <w:sz w:val="32"/>
          <w:szCs w:val="32"/>
          <w:vertAlign w:val="baseline"/>
          <w:lang w:val="en-US" w:eastAsia="zh-CN"/>
        </w:rPr>
        <w:t>规范</w:t>
      </w:r>
      <w:r>
        <w:rPr>
          <w:rFonts w:hint="eastAsia" w:ascii="仿宋" w:hAnsi="仿宋" w:eastAsia="仿宋" w:cs="仿宋"/>
          <w:i w:val="0"/>
          <w:iCs w:val="0"/>
          <w:caps w:val="0"/>
          <w:color w:val="auto"/>
          <w:spacing w:val="0"/>
          <w:sz w:val="32"/>
          <w:szCs w:val="32"/>
          <w:vertAlign w:val="baseline"/>
        </w:rPr>
        <w:t>网</w:t>
      </w:r>
      <w:r>
        <w:rPr>
          <w:rFonts w:hint="eastAsia" w:ascii="仿宋" w:hAnsi="仿宋" w:eastAsia="仿宋" w:cs="仿宋"/>
          <w:i w:val="0"/>
          <w:iCs w:val="0"/>
          <w:caps w:val="0"/>
          <w:color w:val="auto"/>
          <w:spacing w:val="0"/>
          <w:sz w:val="32"/>
          <w:szCs w:val="32"/>
          <w:vertAlign w:val="baseline"/>
          <w:lang w:val="en-US" w:eastAsia="zh-CN"/>
        </w:rPr>
        <w:t>上</w:t>
      </w:r>
      <w:r>
        <w:rPr>
          <w:rFonts w:hint="eastAsia" w:ascii="仿宋" w:hAnsi="仿宋" w:eastAsia="仿宋" w:cs="仿宋"/>
          <w:i w:val="0"/>
          <w:iCs w:val="0"/>
          <w:caps w:val="0"/>
          <w:color w:val="auto"/>
          <w:spacing w:val="0"/>
          <w:sz w:val="32"/>
          <w:szCs w:val="32"/>
          <w:vertAlign w:val="baseline"/>
        </w:rPr>
        <w:t>留言答复</w:t>
      </w:r>
      <w:r>
        <w:rPr>
          <w:rFonts w:hint="eastAsia" w:ascii="仿宋" w:hAnsi="仿宋" w:eastAsia="仿宋" w:cs="仿宋"/>
          <w:i w:val="0"/>
          <w:iCs w:val="0"/>
          <w:caps w:val="0"/>
          <w:color w:val="auto"/>
          <w:spacing w:val="0"/>
          <w:sz w:val="32"/>
          <w:szCs w:val="32"/>
          <w:vertAlign w:val="baseline"/>
          <w:lang w:val="en-US" w:eastAsia="zh-CN"/>
        </w:rPr>
        <w:t>程序</w:t>
      </w:r>
      <w:r>
        <w:rPr>
          <w:rFonts w:hint="eastAsia" w:ascii="仿宋" w:hAnsi="仿宋" w:eastAsia="仿宋" w:cs="仿宋"/>
          <w:i w:val="0"/>
          <w:iCs w:val="0"/>
          <w:caps w:val="0"/>
          <w:color w:val="auto"/>
          <w:spacing w:val="0"/>
          <w:sz w:val="32"/>
          <w:szCs w:val="32"/>
          <w:vertAlign w:val="baseline"/>
          <w:lang w:eastAsia="zh-CN"/>
        </w:rPr>
        <w:t>。</w:t>
      </w:r>
      <w:r>
        <w:rPr>
          <w:rFonts w:hint="eastAsia" w:ascii="仿宋" w:hAnsi="仿宋" w:eastAsia="仿宋" w:cs="仿宋"/>
          <w:i w:val="0"/>
          <w:iCs w:val="0"/>
          <w:caps w:val="0"/>
          <w:color w:val="auto"/>
          <w:spacing w:val="0"/>
          <w:sz w:val="32"/>
          <w:szCs w:val="32"/>
          <w:vertAlign w:val="baseline"/>
        </w:rPr>
        <w:t>完善网</w:t>
      </w:r>
      <w:r>
        <w:rPr>
          <w:rFonts w:hint="eastAsia" w:ascii="仿宋" w:hAnsi="仿宋" w:eastAsia="仿宋" w:cs="仿宋"/>
          <w:i w:val="0"/>
          <w:iCs w:val="0"/>
          <w:caps w:val="0"/>
          <w:color w:val="auto"/>
          <w:spacing w:val="0"/>
          <w:sz w:val="32"/>
          <w:szCs w:val="32"/>
          <w:vertAlign w:val="baseline"/>
          <w:lang w:val="en-US" w:eastAsia="zh-CN"/>
        </w:rPr>
        <w:t>上</w:t>
      </w:r>
      <w:r>
        <w:rPr>
          <w:rFonts w:hint="eastAsia" w:ascii="仿宋" w:hAnsi="仿宋" w:eastAsia="仿宋" w:cs="仿宋"/>
          <w:i w:val="0"/>
          <w:iCs w:val="0"/>
          <w:caps w:val="0"/>
          <w:color w:val="auto"/>
          <w:spacing w:val="0"/>
          <w:sz w:val="32"/>
          <w:szCs w:val="32"/>
          <w:vertAlign w:val="baseline"/>
        </w:rPr>
        <w:t>留言答复机制</w:t>
      </w:r>
      <w:r>
        <w:rPr>
          <w:rFonts w:hint="eastAsia" w:ascii="仿宋" w:hAnsi="仿宋" w:eastAsia="仿宋" w:cs="仿宋"/>
          <w:i w:val="0"/>
          <w:iCs w:val="0"/>
          <w:caps w:val="0"/>
          <w:color w:val="auto"/>
          <w:spacing w:val="0"/>
          <w:sz w:val="32"/>
          <w:szCs w:val="32"/>
          <w:vertAlign w:val="baseline"/>
          <w:lang w:eastAsia="zh-CN"/>
        </w:rPr>
        <w:t>，</w:t>
      </w:r>
      <w:r>
        <w:rPr>
          <w:rFonts w:hint="eastAsia" w:ascii="仿宋" w:hAnsi="仿宋" w:eastAsia="仿宋" w:cs="仿宋"/>
          <w:i w:val="0"/>
          <w:iCs w:val="0"/>
          <w:caps w:val="0"/>
          <w:color w:val="auto"/>
          <w:spacing w:val="0"/>
          <w:sz w:val="32"/>
          <w:szCs w:val="32"/>
          <w:vertAlign w:val="baseline"/>
        </w:rPr>
        <w:t>规范</w:t>
      </w:r>
      <w:r>
        <w:rPr>
          <w:rFonts w:hint="eastAsia" w:ascii="仿宋" w:hAnsi="仿宋" w:eastAsia="仿宋" w:cs="仿宋"/>
          <w:i w:val="0"/>
          <w:iCs w:val="0"/>
          <w:caps w:val="0"/>
          <w:color w:val="auto"/>
          <w:spacing w:val="0"/>
          <w:sz w:val="32"/>
          <w:szCs w:val="32"/>
          <w:vertAlign w:val="baseline"/>
          <w:lang w:val="en-US" w:eastAsia="zh-CN"/>
        </w:rPr>
        <w:t>网上</w:t>
      </w:r>
      <w:r>
        <w:rPr>
          <w:rFonts w:hint="eastAsia" w:ascii="仿宋" w:hAnsi="仿宋" w:eastAsia="仿宋" w:cs="仿宋"/>
          <w:i w:val="0"/>
          <w:iCs w:val="0"/>
          <w:caps w:val="0"/>
          <w:color w:val="auto"/>
          <w:spacing w:val="0"/>
          <w:sz w:val="32"/>
          <w:szCs w:val="32"/>
          <w:vertAlign w:val="baseline"/>
        </w:rPr>
        <w:t>留言</w:t>
      </w:r>
      <w:r>
        <w:rPr>
          <w:rFonts w:hint="eastAsia" w:ascii="仿宋" w:hAnsi="仿宋" w:eastAsia="仿宋" w:cs="仿宋"/>
          <w:i w:val="0"/>
          <w:iCs w:val="0"/>
          <w:caps w:val="0"/>
          <w:color w:val="auto"/>
          <w:spacing w:val="0"/>
          <w:sz w:val="32"/>
          <w:szCs w:val="32"/>
          <w:vertAlign w:val="baseline"/>
          <w:lang w:val="en-US" w:eastAsia="zh-CN"/>
        </w:rPr>
        <w:t>受</w:t>
      </w:r>
      <w:r>
        <w:rPr>
          <w:rFonts w:hint="eastAsia" w:ascii="仿宋" w:hAnsi="仿宋" w:eastAsia="仿宋" w:cs="仿宋"/>
          <w:i w:val="0"/>
          <w:iCs w:val="0"/>
          <w:caps w:val="0"/>
          <w:color w:val="auto"/>
          <w:spacing w:val="0"/>
          <w:sz w:val="32"/>
          <w:szCs w:val="32"/>
          <w:vertAlign w:val="baseline"/>
        </w:rPr>
        <w:t>理、答复、发布程序，明确部门职责，</w:t>
      </w:r>
      <w:r>
        <w:rPr>
          <w:rFonts w:hint="eastAsia" w:ascii="仿宋" w:hAnsi="仿宋" w:eastAsia="仿宋" w:cs="仿宋"/>
          <w:i w:val="0"/>
          <w:iCs w:val="0"/>
          <w:caps w:val="0"/>
          <w:color w:val="auto"/>
          <w:spacing w:val="0"/>
          <w:sz w:val="32"/>
          <w:szCs w:val="32"/>
          <w:vertAlign w:val="baseline"/>
          <w:lang w:val="en-US" w:eastAsia="zh-CN"/>
        </w:rPr>
        <w:t>进一步</w:t>
      </w:r>
      <w:r>
        <w:rPr>
          <w:rFonts w:hint="eastAsia" w:ascii="仿宋" w:hAnsi="仿宋" w:eastAsia="仿宋" w:cs="仿宋"/>
          <w:i w:val="0"/>
          <w:iCs w:val="0"/>
          <w:caps w:val="0"/>
          <w:color w:val="auto"/>
          <w:spacing w:val="0"/>
          <w:sz w:val="32"/>
          <w:szCs w:val="32"/>
          <w:vertAlign w:val="baseline"/>
        </w:rPr>
        <w:t>缩短</w:t>
      </w:r>
      <w:r>
        <w:rPr>
          <w:rFonts w:hint="eastAsia" w:ascii="仿宋" w:hAnsi="仿宋" w:eastAsia="仿宋" w:cs="仿宋"/>
          <w:i w:val="0"/>
          <w:iCs w:val="0"/>
          <w:caps w:val="0"/>
          <w:color w:val="auto"/>
          <w:spacing w:val="0"/>
          <w:sz w:val="32"/>
          <w:szCs w:val="32"/>
          <w:vertAlign w:val="baseline"/>
          <w:lang w:val="en-US" w:eastAsia="zh-CN"/>
        </w:rPr>
        <w:t>答复</w:t>
      </w:r>
      <w:r>
        <w:rPr>
          <w:rFonts w:hint="eastAsia" w:ascii="仿宋" w:hAnsi="仿宋" w:eastAsia="仿宋" w:cs="仿宋"/>
          <w:i w:val="0"/>
          <w:iCs w:val="0"/>
          <w:caps w:val="0"/>
          <w:color w:val="auto"/>
          <w:spacing w:val="0"/>
          <w:sz w:val="32"/>
          <w:szCs w:val="32"/>
          <w:vertAlign w:val="baseline"/>
        </w:rPr>
        <w:t>流程，提高办事效率</w:t>
      </w:r>
      <w:r>
        <w:rPr>
          <w:rFonts w:hint="eastAsia" w:ascii="仿宋" w:hAnsi="仿宋" w:eastAsia="仿宋" w:cs="仿宋"/>
          <w:i w:val="0"/>
          <w:iCs w:val="0"/>
          <w:caps w:val="0"/>
          <w:color w:val="auto"/>
          <w:spacing w:val="0"/>
          <w:sz w:val="32"/>
          <w:szCs w:val="32"/>
          <w:vertAlign w:val="baseline"/>
          <w:lang w:eastAsia="zh-CN"/>
        </w:rPr>
        <w:t>；</w:t>
      </w:r>
      <w:r>
        <w:rPr>
          <w:rFonts w:hint="eastAsia" w:ascii="仿宋" w:hAnsi="仿宋" w:eastAsia="仿宋" w:cs="仿宋"/>
          <w:i w:val="0"/>
          <w:iCs w:val="0"/>
          <w:caps w:val="0"/>
          <w:color w:val="auto"/>
          <w:spacing w:val="0"/>
          <w:sz w:val="32"/>
          <w:szCs w:val="32"/>
          <w:vertAlign w:val="baseline"/>
          <w:lang w:val="en-US" w:eastAsia="zh-CN"/>
        </w:rPr>
        <w:t>三是</w:t>
      </w:r>
      <w:r>
        <w:rPr>
          <w:rFonts w:hint="eastAsia" w:ascii="仿宋" w:hAnsi="仿宋" w:eastAsia="仿宋" w:cs="仿宋"/>
          <w:color w:val="auto"/>
          <w:sz w:val="32"/>
          <w:szCs w:val="32"/>
          <w:shd w:val="clear" w:color="auto" w:fill="FFFFFF"/>
          <w:lang w:val="en-US" w:eastAsia="zh-CN"/>
        </w:rPr>
        <w:t>持续</w:t>
      </w:r>
      <w:r>
        <w:rPr>
          <w:rFonts w:hint="eastAsia" w:ascii="仿宋" w:hAnsi="仿宋" w:eastAsia="仿宋" w:cs="仿宋"/>
          <w:i w:val="0"/>
          <w:iCs w:val="0"/>
          <w:caps w:val="0"/>
          <w:color w:val="auto"/>
          <w:spacing w:val="0"/>
          <w:sz w:val="32"/>
          <w:szCs w:val="32"/>
          <w:vertAlign w:val="baseline"/>
        </w:rPr>
        <w:t>优化政策咨询服务。加</w:t>
      </w:r>
      <w:r>
        <w:rPr>
          <w:rFonts w:hint="eastAsia" w:ascii="仿宋" w:hAnsi="仿宋" w:eastAsia="仿宋" w:cs="仿宋"/>
          <w:i w:val="0"/>
          <w:iCs w:val="0"/>
          <w:caps w:val="0"/>
          <w:color w:val="auto"/>
          <w:spacing w:val="0"/>
          <w:sz w:val="32"/>
          <w:szCs w:val="32"/>
          <w:vertAlign w:val="baseline"/>
          <w:lang w:val="en-US" w:eastAsia="zh-CN"/>
        </w:rPr>
        <w:t>强烟草</w:t>
      </w:r>
      <w:r>
        <w:rPr>
          <w:rFonts w:hint="eastAsia" w:ascii="仿宋" w:hAnsi="仿宋" w:eastAsia="仿宋" w:cs="仿宋"/>
          <w:i w:val="0"/>
          <w:iCs w:val="0"/>
          <w:caps w:val="0"/>
          <w:color w:val="auto"/>
          <w:spacing w:val="0"/>
          <w:sz w:val="32"/>
          <w:szCs w:val="32"/>
          <w:vertAlign w:val="baseline"/>
        </w:rPr>
        <w:t>政策咨询窗口建设，</w:t>
      </w:r>
      <w:r>
        <w:rPr>
          <w:rFonts w:hint="eastAsia" w:ascii="仿宋" w:hAnsi="仿宋" w:eastAsia="仿宋" w:cs="仿宋"/>
          <w:i w:val="0"/>
          <w:iCs w:val="0"/>
          <w:caps w:val="0"/>
          <w:color w:val="auto"/>
          <w:spacing w:val="0"/>
          <w:sz w:val="32"/>
          <w:szCs w:val="32"/>
          <w:vertAlign w:val="baseline"/>
          <w:lang w:val="en-US" w:eastAsia="zh-CN"/>
        </w:rPr>
        <w:t>定期开展</w:t>
      </w:r>
      <w:r>
        <w:rPr>
          <w:rFonts w:hint="eastAsia" w:ascii="仿宋" w:hAnsi="仿宋" w:eastAsia="仿宋" w:cs="仿宋"/>
          <w:i w:val="0"/>
          <w:iCs w:val="0"/>
          <w:caps w:val="0"/>
          <w:color w:val="auto"/>
          <w:spacing w:val="0"/>
          <w:sz w:val="32"/>
          <w:szCs w:val="32"/>
          <w:vertAlign w:val="baseline"/>
        </w:rPr>
        <w:t>政务</w:t>
      </w:r>
      <w:r>
        <w:rPr>
          <w:rFonts w:hint="eastAsia" w:ascii="仿宋" w:hAnsi="仿宋" w:eastAsia="仿宋" w:cs="仿宋"/>
          <w:i w:val="0"/>
          <w:iCs w:val="0"/>
          <w:caps w:val="0"/>
          <w:color w:val="auto"/>
          <w:spacing w:val="0"/>
          <w:sz w:val="32"/>
          <w:szCs w:val="32"/>
          <w:vertAlign w:val="baseline"/>
          <w:lang w:val="en-US" w:eastAsia="zh-CN"/>
        </w:rPr>
        <w:t>服务</w:t>
      </w:r>
      <w:r>
        <w:rPr>
          <w:rFonts w:hint="eastAsia" w:ascii="仿宋" w:hAnsi="仿宋" w:eastAsia="仿宋" w:cs="仿宋"/>
          <w:i w:val="0"/>
          <w:iCs w:val="0"/>
          <w:caps w:val="0"/>
          <w:color w:val="auto"/>
          <w:spacing w:val="0"/>
          <w:sz w:val="32"/>
          <w:szCs w:val="32"/>
          <w:vertAlign w:val="baseline"/>
        </w:rPr>
        <w:t>业务培训，提高</w:t>
      </w:r>
      <w:r>
        <w:rPr>
          <w:rFonts w:hint="eastAsia" w:ascii="仿宋" w:hAnsi="仿宋" w:eastAsia="仿宋" w:cs="仿宋"/>
          <w:i w:val="0"/>
          <w:iCs w:val="0"/>
          <w:caps w:val="0"/>
          <w:color w:val="auto"/>
          <w:spacing w:val="0"/>
          <w:sz w:val="32"/>
          <w:szCs w:val="32"/>
          <w:vertAlign w:val="baseline"/>
          <w:lang w:val="en-US" w:eastAsia="zh-CN"/>
        </w:rPr>
        <w:t>烟草</w:t>
      </w:r>
      <w:r>
        <w:rPr>
          <w:rFonts w:hint="eastAsia" w:ascii="仿宋" w:hAnsi="仿宋" w:eastAsia="仿宋" w:cs="仿宋"/>
          <w:i w:val="0"/>
          <w:iCs w:val="0"/>
          <w:caps w:val="0"/>
          <w:color w:val="auto"/>
          <w:spacing w:val="0"/>
          <w:sz w:val="32"/>
          <w:szCs w:val="32"/>
          <w:vertAlign w:val="baseline"/>
        </w:rPr>
        <w:t>政务服务便民热线、实体服务大厅</w:t>
      </w:r>
      <w:r>
        <w:rPr>
          <w:rFonts w:hint="eastAsia" w:ascii="仿宋" w:hAnsi="仿宋" w:eastAsia="仿宋" w:cs="仿宋"/>
          <w:i w:val="0"/>
          <w:iCs w:val="0"/>
          <w:caps w:val="0"/>
          <w:color w:val="auto"/>
          <w:spacing w:val="0"/>
          <w:sz w:val="32"/>
          <w:szCs w:val="32"/>
          <w:vertAlign w:val="baseline"/>
          <w:lang w:val="en-US" w:eastAsia="zh-CN"/>
        </w:rPr>
        <w:t>烟草窗口</w:t>
      </w:r>
      <w:r>
        <w:rPr>
          <w:rFonts w:hint="eastAsia" w:ascii="仿宋" w:hAnsi="仿宋" w:eastAsia="仿宋" w:cs="仿宋"/>
          <w:i w:val="0"/>
          <w:iCs w:val="0"/>
          <w:caps w:val="0"/>
          <w:color w:val="auto"/>
          <w:spacing w:val="0"/>
          <w:sz w:val="32"/>
          <w:szCs w:val="32"/>
          <w:vertAlign w:val="baseline"/>
        </w:rPr>
        <w:t>的政策咨询服务水平</w:t>
      </w:r>
      <w:r>
        <w:rPr>
          <w:rFonts w:hint="eastAsia" w:ascii="仿宋" w:hAnsi="仿宋" w:eastAsia="仿宋" w:cs="仿宋"/>
          <w:i w:val="0"/>
          <w:iCs w:val="0"/>
          <w:caps w:val="0"/>
          <w:color w:val="auto"/>
          <w:spacing w:val="0"/>
          <w:sz w:val="32"/>
          <w:szCs w:val="32"/>
          <w:vertAlign w:val="baseline"/>
          <w:lang w:eastAsia="zh-CN"/>
        </w:rPr>
        <w:t>。</w:t>
      </w:r>
    </w:p>
    <w:p>
      <w:pPr>
        <w:ind w:firstLine="643" w:firstLineChars="20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（二）依申请公开</w:t>
      </w:r>
    </w:p>
    <w:p>
      <w:pPr>
        <w:pStyle w:val="5"/>
        <w:widowControl/>
        <w:shd w:val="clear" w:color="auto" w:fill="FFFFFF"/>
        <w:spacing w:before="0" w:beforeAutospacing="0" w:after="0" w:afterAutospacing="0"/>
        <w:ind w:firstLine="960" w:firstLineChars="300"/>
        <w:jc w:val="both"/>
        <w:rPr>
          <w:rFonts w:hint="eastAsia"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shd w:val="clear" w:color="auto" w:fill="FFFFFF"/>
          <w:lang w:val="en-US" w:eastAsia="zh-CN"/>
        </w:rPr>
        <w:t>依托市政府</w:t>
      </w:r>
      <w:r>
        <w:rPr>
          <w:rFonts w:hint="eastAsia" w:ascii="仿宋" w:hAnsi="仿宋" w:eastAsia="仿宋" w:cs="仿宋"/>
          <w:i w:val="0"/>
          <w:iCs w:val="0"/>
          <w:caps w:val="0"/>
          <w:color w:val="auto"/>
          <w:spacing w:val="0"/>
          <w:sz w:val="32"/>
          <w:szCs w:val="32"/>
          <w:shd w:val="clear" w:color="auto" w:fill="FFFFFF"/>
        </w:rPr>
        <w:t>依申请公开</w:t>
      </w:r>
      <w:r>
        <w:rPr>
          <w:rFonts w:hint="eastAsia" w:ascii="仿宋" w:hAnsi="仿宋" w:eastAsia="仿宋" w:cs="仿宋"/>
          <w:i w:val="0"/>
          <w:iCs w:val="0"/>
          <w:caps w:val="0"/>
          <w:color w:val="auto"/>
          <w:spacing w:val="0"/>
          <w:sz w:val="32"/>
          <w:szCs w:val="32"/>
          <w:shd w:val="clear" w:color="auto" w:fill="FFFFFF"/>
          <w:lang w:val="en-US" w:eastAsia="zh-CN"/>
        </w:rPr>
        <w:t>平台，严格落实</w:t>
      </w:r>
      <w:r>
        <w:rPr>
          <w:rFonts w:hint="eastAsia" w:ascii="仿宋" w:hAnsi="仿宋" w:eastAsia="仿宋" w:cs="仿宋"/>
          <w:i w:val="0"/>
          <w:iCs w:val="0"/>
          <w:caps w:val="0"/>
          <w:color w:val="auto"/>
          <w:spacing w:val="0"/>
          <w:sz w:val="32"/>
          <w:szCs w:val="32"/>
          <w:shd w:val="clear" w:color="auto" w:fill="FFFFFF"/>
        </w:rPr>
        <w:t>依申请公开工作规范</w:t>
      </w:r>
      <w:r>
        <w:rPr>
          <w:rFonts w:hint="eastAsia" w:ascii="仿宋" w:hAnsi="仿宋" w:eastAsia="仿宋" w:cs="仿宋"/>
          <w:i w:val="0"/>
          <w:iCs w:val="0"/>
          <w:caps w:val="0"/>
          <w:color w:val="auto"/>
          <w:spacing w:val="0"/>
          <w:sz w:val="32"/>
          <w:szCs w:val="32"/>
          <w:shd w:val="clear" w:color="auto" w:fill="FFFFFF"/>
          <w:lang w:val="en-US" w:eastAsia="zh-CN"/>
        </w:rPr>
        <w:t>和</w:t>
      </w:r>
      <w:r>
        <w:rPr>
          <w:rFonts w:hint="eastAsia" w:ascii="仿宋" w:hAnsi="仿宋" w:eastAsia="仿宋" w:cs="仿宋"/>
          <w:i w:val="0"/>
          <w:iCs w:val="0"/>
          <w:caps w:val="0"/>
          <w:color w:val="auto"/>
          <w:spacing w:val="0"/>
          <w:sz w:val="32"/>
          <w:szCs w:val="32"/>
          <w:shd w:val="clear" w:color="auto" w:fill="FFFFFF"/>
        </w:rPr>
        <w:t>流程</w:t>
      </w:r>
      <w:r>
        <w:rPr>
          <w:rFonts w:hint="eastAsia" w:ascii="仿宋" w:hAnsi="仿宋" w:eastAsia="仿宋" w:cs="仿宋"/>
          <w:i w:val="0"/>
          <w:iCs w:val="0"/>
          <w:caps w:val="0"/>
          <w:color w:val="auto"/>
          <w:spacing w:val="0"/>
          <w:sz w:val="32"/>
          <w:szCs w:val="32"/>
          <w:shd w:val="clear" w:color="auto" w:fill="FFFFFF"/>
          <w:lang w:val="en-US" w:eastAsia="zh-CN"/>
        </w:rPr>
        <w:t>，明确专人负责，在日常受理时</w:t>
      </w:r>
      <w:r>
        <w:rPr>
          <w:rFonts w:hint="eastAsia" w:ascii="仿宋" w:hAnsi="仿宋" w:eastAsia="仿宋" w:cs="仿宋"/>
          <w:color w:val="auto"/>
          <w:sz w:val="32"/>
          <w:szCs w:val="32"/>
        </w:rPr>
        <w:t>主动</w:t>
      </w:r>
      <w:r>
        <w:rPr>
          <w:rFonts w:hint="eastAsia" w:ascii="仿宋" w:hAnsi="仿宋" w:eastAsia="仿宋" w:cs="仿宋"/>
          <w:color w:val="auto"/>
          <w:sz w:val="32"/>
          <w:szCs w:val="32"/>
          <w:lang w:val="en-US" w:eastAsia="zh-CN"/>
        </w:rPr>
        <w:t>做好与申请人的</w:t>
      </w:r>
      <w:r>
        <w:rPr>
          <w:rFonts w:hint="eastAsia" w:ascii="仿宋" w:hAnsi="仿宋" w:eastAsia="仿宋" w:cs="仿宋"/>
          <w:color w:val="auto"/>
          <w:sz w:val="32"/>
          <w:szCs w:val="32"/>
        </w:rPr>
        <w:t>沟通对接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依法</w:t>
      </w:r>
      <w:r>
        <w:rPr>
          <w:rFonts w:hint="eastAsia" w:ascii="仿宋" w:hAnsi="仿宋" w:eastAsia="仿宋" w:cs="仿宋"/>
          <w:color w:val="auto"/>
          <w:sz w:val="32"/>
          <w:szCs w:val="32"/>
          <w:lang w:val="en-US" w:eastAsia="zh-CN"/>
        </w:rPr>
        <w:t>规范做好</w:t>
      </w:r>
      <w:r>
        <w:rPr>
          <w:rFonts w:hint="eastAsia" w:ascii="仿宋" w:hAnsi="仿宋" w:eastAsia="仿宋" w:cs="仿宋"/>
          <w:color w:val="auto"/>
          <w:sz w:val="32"/>
          <w:szCs w:val="32"/>
        </w:rPr>
        <w:t>申请信息</w:t>
      </w:r>
      <w:r>
        <w:rPr>
          <w:rFonts w:hint="eastAsia" w:ascii="仿宋" w:hAnsi="仿宋" w:eastAsia="仿宋" w:cs="仿宋"/>
          <w:color w:val="auto"/>
          <w:sz w:val="32"/>
          <w:szCs w:val="32"/>
          <w:lang w:val="en-US" w:eastAsia="zh-CN"/>
        </w:rPr>
        <w:t>答复工作</w:t>
      </w:r>
      <w:r>
        <w:rPr>
          <w:rFonts w:hint="eastAsia" w:ascii="仿宋" w:hAnsi="仿宋" w:eastAsia="仿宋" w:cs="仿宋"/>
          <w:color w:val="auto"/>
          <w:sz w:val="32"/>
          <w:szCs w:val="32"/>
        </w:rPr>
        <w:t>。</w:t>
      </w:r>
      <w:r>
        <w:rPr>
          <w:rFonts w:hint="eastAsia" w:ascii="仿宋" w:hAnsi="仿宋" w:eastAsia="仿宋" w:cs="仿宋"/>
          <w:i w:val="0"/>
          <w:iCs w:val="0"/>
          <w:caps w:val="0"/>
          <w:color w:val="auto"/>
          <w:spacing w:val="0"/>
          <w:sz w:val="32"/>
          <w:szCs w:val="32"/>
          <w:shd w:val="clear" w:color="auto" w:fill="FFFFFF"/>
          <w:lang w:val="en-US" w:eastAsia="zh-CN"/>
        </w:rPr>
        <w:t>公开非主动公开目录，</w:t>
      </w:r>
      <w:r>
        <w:rPr>
          <w:rFonts w:hint="eastAsia" w:ascii="仿宋" w:hAnsi="仿宋" w:eastAsia="仿宋" w:cs="仿宋"/>
          <w:color w:val="auto"/>
          <w:sz w:val="32"/>
          <w:szCs w:val="32"/>
        </w:rPr>
        <w:t>不属于公开范围或信息不存在的，及时做好解释说明。对于答复难度大、牵涉部门多的申请，</w:t>
      </w:r>
      <w:r>
        <w:rPr>
          <w:rFonts w:hint="eastAsia" w:ascii="仿宋" w:hAnsi="仿宋" w:eastAsia="仿宋" w:cs="仿宋"/>
          <w:color w:val="auto"/>
          <w:sz w:val="32"/>
          <w:szCs w:val="32"/>
          <w:lang w:val="en-US" w:eastAsia="zh-CN"/>
        </w:rPr>
        <w:t>协调</w:t>
      </w:r>
      <w:r>
        <w:rPr>
          <w:rFonts w:hint="eastAsia" w:ascii="仿宋" w:hAnsi="仿宋" w:eastAsia="仿宋" w:cs="仿宋"/>
          <w:color w:val="auto"/>
          <w:sz w:val="32"/>
          <w:szCs w:val="32"/>
        </w:rPr>
        <w:t>相关部门通过认真讨论、研究后最终形成答复意见，确保答复内容合法有据。202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局</w:t>
      </w:r>
      <w:r>
        <w:rPr>
          <w:rFonts w:hint="eastAsia" w:ascii="仿宋" w:hAnsi="仿宋" w:eastAsia="仿宋" w:cs="仿宋"/>
          <w:color w:val="auto"/>
          <w:sz w:val="32"/>
          <w:szCs w:val="32"/>
          <w:lang w:val="en-US" w:eastAsia="zh-CN"/>
        </w:rPr>
        <w:t>受理</w:t>
      </w:r>
      <w:r>
        <w:rPr>
          <w:rFonts w:hint="eastAsia" w:ascii="仿宋" w:hAnsi="仿宋" w:eastAsia="仿宋" w:cs="仿宋"/>
          <w:color w:val="auto"/>
          <w:sz w:val="32"/>
          <w:szCs w:val="32"/>
        </w:rPr>
        <w:t>依申请公开</w:t>
      </w:r>
      <w:r>
        <w:rPr>
          <w:rFonts w:hint="eastAsia" w:ascii="仿宋" w:hAnsi="仿宋" w:eastAsia="仿宋" w:cs="仿宋"/>
          <w:color w:val="auto"/>
          <w:sz w:val="32"/>
          <w:szCs w:val="32"/>
          <w:lang w:val="en-US" w:eastAsia="zh-CN"/>
        </w:rPr>
        <w:t>事项2件（其中，2021年结转1件）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未发生信息公开相关行政复议和诉讼情况。</w:t>
      </w:r>
    </w:p>
    <w:p>
      <w:pPr>
        <w:ind w:firstLine="643" w:firstLineChars="20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（三）政府信息管理</w:t>
      </w:r>
    </w:p>
    <w:p>
      <w:pPr>
        <w:ind w:firstLine="640" w:firstLineChars="200"/>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是明确信息公开工作重点。根据省局、市政府年度公开重点，制定《六安市烟草专卖局2022年度政务公开工作要点》，细化分解政务公开工作任务，进一步明确年度公开工作重点和相关部门责任分工；二是及时规范发布信息。围绕单位职能和年度公开工作重点，及时规范发布政策解读、行政权力运行等群众和市场主体关切信息，广泛接受社会监督；三是认真开展季度测评反馈问题整改。按照《市政务公开办季度考评反馈问题清单》，分季度组织开展整改工作；四是建立信息公开自查制度。定期组织各单位、部门公开联络员对政务公开各栏目内容开展自查和互查，通报检查问题并组织整改，以整改促规范，以规范促提升。</w:t>
      </w:r>
    </w:p>
    <w:p>
      <w:pPr>
        <w:ind w:firstLine="643" w:firstLineChars="20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（四）</w:t>
      </w:r>
      <w:r>
        <w:rPr>
          <w:rFonts w:hint="eastAsia" w:ascii="仿宋" w:hAnsi="仿宋" w:eastAsia="仿宋" w:cs="仿宋"/>
          <w:b/>
          <w:bCs/>
          <w:color w:val="auto"/>
          <w:sz w:val="32"/>
          <w:szCs w:val="32"/>
          <w:shd w:val="clear" w:color="auto" w:fill="FFFFFF"/>
          <w:lang w:val="en-US" w:eastAsia="zh-CN"/>
        </w:rPr>
        <w:t>政府信息公开</w:t>
      </w:r>
      <w:r>
        <w:rPr>
          <w:rFonts w:hint="eastAsia" w:ascii="仿宋" w:hAnsi="仿宋" w:eastAsia="仿宋" w:cs="仿宋"/>
          <w:b/>
          <w:bCs/>
          <w:color w:val="auto"/>
          <w:sz w:val="32"/>
          <w:szCs w:val="32"/>
          <w:shd w:val="clear" w:color="auto" w:fill="FFFFFF"/>
        </w:rPr>
        <w:t>平台建设</w:t>
      </w:r>
    </w:p>
    <w:p>
      <w:pPr>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定期对公开目录进行维护和完善，</w:t>
      </w:r>
      <w:r>
        <w:rPr>
          <w:rFonts w:hint="eastAsia" w:ascii="仿宋" w:hAnsi="仿宋" w:eastAsia="仿宋" w:cs="仿宋"/>
          <w:color w:val="auto"/>
          <w:sz w:val="32"/>
          <w:szCs w:val="32"/>
          <w:shd w:val="clear" w:color="auto" w:fill="FFFFFF"/>
        </w:rPr>
        <w:t>加强</w:t>
      </w:r>
      <w:r>
        <w:rPr>
          <w:rFonts w:hint="eastAsia" w:ascii="仿宋" w:hAnsi="仿宋" w:eastAsia="仿宋" w:cs="仿宋"/>
          <w:color w:val="auto"/>
          <w:sz w:val="32"/>
          <w:szCs w:val="32"/>
          <w:shd w:val="clear" w:color="auto" w:fill="FFFFFF"/>
          <w:lang w:val="en-US" w:eastAsia="zh-CN"/>
        </w:rPr>
        <w:t>对公开</w:t>
      </w:r>
      <w:r>
        <w:rPr>
          <w:rFonts w:hint="eastAsia" w:ascii="仿宋" w:hAnsi="仿宋" w:eastAsia="仿宋" w:cs="仿宋"/>
          <w:color w:val="auto"/>
          <w:sz w:val="32"/>
          <w:szCs w:val="32"/>
          <w:shd w:val="clear" w:color="auto" w:fill="FFFFFF"/>
        </w:rPr>
        <w:t>网</w:t>
      </w:r>
      <w:r>
        <w:rPr>
          <w:rFonts w:hint="eastAsia" w:ascii="仿宋" w:hAnsi="仿宋" w:eastAsia="仿宋" w:cs="仿宋"/>
          <w:color w:val="auto"/>
          <w:sz w:val="32"/>
          <w:szCs w:val="32"/>
          <w:shd w:val="clear" w:color="auto" w:fill="FFFFFF"/>
          <w:lang w:val="en-US" w:eastAsia="zh-CN"/>
        </w:rPr>
        <w:t>上依申请公开、部门信箱、百姓畅言等</w:t>
      </w:r>
      <w:r>
        <w:rPr>
          <w:rFonts w:hint="eastAsia" w:ascii="仿宋" w:hAnsi="仿宋" w:eastAsia="仿宋" w:cs="仿宋"/>
          <w:color w:val="auto"/>
          <w:sz w:val="32"/>
          <w:szCs w:val="32"/>
          <w:shd w:val="clear" w:color="auto" w:fill="FFFFFF"/>
        </w:rPr>
        <w:t>投诉咨询栏目的监测，密切关注</w:t>
      </w:r>
      <w:r>
        <w:rPr>
          <w:rFonts w:hint="eastAsia" w:ascii="仿宋" w:hAnsi="仿宋" w:eastAsia="仿宋" w:cs="仿宋"/>
          <w:color w:val="auto"/>
          <w:sz w:val="32"/>
          <w:szCs w:val="32"/>
          <w:shd w:val="clear" w:color="auto" w:fill="FFFFFF"/>
          <w:lang w:val="en-US" w:eastAsia="zh-CN"/>
        </w:rPr>
        <w:t>社会</w:t>
      </w:r>
      <w:r>
        <w:rPr>
          <w:rFonts w:hint="eastAsia" w:ascii="仿宋" w:hAnsi="仿宋" w:eastAsia="仿宋" w:cs="仿宋"/>
          <w:color w:val="auto"/>
          <w:sz w:val="32"/>
          <w:szCs w:val="32"/>
          <w:shd w:val="clear" w:color="auto" w:fill="FFFFFF"/>
        </w:rPr>
        <w:t>舆情，对涉及到单位的发帖、邮件</w:t>
      </w:r>
      <w:r>
        <w:rPr>
          <w:rFonts w:hint="eastAsia" w:ascii="仿宋" w:hAnsi="仿宋" w:eastAsia="仿宋" w:cs="仿宋"/>
          <w:color w:val="auto"/>
          <w:sz w:val="32"/>
          <w:szCs w:val="32"/>
          <w:shd w:val="clear" w:color="auto" w:fill="FFFFFF"/>
          <w:lang w:val="en-US" w:eastAsia="zh-CN"/>
        </w:rPr>
        <w:t>等</w:t>
      </w:r>
      <w:r>
        <w:rPr>
          <w:rFonts w:hint="eastAsia" w:ascii="仿宋" w:hAnsi="仿宋" w:eastAsia="仿宋" w:cs="仿宋"/>
          <w:color w:val="auto"/>
          <w:sz w:val="32"/>
          <w:szCs w:val="32"/>
          <w:shd w:val="clear" w:color="auto" w:fill="FFFFFF"/>
        </w:rPr>
        <w:t>，均在规定时限内及时</w:t>
      </w:r>
      <w:r>
        <w:rPr>
          <w:rFonts w:hint="eastAsia" w:ascii="仿宋" w:hAnsi="仿宋" w:eastAsia="仿宋" w:cs="仿宋"/>
          <w:color w:val="auto"/>
          <w:sz w:val="32"/>
          <w:szCs w:val="32"/>
          <w:shd w:val="clear" w:color="auto" w:fill="FFFFFF"/>
          <w:lang w:val="en-US" w:eastAsia="zh-CN"/>
        </w:rPr>
        <w:t>规范给予</w:t>
      </w:r>
      <w:r>
        <w:rPr>
          <w:rFonts w:hint="eastAsia" w:ascii="仿宋" w:hAnsi="仿宋" w:eastAsia="仿宋" w:cs="仿宋"/>
          <w:color w:val="auto"/>
          <w:sz w:val="32"/>
          <w:szCs w:val="32"/>
          <w:shd w:val="clear" w:color="auto" w:fill="FFFFFF"/>
        </w:rPr>
        <w:t>答复。</w:t>
      </w:r>
      <w:r>
        <w:rPr>
          <w:rFonts w:hint="eastAsia" w:ascii="仿宋" w:hAnsi="仿宋" w:eastAsia="仿宋" w:cs="仿宋"/>
          <w:color w:val="auto"/>
          <w:sz w:val="32"/>
          <w:szCs w:val="32"/>
          <w:shd w:val="clear" w:color="auto" w:fill="FFFFFF"/>
          <w:lang w:val="en-US" w:eastAsia="zh-CN"/>
        </w:rPr>
        <w:t>同时，</w:t>
      </w:r>
      <w:r>
        <w:rPr>
          <w:rFonts w:hint="eastAsia" w:ascii="仿宋" w:hAnsi="仿宋" w:eastAsia="仿宋" w:cs="仿宋"/>
          <w:color w:val="auto"/>
          <w:sz w:val="32"/>
          <w:szCs w:val="32"/>
          <w:shd w:val="clear" w:color="auto" w:fill="FFFFFF"/>
        </w:rPr>
        <w:t>通过走进政风行风热线、</w:t>
      </w:r>
      <w:r>
        <w:rPr>
          <w:rFonts w:hint="eastAsia" w:ascii="仿宋" w:hAnsi="仿宋" w:eastAsia="仿宋" w:cs="仿宋"/>
          <w:color w:val="auto"/>
          <w:sz w:val="32"/>
          <w:szCs w:val="32"/>
          <w:shd w:val="clear" w:color="auto" w:fill="FFFFFF"/>
          <w:lang w:val="en-US" w:eastAsia="zh-CN"/>
        </w:rPr>
        <w:t>零售户订货平台、</w:t>
      </w:r>
      <w:r>
        <w:rPr>
          <w:rFonts w:hint="eastAsia" w:ascii="仿宋" w:hAnsi="仿宋" w:eastAsia="仿宋" w:cs="仿宋"/>
          <w:color w:val="auto"/>
          <w:sz w:val="32"/>
          <w:szCs w:val="32"/>
          <w:shd w:val="clear" w:color="auto" w:fill="FFFFFF"/>
        </w:rPr>
        <w:t>微信工作群等形式</w:t>
      </w:r>
      <w:r>
        <w:rPr>
          <w:rFonts w:hint="eastAsia" w:ascii="仿宋" w:hAnsi="仿宋" w:eastAsia="仿宋" w:cs="仿宋"/>
          <w:color w:val="auto"/>
          <w:sz w:val="32"/>
          <w:szCs w:val="32"/>
          <w:shd w:val="clear" w:color="auto" w:fill="FFFFFF"/>
          <w:lang w:val="en-US" w:eastAsia="zh-CN"/>
        </w:rPr>
        <w:t>答疑解惑</w:t>
      </w:r>
      <w:r>
        <w:rPr>
          <w:rFonts w:hint="eastAsia" w:ascii="仿宋" w:hAnsi="仿宋" w:eastAsia="仿宋" w:cs="仿宋"/>
          <w:color w:val="auto"/>
          <w:sz w:val="32"/>
          <w:szCs w:val="32"/>
          <w:shd w:val="clear" w:color="auto" w:fill="FFFFFF"/>
        </w:rPr>
        <w:t>，主动、及时、准确作出回应和反馈</w:t>
      </w:r>
      <w:r>
        <w:rPr>
          <w:rFonts w:hint="eastAsia" w:ascii="仿宋" w:hAnsi="仿宋" w:eastAsia="仿宋" w:cs="仿宋"/>
          <w:i w:val="0"/>
          <w:iCs w:val="0"/>
          <w:caps w:val="0"/>
          <w:color w:val="auto"/>
          <w:spacing w:val="0"/>
          <w:sz w:val="32"/>
          <w:szCs w:val="32"/>
          <w:vertAlign w:val="baseline"/>
        </w:rPr>
        <w:t>。</w:t>
      </w:r>
    </w:p>
    <w:p>
      <w:pPr>
        <w:ind w:firstLine="643" w:firstLineChars="200"/>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（五）监督保障</w:t>
      </w:r>
    </w:p>
    <w:p>
      <w:pPr>
        <w:ind w:firstLine="640" w:firstLineChars="200"/>
        <w:rPr>
          <w:rFonts w:hint="default" w:ascii="宋体" w:hAnsi="宋体" w:cs="宋体"/>
          <w:color w:val="auto"/>
          <w:sz w:val="28"/>
          <w:szCs w:val="28"/>
          <w:shd w:val="clear" w:color="auto" w:fill="FFFFFF"/>
          <w:lang w:val="en-US" w:eastAsia="zh-CN"/>
        </w:rPr>
      </w:pPr>
      <w:r>
        <w:rPr>
          <w:rFonts w:hint="eastAsia" w:ascii="仿宋" w:hAnsi="仿宋" w:eastAsia="仿宋" w:cs="仿宋"/>
          <w:color w:val="auto"/>
          <w:sz w:val="32"/>
          <w:szCs w:val="32"/>
          <w:shd w:val="clear" w:color="auto" w:fill="FFFFFF"/>
          <w:lang w:val="en-US" w:eastAsia="zh-CN"/>
        </w:rPr>
        <w:t>一是坚持目标导向。充分认识做好公开工作的重要意义，依法行政，执政为民，把公开工作作为规范权力运行、接受群众监督的重要手段。二是坚持</w:t>
      </w:r>
      <w:r>
        <w:rPr>
          <w:rFonts w:hint="eastAsia" w:ascii="仿宋" w:hAnsi="仿宋" w:eastAsia="仿宋" w:cs="仿宋"/>
          <w:color w:val="auto"/>
          <w:sz w:val="32"/>
          <w:szCs w:val="32"/>
          <w:shd w:val="clear" w:color="auto" w:fill="FFFFFF"/>
        </w:rPr>
        <w:t>问题导向</w:t>
      </w:r>
      <w:r>
        <w:rPr>
          <w:rFonts w:hint="eastAsia" w:ascii="仿宋" w:hAnsi="仿宋" w:eastAsia="仿宋" w:cs="仿宋"/>
          <w:color w:val="auto"/>
          <w:sz w:val="32"/>
          <w:szCs w:val="32"/>
          <w:shd w:val="clear" w:color="auto" w:fill="FFFFFF"/>
          <w:lang w:val="en-US" w:eastAsia="zh-CN"/>
        </w:rPr>
        <w:t>。以问题整改作为提升单位公开工作质量的重要抓手，</w:t>
      </w:r>
      <w:r>
        <w:rPr>
          <w:rFonts w:hint="eastAsia" w:ascii="仿宋" w:hAnsi="仿宋" w:eastAsia="仿宋" w:cs="仿宋"/>
          <w:color w:val="auto"/>
          <w:sz w:val="32"/>
          <w:szCs w:val="32"/>
          <w:shd w:val="clear" w:color="auto" w:fill="FFFFFF"/>
        </w:rPr>
        <w:t>补差补缺，确保公开内容准确、及时、规范</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三是坚持考核导向。继续把政务公开与本单位办事公开民主管理工作一起纳入公开工作考核，确保政务公开工作要求落实到位。</w:t>
      </w:r>
    </w:p>
    <w:p>
      <w:pPr>
        <w:pStyle w:val="5"/>
        <w:widowControl/>
        <w:numPr>
          <w:ilvl w:val="0"/>
          <w:numId w:val="1"/>
        </w:numPr>
        <w:shd w:val="clear" w:color="auto" w:fill="FFFFFF"/>
        <w:spacing w:before="0" w:beforeAutospacing="0" w:after="0" w:afterAutospacing="0"/>
        <w:ind w:firstLine="420"/>
        <w:jc w:val="both"/>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主动公开政府信息情况</w:t>
      </w:r>
    </w:p>
    <w:tbl>
      <w:tblPr>
        <w:tblStyle w:val="6"/>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auto"/>
              </w:rPr>
            </w:pPr>
            <w:r>
              <w:rPr>
                <w:rFonts w:hint="eastAsia" w:ascii="宋体" w:hAnsi="宋体" w:cs="宋体"/>
                <w:color w:val="auto"/>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color w:val="auto"/>
              </w:rPr>
            </w:pPr>
            <w:r>
              <w:rPr>
                <w:rFonts w:cs="Calibri"/>
                <w:color w:val="auto"/>
                <w:kern w:val="0"/>
                <w:szCs w:val="21"/>
              </w:rPr>
              <w:t> </w:t>
            </w:r>
            <w:r>
              <w:rPr>
                <w:rFonts w:hint="eastAsia" w:cs="Calibri"/>
                <w:color w:val="auto"/>
                <w:kern w:val="0"/>
                <w:szCs w:val="21"/>
              </w:rPr>
              <w:t xml:space="preserve">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color w:val="auto"/>
                <w:lang w:eastAsia="zh-CN"/>
              </w:rPr>
            </w:pPr>
            <w:r>
              <w:rPr>
                <w:rFonts w:hint="eastAsia" w:ascii="宋体" w:hAnsi="宋体" w:cs="宋体"/>
                <w:color w:val="auto"/>
                <w:kern w:val="0"/>
                <w:sz w:val="20"/>
                <w:szCs w:val="20"/>
              </w:rPr>
              <w:t xml:space="preserve">　　     </w:t>
            </w: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color w:val="auto"/>
                <w:lang w:eastAsia="zh-CN"/>
              </w:rPr>
            </w:pPr>
            <w:r>
              <w:rPr>
                <w:rFonts w:hint="eastAsia" w:ascii="宋体" w:hAnsi="宋体" w:cs="宋体"/>
                <w:color w:val="auto"/>
                <w:kern w:val="0"/>
                <w:sz w:val="20"/>
                <w:szCs w:val="20"/>
              </w:rPr>
              <w:t xml:space="preserve"> 　       </w:t>
            </w: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eastAsia="宋体"/>
                <w:color w:val="auto"/>
                <w:lang w:eastAsia="zh-CN"/>
              </w:rPr>
            </w:pPr>
            <w:r>
              <w:rPr>
                <w:rFonts w:cs="Calibri"/>
                <w:color w:val="auto"/>
                <w:kern w:val="0"/>
                <w:szCs w:val="21"/>
              </w:rPr>
              <w:t> </w:t>
            </w:r>
            <w:r>
              <w:rPr>
                <w:rFonts w:hint="eastAsia" w:cs="Calibri"/>
                <w:color w:val="auto"/>
                <w:kern w:val="0"/>
                <w:szCs w:val="21"/>
              </w:rPr>
              <w:t xml:space="preserve">         </w:t>
            </w:r>
            <w:r>
              <w:rPr>
                <w:rFonts w:hint="eastAsia" w:cs="Calibri"/>
                <w:color w:val="auto"/>
                <w:kern w:val="0"/>
                <w:szCs w:val="21"/>
                <w:lang w:val="en-US" w:eastAsia="zh-CN"/>
              </w:rPr>
              <w:t>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auto"/>
              </w:rPr>
            </w:pPr>
            <w:r>
              <w:rPr>
                <w:rFonts w:hint="eastAsia" w:ascii="宋体" w:hAnsi="宋体" w:cs="宋体"/>
                <w:color w:val="auto"/>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color w:val="auto"/>
              </w:rPr>
            </w:pPr>
            <w:r>
              <w:rPr>
                <w:rFonts w:cs="Calibri"/>
                <w:color w:val="auto"/>
                <w:kern w:val="0"/>
                <w:szCs w:val="21"/>
              </w:rPr>
              <w:t> </w:t>
            </w:r>
            <w:r>
              <w:rPr>
                <w:rFonts w:hint="eastAsia" w:cs="Calibri"/>
                <w:color w:val="auto"/>
                <w:kern w:val="0"/>
                <w:szCs w:val="21"/>
              </w:rPr>
              <w:t xml:space="preserve">                           </w:t>
            </w:r>
            <w:r>
              <w:rPr>
                <w:rFonts w:hint="eastAsia" w:cs="Calibri"/>
                <w:color w:val="auto"/>
                <w:kern w:val="0"/>
                <w:szCs w:val="21"/>
                <w:lang w:eastAsia="zh-CN"/>
              </w:rPr>
              <w:t>2</w:t>
            </w:r>
            <w:r>
              <w:rPr>
                <w:rFonts w:hint="eastAsia" w:cs="Calibri"/>
                <w:color w:val="auto"/>
                <w:kern w:val="0"/>
                <w:szCs w:val="21"/>
                <w:lang w:val="en-US" w:eastAsia="zh-CN"/>
              </w:rPr>
              <w:t>20</w:t>
            </w:r>
            <w:r>
              <w:rPr>
                <w:rFonts w:hint="default" w:cs="Calibri"/>
                <w:color w:val="auto"/>
                <w:kern w:val="0"/>
                <w:szCs w:val="21"/>
                <w:lang w:val="en-US"/>
              </w:rPr>
              <w:t xml:space="preserve">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auto"/>
              </w:rPr>
            </w:pPr>
            <w:r>
              <w:rPr>
                <w:rFonts w:hint="eastAsia" w:ascii="宋体" w:hAnsi="宋体" w:cs="宋体"/>
                <w:color w:val="auto"/>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 xml:space="preserve">　                            </w:t>
            </w:r>
            <w:r>
              <w:rPr>
                <w:rFonts w:hint="eastAsia" w:ascii="宋体" w:hAnsi="宋体" w:cs="宋体"/>
                <w:color w:val="auto"/>
                <w:kern w:val="0"/>
                <w:sz w:val="20"/>
                <w:szCs w:val="20"/>
                <w:lang w:eastAsia="zh-CN"/>
              </w:rPr>
              <w:t>8</w:t>
            </w:r>
            <w:r>
              <w:rPr>
                <w:rFonts w:hint="eastAsia" w:ascii="宋体" w:hAnsi="宋体" w:cs="宋体"/>
                <w:color w:val="auto"/>
                <w:kern w:val="0"/>
                <w:sz w:val="20"/>
                <w:szCs w:val="20"/>
                <w:lang w:val="en-US" w:eastAsia="zh-CN"/>
              </w:rPr>
              <w:t>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auto"/>
              </w:rPr>
            </w:pPr>
            <w:r>
              <w:rPr>
                <w:rFonts w:hint="eastAsia" w:ascii="宋体" w:hAnsi="宋体" w:cs="宋体"/>
                <w:color w:val="auto"/>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ascii="宋体"/>
                <w:color w:val="auto"/>
                <w:sz w:val="24"/>
              </w:rPr>
            </w:pPr>
            <w:r>
              <w:rPr>
                <w:rFonts w:hint="eastAsia" w:ascii="宋体"/>
                <w:color w:val="auto"/>
                <w:sz w:val="24"/>
              </w:rPr>
              <w:t xml:space="preserve">                         0</w:t>
            </w:r>
          </w:p>
        </w:tc>
      </w:tr>
    </w:tbl>
    <w:p>
      <w:pPr>
        <w:widowControl/>
        <w:jc w:val="left"/>
        <w:rPr>
          <w:color w:val="auto"/>
        </w:rPr>
      </w:pPr>
    </w:p>
    <w:p>
      <w:pPr>
        <w:pStyle w:val="5"/>
        <w:widowControl/>
        <w:numPr>
          <w:ilvl w:val="0"/>
          <w:numId w:val="2"/>
        </w:numPr>
        <w:shd w:val="clear" w:color="auto" w:fill="FFFFFF"/>
        <w:spacing w:before="0" w:beforeAutospacing="0" w:after="0" w:afterAutospacing="0"/>
        <w:ind w:firstLine="420"/>
        <w:jc w:val="both"/>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收到和处理政府信息公开申请情况</w:t>
      </w:r>
    </w:p>
    <w:p>
      <w:pPr>
        <w:pStyle w:val="5"/>
        <w:widowControl/>
        <w:shd w:val="clear" w:color="auto" w:fill="FFFFFF"/>
        <w:spacing w:before="0" w:beforeAutospacing="0" w:after="0" w:afterAutospacing="0"/>
        <w:ind w:firstLine="420"/>
        <w:jc w:val="both"/>
        <w:rPr>
          <w:rFonts w:hint="eastAsia" w:ascii="宋体" w:hAnsi="宋体" w:cs="宋体"/>
          <w:color w:val="auto"/>
        </w:rPr>
      </w:pP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color w:val="auto"/>
              </w:rPr>
            </w:pPr>
            <w:r>
              <w:rPr>
                <w:rFonts w:ascii="楷体" w:hAnsi="楷体" w:eastAsia="楷体" w:cs="楷体"/>
                <w:color w:val="auto"/>
                <w:kern w:val="0"/>
                <w:sz w:val="20"/>
                <w:szCs w:val="20"/>
              </w:rPr>
              <w:t>（本列数据的勾稽关系为：第一项加第二项之和，等于第三项加第四项之和）</w:t>
            </w:r>
          </w:p>
        </w:tc>
        <w:tc>
          <w:tcPr>
            <w:tcW w:w="4816" w:type="dxa"/>
            <w:gridSpan w:val="7"/>
            <w:tcBorders>
              <w:top w:val="single" w:color="auto" w:sz="8"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color w:val="auto"/>
                <w:sz w:val="24"/>
              </w:rPr>
            </w:pPr>
          </w:p>
        </w:tc>
        <w:tc>
          <w:tcPr>
            <w:tcW w:w="688" w:type="dxa"/>
            <w:vMerge w:val="restart"/>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自然人</w:t>
            </w:r>
          </w:p>
        </w:tc>
        <w:tc>
          <w:tcPr>
            <w:tcW w:w="3440" w:type="dxa"/>
            <w:gridSpan w:val="5"/>
            <w:tcBorders>
              <w:top w:val="single" w:color="auto" w:sz="8"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法人或其他组织</w:t>
            </w:r>
          </w:p>
        </w:tc>
        <w:tc>
          <w:tcPr>
            <w:tcW w:w="688" w:type="dxa"/>
            <w:vMerge w:val="restart"/>
            <w:tcBorders>
              <w:top w:val="single" w:color="auto" w:sz="8" w:space="0"/>
              <w:left w:val="single" w:color="auto" w:sz="0" w:space="0"/>
              <w:bottom w:val="outset"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color w:val="auto"/>
                <w:sz w:val="24"/>
              </w:rPr>
            </w:pPr>
          </w:p>
        </w:tc>
        <w:tc>
          <w:tcPr>
            <w:tcW w:w="688" w:type="dxa"/>
            <w:vMerge w:val="continue"/>
            <w:tcBorders>
              <w:top w:val="single" w:color="auto" w:sz="0" w:space="0"/>
              <w:left w:val="single" w:color="auto" w:sz="0" w:space="0"/>
              <w:bottom w:val="single" w:color="auto" w:sz="8" w:space="0"/>
              <w:right w:val="single" w:color="auto" w:sz="8" w:space="0"/>
            </w:tcBorders>
            <w:tcMar>
              <w:left w:w="57" w:type="dxa"/>
              <w:right w:w="57" w:type="dxa"/>
            </w:tcMar>
            <w:vAlign w:val="center"/>
          </w:tcPr>
          <w:p>
            <w:pPr>
              <w:rPr>
                <w:rFonts w:hint="eastAsia" w:ascii="宋体"/>
                <w:color w:val="auto"/>
                <w:sz w:val="24"/>
              </w:rPr>
            </w:pP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商业</w:t>
            </w:r>
          </w:p>
          <w:p>
            <w:pPr>
              <w:widowControl/>
              <w:jc w:val="center"/>
              <w:rPr>
                <w:color w:val="auto"/>
              </w:rPr>
            </w:pPr>
            <w:r>
              <w:rPr>
                <w:rFonts w:hint="eastAsia" w:ascii="宋体" w:hAnsi="宋体" w:cs="宋体"/>
                <w:color w:val="auto"/>
                <w:kern w:val="0"/>
                <w:sz w:val="20"/>
                <w:szCs w:val="20"/>
              </w:rPr>
              <w:t>企业</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科研</w:t>
            </w:r>
          </w:p>
          <w:p>
            <w:pPr>
              <w:widowControl/>
              <w:jc w:val="center"/>
              <w:rPr>
                <w:color w:val="auto"/>
              </w:rPr>
            </w:pPr>
            <w:r>
              <w:rPr>
                <w:rFonts w:hint="eastAsia" w:ascii="宋体" w:hAnsi="宋体" w:cs="宋体"/>
                <w:color w:val="auto"/>
                <w:kern w:val="0"/>
                <w:sz w:val="20"/>
                <w:szCs w:val="20"/>
              </w:rPr>
              <w:t>机构</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社会公益组织</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法律服务机构</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ascii="宋体" w:hAnsi="宋体" w:cs="宋体"/>
                <w:color w:val="auto"/>
                <w:kern w:val="0"/>
                <w:sz w:val="20"/>
                <w:szCs w:val="20"/>
              </w:rPr>
              <w:t>其他</w:t>
            </w:r>
          </w:p>
        </w:tc>
        <w:tc>
          <w:tcPr>
            <w:tcW w:w="688" w:type="dxa"/>
            <w:vMerge w:val="continue"/>
            <w:tcBorders>
              <w:top w:val="single" w:color="auto" w:sz="8"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color w:val="auto"/>
                <w:lang w:eastAsia="zh-CN"/>
              </w:rPr>
            </w:pPr>
            <w:r>
              <w:rPr>
                <w:rFonts w:hint="eastAsia"/>
                <w:color w:va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eastAsia="宋体"/>
                <w:color w:val="auto"/>
                <w:lang w:eastAsia="zh-CN"/>
              </w:rPr>
            </w:pPr>
            <w:r>
              <w:rPr>
                <w:rFonts w:hint="eastAsia" w:cs="Calibri"/>
                <w:color w:val="auto"/>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color w:val="auto"/>
                <w:lang w:eastAsia="zh-CN"/>
              </w:rPr>
            </w:pPr>
            <w:r>
              <w:rPr>
                <w:rFonts w:hint="eastAsia"/>
                <w:color w:val="auto"/>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eastAsia="宋体"/>
                <w:color w:val="auto"/>
                <w:lang w:eastAsia="zh-CN"/>
              </w:rPr>
            </w:pPr>
            <w:r>
              <w:rPr>
                <w:rFonts w:cs="Calibri"/>
                <w:color w:val="auto"/>
                <w:kern w:val="0"/>
                <w:sz w:val="20"/>
                <w:szCs w:val="20"/>
              </w:rPr>
              <w:t> </w:t>
            </w:r>
            <w:r>
              <w:rPr>
                <w:rFonts w:hint="eastAsia" w:cs="Calibri"/>
                <w:color w:val="auto"/>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outset"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三、本年度办理结果</w:t>
            </w:r>
          </w:p>
        </w:tc>
        <w:tc>
          <w:tcPr>
            <w:tcW w:w="4163"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（一）予以公开</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rFonts w:hint="eastAsia" w:eastAsia="宋体"/>
                <w:color w:val="auto"/>
                <w:lang w:eastAsia="zh-CN"/>
              </w:rPr>
            </w:pPr>
            <w:r>
              <w:rPr>
                <w:rFonts w:hint="eastAsia"/>
                <w:color w:val="auto"/>
                <w:lang w:val="en-US" w:eastAsia="zh-CN"/>
              </w:rPr>
              <w:t>1</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LargeGap"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8" w:space="0"/>
              <w:left w:val="single" w:color="auto" w:sz="0" w:space="0"/>
              <w:bottom w:val="single" w:color="auto" w:sz="8" w:space="0"/>
              <w:right w:val="single" w:color="auto" w:sz="8" w:space="0"/>
            </w:tcBorders>
            <w:tcMar>
              <w:left w:w="57" w:type="dxa"/>
              <w:right w:w="57" w:type="dxa"/>
            </w:tcMar>
          </w:tcPr>
          <w:p>
            <w:pPr>
              <w:widowControl/>
              <w:jc w:val="center"/>
              <w:rPr>
                <w:rFonts w:hint="eastAsia" w:eastAsia="宋体"/>
                <w:color w:val="auto"/>
                <w:lang w:eastAsia="zh-CN"/>
              </w:rPr>
            </w:pPr>
            <w:r>
              <w:rPr>
                <w:rFonts w:cs="Calibri"/>
                <w:color w:val="auto"/>
                <w:kern w:val="0"/>
                <w:sz w:val="20"/>
                <w:szCs w:val="20"/>
              </w:rPr>
              <w:t> </w:t>
            </w:r>
            <w:r>
              <w:rPr>
                <w:rFonts w:hint="eastAsia" w:cs="Calibri"/>
                <w:color w:val="auto"/>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4163"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（二）部分公开</w:t>
            </w:r>
            <w:r>
              <w:rPr>
                <w:rFonts w:hint="eastAsia" w:ascii="楷体" w:hAnsi="楷体" w:eastAsia="楷体" w:cs="楷体"/>
                <w:color w:val="auto"/>
                <w:kern w:val="0"/>
                <w:sz w:val="20"/>
                <w:szCs w:val="20"/>
              </w:rPr>
              <w:t>（区分处理的，只计这一情形，不计其他情形）</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LargeGap"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ind w:firstLine="200" w:firstLineChars="100"/>
              <w:jc w:val="both"/>
              <w:rPr>
                <w:rFonts w:hint="eastAsia" w:eastAsia="宋体"/>
                <w:color w:val="auto"/>
                <w:highlight w:val="none"/>
                <w:lang w:eastAsia="zh-CN"/>
              </w:rPr>
            </w:pPr>
            <w:r>
              <w:rPr>
                <w:rFonts w:hint="eastAsia" w:cs="Calibri"/>
                <w:color w:val="auto"/>
                <w:kern w:val="0"/>
                <w:sz w:val="20"/>
                <w:szCs w:val="20"/>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（三）不予公开</w:t>
            </w: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1.属于国家秘密</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8"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2.其他法律行政法规禁止公开</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hint="eastAsia" w:cs="Calibri"/>
                <w:color w:val="auto"/>
                <w:kern w:val="0"/>
                <w:sz w:val="20"/>
                <w:szCs w:val="20"/>
              </w:rPr>
              <w:t xml:space="preserve"> 0</w:t>
            </w:r>
            <w:r>
              <w:rPr>
                <w:rFonts w:cs="Calibri"/>
                <w:color w:val="auto"/>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3.危及“三安全一稳定”</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4.保护第三方合法权益</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5.属于三类内部事务信息</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rFonts w:hint="eastAsia" w:eastAsia="宋体"/>
                <w:color w:val="auto"/>
                <w:lang w:eastAsia="zh-CN"/>
              </w:rPr>
            </w:pPr>
            <w:r>
              <w:rPr>
                <w:rFonts w:hint="eastAsia"/>
                <w:color w:val="auto"/>
                <w:lang w:val="en-US" w:eastAsia="zh-CN"/>
              </w:rPr>
              <w:t>1</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rFonts w:hint="eastAsia" w:eastAsia="宋体"/>
                <w:color w:val="auto"/>
                <w:lang w:eastAsia="zh-CN"/>
              </w:rPr>
            </w:pPr>
            <w:r>
              <w:rPr>
                <w:rFonts w:cs="Calibri"/>
                <w:color w:val="auto"/>
                <w:kern w:val="0"/>
                <w:sz w:val="20"/>
                <w:szCs w:val="20"/>
              </w:rPr>
              <w:t> </w:t>
            </w:r>
            <w:r>
              <w:rPr>
                <w:rFonts w:hint="eastAsia" w:cs="Calibri"/>
                <w:color w:val="auto"/>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6.属于四类过程性信息</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7.属于行政执法案卷</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8.属于行政查询事项</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（四）无法提供</w:t>
            </w: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1.本机关不掌握相关政府信息</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2.没有现成信息需要另行制作</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3.补正后申请内容仍不明确</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restart"/>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（五）不予处理</w:t>
            </w: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1.信访举报投诉类申请</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2.重复申请</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wave" w:color="auto" w:sz="0" w:space="0"/>
              <w:left w:val="dotDash" w:color="auto" w:sz="0" w:space="0"/>
              <w:bottom w:val="single" w:color="auto" w:sz="8" w:space="0"/>
              <w:right w:val="dashed"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ckThinSmallGap" w:color="auto" w:sz="0" w:space="0"/>
              <w:left w:val="dotDash"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3.要求提供公开出版物</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ThinSmallGap" w:color="auto" w:sz="0" w:space="0"/>
              <w:left w:val="dotDash"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dotDash"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LargeGap" w:color="auto" w:sz="0" w:space="0"/>
              <w:left w:val="dotDash"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left"/>
              <w:rPr>
                <w:color w:val="auto"/>
              </w:rPr>
            </w:pPr>
            <w:r>
              <w:rPr>
                <w:rFonts w:hint="eastAsia" w:ascii="宋体" w:hAnsi="宋体" w:cs="宋体"/>
                <w:color w:val="auto"/>
                <w:kern w:val="0"/>
                <w:sz w:val="20"/>
                <w:szCs w:val="20"/>
              </w:rPr>
              <w:t>4.无正当理由大量反复申请</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ThinSmallGap" w:color="auto" w:sz="0" w:space="0"/>
              <w:left w:val="dotDash"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dotDash"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LargeGap" w:color="auto" w:sz="0" w:space="0"/>
              <w:left w:val="dotDash"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single" w:color="auto" w:sz="0"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rPr>
                <w:color w:val="auto"/>
              </w:rPr>
            </w:pPr>
            <w:r>
              <w:rPr>
                <w:rFonts w:hint="eastAsia" w:ascii="宋体" w:hAnsi="宋体" w:cs="宋体"/>
                <w:color w:val="auto"/>
                <w:kern w:val="0"/>
                <w:sz w:val="20"/>
                <w:szCs w:val="20"/>
              </w:rPr>
              <w:t>5.要求行政机关确认或重新出具已获取信息</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widowControl/>
              <w:jc w:val="center"/>
              <w:rPr>
                <w:rFonts w:cs="Calibri"/>
                <w:color w:val="auto"/>
                <w:kern w:val="0"/>
                <w:sz w:val="20"/>
                <w:szCs w:val="20"/>
              </w:rPr>
            </w:pPr>
            <w:r>
              <w:rPr>
                <w:rFonts w:cs="Calibri"/>
                <w:color w:val="auto"/>
                <w:kern w:val="0"/>
                <w:sz w:val="20"/>
                <w:szCs w:val="20"/>
              </w:rPr>
              <w:t> </w:t>
            </w:r>
          </w:p>
          <w:p>
            <w:pPr>
              <w:widowControl/>
              <w:jc w:val="center"/>
              <w:rPr>
                <w:color w:val="auto"/>
              </w:rPr>
            </w:pP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restart"/>
            <w:tcBorders>
              <w:top w:val="outset" w:color="auto" w:sz="8" w:space="0"/>
              <w:left w:val="single" w:color="auto" w:sz="0" w:space="0"/>
              <w:bottom w:val="outset"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（六）其他处理</w:t>
            </w: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rPr>
                <w:color w:val="auto"/>
              </w:rPr>
            </w:pPr>
            <w:r>
              <w:rPr>
                <w:rFonts w:hint="eastAsia" w:ascii="宋体" w:hAnsi="宋体" w:cs="宋体"/>
                <w:color w:val="auto"/>
                <w:kern w:val="0"/>
                <w:sz w:val="20"/>
                <w:szCs w:val="20"/>
              </w:rPr>
              <w:t>1.申请人无正当理由逾期不补正、行政机关不再处理其政府信息公开申请</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dotDash"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LargeGap" w:color="auto" w:sz="0" w:space="0"/>
              <w:left w:val="dotDash"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widowControl/>
              <w:jc w:val="center"/>
              <w:rPr>
                <w:rFonts w:cs="Calibri"/>
                <w:color w:val="auto"/>
                <w:kern w:val="0"/>
                <w:sz w:val="20"/>
                <w:szCs w:val="20"/>
              </w:rPr>
            </w:pPr>
          </w:p>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rPr>
                <w:color w:val="auto"/>
              </w:rPr>
            </w:pPr>
            <w:r>
              <w:rPr>
                <w:rFonts w:hint="eastAsia" w:ascii="宋体" w:hAnsi="宋体" w:cs="宋体"/>
                <w:color w:val="auto"/>
                <w:kern w:val="0"/>
                <w:sz w:val="20"/>
                <w:szCs w:val="20"/>
              </w:rPr>
              <w:t>2.申请人逾期未按收费通知要求缴纳费用、行政机关不再处理其政府信息公开申请</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dotDash"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LargeGap" w:color="auto" w:sz="0" w:space="0"/>
              <w:left w:val="dotDash"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widowControl/>
              <w:jc w:val="center"/>
              <w:rPr>
                <w:rFonts w:cs="Calibri"/>
                <w:color w:val="auto"/>
                <w:kern w:val="0"/>
                <w:sz w:val="20"/>
                <w:szCs w:val="20"/>
              </w:rPr>
            </w:pPr>
          </w:p>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943" w:type="dxa"/>
            <w:vMerge w:val="continue"/>
            <w:tcBorders>
              <w:top w:val="outset" w:color="auto" w:sz="8" w:space="0"/>
              <w:left w:val="single" w:color="auto" w:sz="0"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3220"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3.其他</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outset"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nil"/>
              <w:bottom w:val="single" w:color="auto" w:sz="8" w:space="0"/>
              <w:right w:val="dotDash"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LargeGap" w:color="auto" w:sz="0" w:space="0"/>
              <w:left w:val="dotDash"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outset" w:color="auto" w:sz="8" w:space="0"/>
              <w:right w:val="single" w:color="auto" w:sz="8" w:space="0"/>
            </w:tcBorders>
            <w:tcMar>
              <w:left w:w="57" w:type="dxa"/>
              <w:right w:w="57" w:type="dxa"/>
            </w:tcMar>
          </w:tcPr>
          <w:p>
            <w:pPr>
              <w:widowControl/>
              <w:jc w:val="center"/>
              <w:rPr>
                <w:color w:val="auto"/>
              </w:rPr>
            </w:pPr>
            <w:r>
              <w:rPr>
                <w:rFonts w:cs="Calibri"/>
                <w:color w:val="auto"/>
                <w:kern w:val="0"/>
                <w:sz w:val="20"/>
                <w:szCs w:val="20"/>
              </w:rPr>
              <w:t> </w:t>
            </w:r>
            <w:r>
              <w:rPr>
                <w:rFonts w:hint="eastAsia" w:cs="Calibri"/>
                <w:color w:val="auto"/>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outset" w:color="auto" w:sz="8" w:space="0"/>
              <w:right w:val="single" w:color="auto" w:sz="8" w:space="0"/>
            </w:tcBorders>
            <w:tcMar>
              <w:left w:w="57" w:type="dxa"/>
              <w:right w:w="57" w:type="dxa"/>
            </w:tcMar>
            <w:vAlign w:val="center"/>
          </w:tcPr>
          <w:p>
            <w:pPr>
              <w:rPr>
                <w:rFonts w:hint="eastAsia" w:ascii="宋体"/>
                <w:color w:val="auto"/>
                <w:sz w:val="24"/>
              </w:rPr>
            </w:pPr>
          </w:p>
        </w:tc>
        <w:tc>
          <w:tcPr>
            <w:tcW w:w="4163" w:type="dxa"/>
            <w:gridSpan w:val="2"/>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（七）总计</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rFonts w:hint="eastAsia" w:eastAsia="宋体"/>
                <w:color w:val="auto"/>
                <w:lang w:eastAsia="zh-CN"/>
              </w:rPr>
            </w:pPr>
            <w:r>
              <w:rPr>
                <w:rFonts w:hint="eastAsia"/>
                <w:color w:val="auto"/>
                <w:lang w:val="en-US" w:eastAsia="zh-CN"/>
              </w:rPr>
              <w:t>2</w:t>
            </w:r>
          </w:p>
        </w:tc>
        <w:tc>
          <w:tcPr>
            <w:tcW w:w="688" w:type="dxa"/>
            <w:tcBorders>
              <w:top w:val="single" w:color="auto" w:sz="0" w:space="0"/>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thinThickLargeGap"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single" w:color="auto" w:sz="0" w:space="0"/>
              <w:left w:val="single" w:color="auto" w:sz="0" w:space="0"/>
              <w:bottom w:val="single" w:color="auto" w:sz="8" w:space="0"/>
              <w:right w:val="single" w:color="auto" w:sz="8" w:space="0"/>
            </w:tcBorders>
            <w:tcMar>
              <w:left w:w="57" w:type="dxa"/>
              <w:right w:w="57" w:type="dxa"/>
            </w:tcMar>
          </w:tcPr>
          <w:p>
            <w:pPr>
              <w:widowControl/>
              <w:jc w:val="center"/>
              <w:rPr>
                <w:rFonts w:hint="eastAsia" w:eastAsia="宋体"/>
                <w:color w:val="auto"/>
                <w:lang w:eastAsia="zh-CN"/>
              </w:rPr>
            </w:pPr>
            <w:r>
              <w:rPr>
                <w:rFonts w:hint="eastAsia" w:cs="Calibri"/>
                <w:color w:val="auto"/>
                <w:kern w:val="0"/>
                <w:sz w:val="20"/>
                <w:szCs w:val="20"/>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color w:val="auto"/>
              </w:rPr>
            </w:pPr>
            <w:r>
              <w:rPr>
                <w:rFonts w:hint="eastAsia" w:ascii="宋体" w:hAnsi="宋体" w:cs="宋体"/>
                <w:color w:val="auto"/>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cs="Calibri"/>
                <w:color w:val="auto"/>
                <w:kern w:val="0"/>
                <w:sz w:val="20"/>
                <w:szCs w:val="20"/>
              </w:rPr>
              <w:t>0 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color w:val="auto"/>
              </w:rPr>
            </w:pPr>
            <w:r>
              <w:rPr>
                <w:rFonts w:hint="eastAsia"/>
                <w:color w:val="auto"/>
              </w:rPr>
              <w:t>0</w:t>
            </w:r>
          </w:p>
        </w:tc>
      </w:tr>
    </w:tbl>
    <w:p>
      <w:pPr>
        <w:widowControl/>
        <w:jc w:val="left"/>
        <w:rPr>
          <w:rFonts w:hint="eastAsia" w:ascii="宋体" w:hAnsi="宋体" w:cs="宋体"/>
          <w:color w:val="auto"/>
          <w:kern w:val="0"/>
          <w:sz w:val="24"/>
          <w:shd w:val="clear" w:color="auto" w:fill="FFFFFF"/>
        </w:rPr>
      </w:pPr>
    </w:p>
    <w:p>
      <w:pPr>
        <w:pStyle w:val="5"/>
        <w:widowControl/>
        <w:shd w:val="clear" w:color="auto" w:fill="FFFFFF"/>
        <w:spacing w:before="0" w:beforeAutospacing="0" w:after="0" w:afterAutospacing="0"/>
        <w:ind w:firstLine="42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color="auto" w:fill="FFFFFF"/>
        </w:rPr>
        <w:t>四、政府信息公开行政复议、行政诉讼情况</w:t>
      </w:r>
    </w:p>
    <w:p>
      <w:pPr>
        <w:widowControl/>
        <w:shd w:val="clear" w:color="auto" w:fill="FFFFFF"/>
        <w:jc w:val="center"/>
        <w:rPr>
          <w:rFonts w:hint="eastAsia" w:ascii="宋体" w:hAnsi="宋体" w:cs="宋体"/>
          <w:color w:val="auto"/>
          <w:sz w:val="24"/>
        </w:rPr>
      </w:pPr>
    </w:p>
    <w:tbl>
      <w:tblPr>
        <w:tblStyle w:val="6"/>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9"/>
        <w:gridCol w:w="639"/>
        <w:gridCol w:w="639"/>
        <w:gridCol w:w="641"/>
        <w:gridCol w:w="639"/>
        <w:gridCol w:w="716"/>
        <w:gridCol w:w="639"/>
        <w:gridCol w:w="716"/>
        <w:gridCol w:w="640"/>
        <w:gridCol w:w="640"/>
        <w:gridCol w:w="640"/>
        <w:gridCol w:w="642"/>
        <w:gridCol w:w="640"/>
        <w:gridCol w:w="640"/>
        <w:gridCol w:w="63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97"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宋体" w:hAnsi="宋体" w:cs="宋体"/>
                <w:color w:val="auto"/>
                <w:kern w:val="0"/>
                <w:sz w:val="20"/>
                <w:szCs w:val="20"/>
              </w:rPr>
              <w:t>行政复议</w:t>
            </w:r>
          </w:p>
        </w:tc>
        <w:tc>
          <w:tcPr>
            <w:tcW w:w="6551"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宋体" w:hAnsi="宋体" w:cs="宋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宋体" w:hAnsi="宋体" w:cs="宋体"/>
                <w:color w:val="auto"/>
                <w:kern w:val="0"/>
                <w:sz w:val="20"/>
                <w:szCs w:val="20"/>
              </w:rPr>
              <w:t>结果维持</w:t>
            </w:r>
          </w:p>
        </w:tc>
        <w:tc>
          <w:tcPr>
            <w:tcW w:w="63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结果</w:t>
            </w:r>
          </w:p>
          <w:p>
            <w:pPr>
              <w:widowControl/>
              <w:jc w:val="center"/>
              <w:rPr>
                <w:color w:val="auto"/>
              </w:rPr>
            </w:pPr>
            <w:r>
              <w:rPr>
                <w:rFonts w:hint="eastAsia" w:ascii="宋体" w:hAnsi="宋体" w:cs="宋体"/>
                <w:color w:val="auto"/>
                <w:kern w:val="0"/>
                <w:sz w:val="20"/>
                <w:szCs w:val="20"/>
              </w:rPr>
              <w:t>纠正</w:t>
            </w:r>
          </w:p>
        </w:tc>
        <w:tc>
          <w:tcPr>
            <w:tcW w:w="63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其他</w:t>
            </w:r>
          </w:p>
          <w:p>
            <w:pPr>
              <w:widowControl/>
              <w:jc w:val="center"/>
              <w:rPr>
                <w:color w:val="auto"/>
              </w:rPr>
            </w:pPr>
            <w:r>
              <w:rPr>
                <w:rFonts w:hint="eastAsia" w:ascii="宋体" w:hAnsi="宋体" w:cs="宋体"/>
                <w:color w:val="auto"/>
                <w:kern w:val="0"/>
                <w:sz w:val="20"/>
                <w:szCs w:val="20"/>
              </w:rPr>
              <w:t>结果</w:t>
            </w:r>
          </w:p>
        </w:tc>
        <w:tc>
          <w:tcPr>
            <w:tcW w:w="64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尚未</w:t>
            </w:r>
          </w:p>
          <w:p>
            <w:pPr>
              <w:widowControl/>
              <w:jc w:val="center"/>
              <w:rPr>
                <w:color w:val="auto"/>
              </w:rPr>
            </w:pPr>
            <w:r>
              <w:rPr>
                <w:rFonts w:hint="eastAsia" w:ascii="宋体" w:hAnsi="宋体" w:cs="宋体"/>
                <w:color w:val="auto"/>
                <w:kern w:val="0"/>
                <w:sz w:val="20"/>
                <w:szCs w:val="20"/>
              </w:rPr>
              <w:t>审结</w:t>
            </w:r>
          </w:p>
        </w:tc>
        <w:tc>
          <w:tcPr>
            <w:tcW w:w="63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宋体" w:hAnsi="宋体" w:cs="宋体"/>
                <w:color w:val="auto"/>
                <w:kern w:val="0"/>
                <w:sz w:val="20"/>
                <w:szCs w:val="20"/>
              </w:rPr>
              <w:t>总计</w:t>
            </w:r>
          </w:p>
        </w:tc>
        <w:tc>
          <w:tcPr>
            <w:tcW w:w="3351"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宋体" w:hAnsi="宋体" w:cs="宋体"/>
                <w:color w:val="auto"/>
                <w:kern w:val="0"/>
                <w:sz w:val="20"/>
                <w:szCs w:val="20"/>
              </w:rPr>
              <w:t>未经复议直接起诉</w:t>
            </w:r>
          </w:p>
        </w:tc>
        <w:tc>
          <w:tcPr>
            <w:tcW w:w="320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宋体" w:hAnsi="宋体" w:cs="宋体"/>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3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rPr>
            </w:pPr>
          </w:p>
        </w:tc>
        <w:tc>
          <w:tcPr>
            <w:tcW w:w="63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rPr>
            </w:pPr>
          </w:p>
        </w:tc>
        <w:tc>
          <w:tcPr>
            <w:tcW w:w="63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rPr>
            </w:pPr>
          </w:p>
        </w:tc>
        <w:tc>
          <w:tcPr>
            <w:tcW w:w="64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rPr>
            </w:pPr>
          </w:p>
        </w:tc>
        <w:tc>
          <w:tcPr>
            <w:tcW w:w="63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rPr>
            </w:pPr>
          </w:p>
        </w:tc>
        <w:tc>
          <w:tcPr>
            <w:tcW w:w="716"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结果</w:t>
            </w:r>
          </w:p>
          <w:p>
            <w:pPr>
              <w:widowControl/>
              <w:jc w:val="center"/>
              <w:rPr>
                <w:color w:val="auto"/>
              </w:rPr>
            </w:pPr>
            <w:r>
              <w:rPr>
                <w:rFonts w:hint="eastAsia" w:ascii="宋体" w:hAnsi="宋体" w:cs="宋体"/>
                <w:color w:val="auto"/>
                <w:kern w:val="0"/>
                <w:sz w:val="20"/>
                <w:szCs w:val="20"/>
              </w:rPr>
              <w:t>维持</w:t>
            </w:r>
          </w:p>
        </w:tc>
        <w:tc>
          <w:tcPr>
            <w:tcW w:w="63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结果</w:t>
            </w:r>
          </w:p>
          <w:p>
            <w:pPr>
              <w:widowControl/>
              <w:jc w:val="center"/>
              <w:rPr>
                <w:color w:val="auto"/>
              </w:rPr>
            </w:pPr>
            <w:r>
              <w:rPr>
                <w:rFonts w:hint="eastAsia" w:ascii="宋体" w:hAnsi="宋体" w:cs="宋体"/>
                <w:color w:val="auto"/>
                <w:kern w:val="0"/>
                <w:sz w:val="20"/>
                <w:szCs w:val="20"/>
              </w:rPr>
              <w:t>纠正</w:t>
            </w:r>
          </w:p>
        </w:tc>
        <w:tc>
          <w:tcPr>
            <w:tcW w:w="71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其他</w:t>
            </w:r>
          </w:p>
          <w:p>
            <w:pPr>
              <w:widowControl/>
              <w:jc w:val="center"/>
              <w:rPr>
                <w:color w:val="auto"/>
              </w:rPr>
            </w:pPr>
            <w:r>
              <w:rPr>
                <w:rFonts w:hint="eastAsia" w:ascii="宋体" w:hAnsi="宋体" w:cs="宋体"/>
                <w:color w:val="auto"/>
                <w:kern w:val="0"/>
                <w:sz w:val="20"/>
                <w:szCs w:val="20"/>
              </w:rPr>
              <w:t>结果</w:t>
            </w:r>
          </w:p>
        </w:tc>
        <w:tc>
          <w:tcPr>
            <w:tcW w:w="6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尚未</w:t>
            </w:r>
          </w:p>
          <w:p>
            <w:pPr>
              <w:widowControl/>
              <w:jc w:val="center"/>
              <w:rPr>
                <w:color w:val="auto"/>
              </w:rPr>
            </w:pPr>
            <w:r>
              <w:rPr>
                <w:rFonts w:hint="eastAsia" w:ascii="宋体" w:hAnsi="宋体" w:cs="宋体"/>
                <w:color w:val="auto"/>
                <w:kern w:val="0"/>
                <w:sz w:val="20"/>
                <w:szCs w:val="20"/>
              </w:rPr>
              <w:t>审结</w:t>
            </w:r>
          </w:p>
        </w:tc>
        <w:tc>
          <w:tcPr>
            <w:tcW w:w="6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宋体" w:hAnsi="宋体" w:cs="宋体"/>
                <w:color w:val="auto"/>
                <w:kern w:val="0"/>
                <w:sz w:val="20"/>
                <w:szCs w:val="20"/>
              </w:rPr>
              <w:t>总计</w:t>
            </w:r>
          </w:p>
        </w:tc>
        <w:tc>
          <w:tcPr>
            <w:tcW w:w="6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结果</w:t>
            </w:r>
          </w:p>
          <w:p>
            <w:pPr>
              <w:widowControl/>
              <w:jc w:val="center"/>
              <w:rPr>
                <w:color w:val="auto"/>
              </w:rPr>
            </w:pPr>
            <w:r>
              <w:rPr>
                <w:rFonts w:hint="eastAsia" w:ascii="宋体" w:hAnsi="宋体" w:cs="宋体"/>
                <w:color w:val="auto"/>
                <w:kern w:val="0"/>
                <w:sz w:val="20"/>
                <w:szCs w:val="20"/>
              </w:rPr>
              <w:t>维持</w:t>
            </w:r>
          </w:p>
        </w:tc>
        <w:tc>
          <w:tcPr>
            <w:tcW w:w="64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结果</w:t>
            </w:r>
          </w:p>
          <w:p>
            <w:pPr>
              <w:widowControl/>
              <w:jc w:val="center"/>
              <w:rPr>
                <w:color w:val="auto"/>
              </w:rPr>
            </w:pPr>
            <w:r>
              <w:rPr>
                <w:rFonts w:hint="eastAsia" w:ascii="宋体" w:hAnsi="宋体" w:cs="宋体"/>
                <w:color w:val="auto"/>
                <w:kern w:val="0"/>
                <w:sz w:val="20"/>
                <w:szCs w:val="20"/>
              </w:rPr>
              <w:t>纠正</w:t>
            </w:r>
          </w:p>
        </w:tc>
        <w:tc>
          <w:tcPr>
            <w:tcW w:w="6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其他</w:t>
            </w:r>
          </w:p>
          <w:p>
            <w:pPr>
              <w:widowControl/>
              <w:jc w:val="center"/>
              <w:rPr>
                <w:color w:val="auto"/>
              </w:rPr>
            </w:pPr>
            <w:r>
              <w:rPr>
                <w:rFonts w:hint="eastAsia" w:ascii="宋体" w:hAnsi="宋体" w:cs="宋体"/>
                <w:color w:val="auto"/>
                <w:kern w:val="0"/>
                <w:sz w:val="20"/>
                <w:szCs w:val="20"/>
              </w:rPr>
              <w:t>结果</w:t>
            </w:r>
          </w:p>
        </w:tc>
        <w:tc>
          <w:tcPr>
            <w:tcW w:w="64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尚未</w:t>
            </w:r>
          </w:p>
          <w:p>
            <w:pPr>
              <w:widowControl/>
              <w:jc w:val="center"/>
              <w:rPr>
                <w:color w:val="auto"/>
              </w:rPr>
            </w:pPr>
            <w:r>
              <w:rPr>
                <w:rFonts w:hint="eastAsia" w:ascii="宋体" w:hAnsi="宋体" w:cs="宋体"/>
                <w:color w:val="auto"/>
                <w:kern w:val="0"/>
                <w:sz w:val="20"/>
                <w:szCs w:val="20"/>
              </w:rPr>
              <w:t>审结</w:t>
            </w:r>
          </w:p>
        </w:tc>
        <w:tc>
          <w:tcPr>
            <w:tcW w:w="63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宋体" w:hAnsi="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3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ascii="黑体" w:hAnsi="宋体" w:eastAsia="黑体" w:cs="黑体"/>
                <w:color w:val="auto"/>
                <w:kern w:val="0"/>
                <w:sz w:val="20"/>
                <w:szCs w:val="20"/>
              </w:rPr>
              <w:t> </w:t>
            </w:r>
            <w:r>
              <w:rPr>
                <w:rFonts w:hint="eastAsia" w:ascii="黑体" w:hAnsi="宋体" w:eastAsia="黑体" w:cs="黑体"/>
                <w:color w:val="auto"/>
                <w:kern w:val="0"/>
                <w:sz w:val="20"/>
                <w:szCs w:val="20"/>
              </w:rPr>
              <w:t>0</w:t>
            </w:r>
          </w:p>
        </w:tc>
        <w:tc>
          <w:tcPr>
            <w:tcW w:w="63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63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64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63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716"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63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716"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 xml:space="preserve"> 0 </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 xml:space="preserve"> 0 </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 xml:space="preserve"> 0 </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64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color w:val="auto"/>
              </w:rPr>
            </w:pPr>
            <w:r>
              <w:rPr>
                <w:rFonts w:hint="eastAsia" w:ascii="黑体" w:hAnsi="宋体" w:eastAsia="黑体" w:cs="黑体"/>
                <w:color w:val="auto"/>
                <w:kern w:val="0"/>
                <w:sz w:val="20"/>
                <w:szCs w:val="20"/>
              </w:rPr>
              <w:t>0 </w:t>
            </w:r>
          </w:p>
        </w:tc>
        <w:tc>
          <w:tcPr>
            <w:tcW w:w="638"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auto"/>
                <w:sz w:val="24"/>
              </w:rPr>
            </w:pPr>
            <w:r>
              <w:rPr>
                <w:rFonts w:hint="eastAsia" w:ascii="宋体"/>
                <w:color w:val="auto"/>
                <w:sz w:val="24"/>
              </w:rPr>
              <w:t>0</w:t>
            </w:r>
          </w:p>
        </w:tc>
      </w:tr>
    </w:tbl>
    <w:p>
      <w:pPr>
        <w:widowControl/>
        <w:rPr>
          <w:rFonts w:hint="eastAsia" w:ascii="宋体" w:hAnsi="宋体" w:cs="宋体"/>
          <w:color w:val="auto"/>
          <w:kern w:val="0"/>
          <w:sz w:val="28"/>
          <w:szCs w:val="28"/>
          <w:shd w:val="clear" w:color="auto" w:fill="FFFFFF"/>
        </w:rPr>
      </w:pPr>
    </w:p>
    <w:p>
      <w:pPr>
        <w:pStyle w:val="5"/>
        <w:widowControl/>
        <w:numPr>
          <w:ilvl w:val="0"/>
          <w:numId w:val="3"/>
        </w:numPr>
        <w:shd w:val="clear" w:color="auto" w:fill="FFFFFF"/>
        <w:spacing w:before="0" w:beforeAutospacing="0" w:after="0" w:afterAutospacing="0"/>
        <w:ind w:firstLine="420"/>
        <w:jc w:val="both"/>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存在的主要问题及改进情况</w:t>
      </w:r>
    </w:p>
    <w:p>
      <w:pPr>
        <w:pStyle w:val="5"/>
        <w:widowControl/>
        <w:shd w:val="clear" w:color="auto" w:fill="FFFFFF"/>
        <w:spacing w:before="0" w:beforeAutospacing="0" w:after="0" w:afterAutospacing="0"/>
        <w:ind w:firstLine="640" w:firstLineChars="200"/>
        <w:jc w:val="both"/>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一是</w:t>
      </w:r>
      <w:r>
        <w:rPr>
          <w:rFonts w:hint="eastAsia" w:ascii="仿宋" w:hAnsi="仿宋" w:eastAsia="仿宋" w:cs="仿宋"/>
          <w:color w:val="auto"/>
          <w:sz w:val="32"/>
          <w:szCs w:val="32"/>
          <w:shd w:val="clear" w:color="auto" w:fill="FFFFFF"/>
        </w:rPr>
        <w:t>对本单位及行业相关文件的政策解读力度不够</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在解读</w:t>
      </w:r>
      <w:r>
        <w:rPr>
          <w:rFonts w:hint="eastAsia" w:ascii="仿宋" w:hAnsi="仿宋" w:eastAsia="仿宋" w:cs="仿宋"/>
          <w:color w:val="auto"/>
          <w:sz w:val="32"/>
          <w:szCs w:val="32"/>
          <w:shd w:val="clear" w:color="auto" w:fill="FFFFFF"/>
        </w:rPr>
        <w:t>形式</w:t>
      </w:r>
      <w:r>
        <w:rPr>
          <w:rFonts w:hint="eastAsia" w:ascii="仿宋" w:hAnsi="仿宋" w:eastAsia="仿宋" w:cs="仿宋"/>
          <w:color w:val="auto"/>
          <w:sz w:val="32"/>
          <w:szCs w:val="32"/>
          <w:shd w:val="clear" w:color="auto" w:fill="FFFFFF"/>
          <w:lang w:val="en-US" w:eastAsia="zh-CN"/>
        </w:rPr>
        <w:t>上需要进一步丰富;二是在</w:t>
      </w:r>
      <w:r>
        <w:rPr>
          <w:rFonts w:hint="eastAsia" w:ascii="仿宋" w:hAnsi="仿宋" w:eastAsia="仿宋" w:cs="仿宋"/>
          <w:color w:val="auto"/>
          <w:sz w:val="32"/>
          <w:szCs w:val="32"/>
          <w:shd w:val="clear" w:color="auto" w:fill="FFFFFF"/>
        </w:rPr>
        <w:t>主动回应社会关切</w:t>
      </w:r>
      <w:r>
        <w:rPr>
          <w:rFonts w:hint="eastAsia" w:ascii="仿宋" w:hAnsi="仿宋" w:eastAsia="仿宋" w:cs="仿宋"/>
          <w:color w:val="auto"/>
          <w:sz w:val="32"/>
          <w:szCs w:val="32"/>
          <w:shd w:val="clear" w:color="auto" w:fill="FFFFFF"/>
          <w:lang w:val="en-US" w:eastAsia="zh-CN"/>
        </w:rPr>
        <w:t>方面有待进一步加强</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三是在公开平台搭建方面，需要在推进政务新媒体建设方面进一步探索。</w:t>
      </w:r>
    </w:p>
    <w:p>
      <w:pPr>
        <w:pStyle w:val="5"/>
        <w:widowControl/>
        <w:shd w:val="clear" w:color="auto" w:fill="FFFFFF"/>
        <w:spacing w:before="0" w:beforeAutospacing="0" w:after="0" w:afterAutospacing="0"/>
        <w:ind w:firstLine="640" w:firstLineChars="200"/>
        <w:jc w:val="both"/>
        <w:rPr>
          <w:rFonts w:hint="eastAsia" w:ascii="仿宋" w:hAnsi="仿宋" w:eastAsia="仿宋" w:cs="仿宋"/>
          <w:b/>
          <w:bCs/>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2023年</w:t>
      </w:r>
      <w:r>
        <w:rPr>
          <w:rFonts w:hint="eastAsia" w:ascii="仿宋" w:hAnsi="仿宋" w:eastAsia="仿宋" w:cs="仿宋"/>
          <w:color w:val="auto"/>
          <w:sz w:val="32"/>
          <w:szCs w:val="32"/>
          <w:shd w:val="clear" w:color="auto" w:fill="FFFFFF"/>
        </w:rPr>
        <w:t>，我局</w:t>
      </w:r>
      <w:r>
        <w:rPr>
          <w:rFonts w:hint="eastAsia" w:ascii="仿宋" w:hAnsi="仿宋" w:eastAsia="仿宋" w:cs="仿宋"/>
          <w:color w:val="auto"/>
          <w:sz w:val="32"/>
          <w:szCs w:val="32"/>
          <w:shd w:val="clear" w:color="auto" w:fill="FFFFFF"/>
          <w:lang w:val="en-US" w:eastAsia="zh-CN"/>
        </w:rPr>
        <w:t>将进一步加大对行业涉及市场主体及公众利益有关政策的解读，加强舆情研判主动回应关切，积极探索多方位政策宣传平台搭建</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同时，</w:t>
      </w:r>
      <w:r>
        <w:rPr>
          <w:rFonts w:hint="eastAsia" w:ascii="仿宋" w:hAnsi="仿宋" w:eastAsia="仿宋" w:cs="仿宋"/>
          <w:color w:val="auto"/>
          <w:sz w:val="32"/>
          <w:szCs w:val="32"/>
          <w:shd w:val="clear" w:color="auto" w:fill="FFFFFF"/>
        </w:rPr>
        <w:t>进一步加强对信息发布的督导和考核力度，</w:t>
      </w:r>
      <w:r>
        <w:rPr>
          <w:rFonts w:hint="eastAsia" w:ascii="仿宋" w:hAnsi="仿宋" w:eastAsia="仿宋" w:cs="仿宋"/>
          <w:color w:val="auto"/>
          <w:sz w:val="32"/>
          <w:szCs w:val="32"/>
          <w:shd w:val="clear" w:color="auto" w:fill="FFFFFF"/>
          <w:lang w:val="en-US" w:eastAsia="zh-CN"/>
        </w:rPr>
        <w:t>不断</w:t>
      </w:r>
      <w:r>
        <w:rPr>
          <w:rFonts w:hint="eastAsia" w:ascii="仿宋" w:hAnsi="仿宋" w:eastAsia="仿宋" w:cs="仿宋"/>
          <w:color w:val="auto"/>
          <w:sz w:val="32"/>
          <w:szCs w:val="32"/>
          <w:shd w:val="clear" w:color="auto" w:fill="FFFFFF"/>
        </w:rPr>
        <w:t>提</w:t>
      </w:r>
      <w:r>
        <w:rPr>
          <w:rFonts w:hint="eastAsia" w:ascii="仿宋" w:hAnsi="仿宋" w:eastAsia="仿宋" w:cs="仿宋"/>
          <w:color w:val="auto"/>
          <w:sz w:val="32"/>
          <w:szCs w:val="32"/>
          <w:shd w:val="clear" w:color="auto" w:fill="FFFFFF"/>
          <w:lang w:val="en-US" w:eastAsia="zh-CN"/>
        </w:rPr>
        <w:t>升</w:t>
      </w:r>
      <w:r>
        <w:rPr>
          <w:rFonts w:hint="eastAsia" w:ascii="仿宋" w:hAnsi="仿宋" w:eastAsia="仿宋" w:cs="仿宋"/>
          <w:color w:val="auto"/>
          <w:sz w:val="32"/>
          <w:szCs w:val="32"/>
          <w:shd w:val="clear" w:color="auto" w:fill="FFFFFF"/>
        </w:rPr>
        <w:t>局政务公开工作水平。</w:t>
      </w:r>
    </w:p>
    <w:p>
      <w:pPr>
        <w:pStyle w:val="5"/>
        <w:widowControl/>
        <w:numPr>
          <w:ilvl w:val="0"/>
          <w:numId w:val="4"/>
        </w:numPr>
        <w:shd w:val="clear" w:color="auto" w:fill="FFFFFF"/>
        <w:spacing w:before="0" w:beforeAutospacing="0" w:after="0" w:afterAutospacing="0"/>
        <w:ind w:firstLine="420"/>
        <w:jc w:val="both"/>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其他需要报告的事项</w:t>
      </w:r>
    </w:p>
    <w:p>
      <w:pPr>
        <w:pStyle w:val="5"/>
        <w:widowControl/>
        <w:shd w:val="clear" w:color="auto" w:fill="FFFFFF"/>
        <w:spacing w:before="0" w:beforeAutospacing="0" w:after="0" w:afterAutospacing="0"/>
        <w:ind w:firstLine="640" w:firstLineChars="200"/>
        <w:jc w:val="both"/>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按照《国务院办公厅关于印发&lt;政府信息公开信息处理费管理办法&gt;的通知》（国办函【2020】109号）规定的按件、按量收费标准，本年度没有产生信息公开处理费。</w:t>
      </w:r>
    </w:p>
    <w:p>
      <w:pPr>
        <w:pStyle w:val="5"/>
        <w:widowControl/>
        <w:shd w:val="clear" w:color="auto" w:fill="FFFFFF"/>
        <w:spacing w:before="0" w:beforeAutospacing="0" w:after="0" w:afterAutospacing="0"/>
        <w:ind w:firstLine="640" w:firstLineChars="200"/>
        <w:jc w:val="both"/>
        <w:rPr>
          <w:rFonts w:hint="eastAsia" w:ascii="仿宋" w:hAnsi="仿宋" w:eastAsia="仿宋" w:cs="仿宋"/>
          <w:color w:val="auto"/>
          <w:sz w:val="32"/>
          <w:szCs w:val="32"/>
          <w:shd w:val="clear" w:color="auto" w:fill="FFFFFF"/>
        </w:rPr>
      </w:pPr>
    </w:p>
    <w:p>
      <w:pPr>
        <w:jc w:val="center"/>
        <w:rPr>
          <w:rFonts w:hint="eastAsia" w:ascii="仿宋" w:hAnsi="仿宋" w:eastAsia="仿宋" w:cs="仿宋"/>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9928C"/>
    <w:multiLevelType w:val="singleLevel"/>
    <w:tmpl w:val="B159928C"/>
    <w:lvl w:ilvl="0" w:tentative="0">
      <w:start w:val="3"/>
      <w:numFmt w:val="chineseCounting"/>
      <w:suff w:val="nothing"/>
      <w:lvlText w:val="%1、"/>
      <w:lvlJc w:val="left"/>
      <w:rPr>
        <w:rFonts w:hint="eastAsia"/>
      </w:rPr>
    </w:lvl>
  </w:abstractNum>
  <w:abstractNum w:abstractNumId="1">
    <w:nsid w:val="E7D65DFC"/>
    <w:multiLevelType w:val="singleLevel"/>
    <w:tmpl w:val="E7D65DFC"/>
    <w:lvl w:ilvl="0" w:tentative="0">
      <w:start w:val="2"/>
      <w:numFmt w:val="chineseCounting"/>
      <w:suff w:val="nothing"/>
      <w:lvlText w:val="%1、"/>
      <w:lvlJc w:val="left"/>
      <w:rPr>
        <w:rFonts w:hint="eastAsia"/>
      </w:rPr>
    </w:lvl>
  </w:abstractNum>
  <w:abstractNum w:abstractNumId="2">
    <w:nsid w:val="470F570C"/>
    <w:multiLevelType w:val="singleLevel"/>
    <w:tmpl w:val="470F570C"/>
    <w:lvl w:ilvl="0" w:tentative="0">
      <w:start w:val="6"/>
      <w:numFmt w:val="chineseCounting"/>
      <w:suff w:val="nothing"/>
      <w:lvlText w:val="%1、"/>
      <w:lvlJc w:val="left"/>
      <w:rPr>
        <w:rFonts w:hint="eastAsia"/>
      </w:rPr>
    </w:lvl>
  </w:abstractNum>
  <w:abstractNum w:abstractNumId="3">
    <w:nsid w:val="6FCCA919"/>
    <w:multiLevelType w:val="singleLevel"/>
    <w:tmpl w:val="6FCCA919"/>
    <w:lvl w:ilvl="0" w:tentative="0">
      <w:start w:val="5"/>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Y5ODQ3NzgyZjgxOTZhMGViNzI5YjNiZjQyODA3NzgifQ=="/>
  </w:docVars>
  <w:rsids>
    <w:rsidRoot w:val="00A75AE9"/>
    <w:rsid w:val="00055C97"/>
    <w:rsid w:val="00097D31"/>
    <w:rsid w:val="00152ECC"/>
    <w:rsid w:val="001A6E25"/>
    <w:rsid w:val="002947D3"/>
    <w:rsid w:val="003605BD"/>
    <w:rsid w:val="004A0789"/>
    <w:rsid w:val="004A0F01"/>
    <w:rsid w:val="004C21EC"/>
    <w:rsid w:val="006840BD"/>
    <w:rsid w:val="00746622"/>
    <w:rsid w:val="00906BEC"/>
    <w:rsid w:val="00925F74"/>
    <w:rsid w:val="009361AE"/>
    <w:rsid w:val="00A75AE9"/>
    <w:rsid w:val="00BA6ED0"/>
    <w:rsid w:val="00CA2FFC"/>
    <w:rsid w:val="00D0424A"/>
    <w:rsid w:val="00E16B2E"/>
    <w:rsid w:val="00E23A6A"/>
    <w:rsid w:val="00F16D3F"/>
    <w:rsid w:val="00FD7505"/>
    <w:rsid w:val="012D6C74"/>
    <w:rsid w:val="01785B98"/>
    <w:rsid w:val="01963C43"/>
    <w:rsid w:val="03EF2AA2"/>
    <w:rsid w:val="044D3323"/>
    <w:rsid w:val="047054BB"/>
    <w:rsid w:val="05045994"/>
    <w:rsid w:val="05E24C49"/>
    <w:rsid w:val="06E44EE6"/>
    <w:rsid w:val="082E31F3"/>
    <w:rsid w:val="08957F9C"/>
    <w:rsid w:val="0B11750E"/>
    <w:rsid w:val="0C6B192F"/>
    <w:rsid w:val="0DCD3D24"/>
    <w:rsid w:val="0F147B9B"/>
    <w:rsid w:val="0FA86E6B"/>
    <w:rsid w:val="0FBA11EE"/>
    <w:rsid w:val="100069C5"/>
    <w:rsid w:val="10672AA7"/>
    <w:rsid w:val="111E7CCF"/>
    <w:rsid w:val="11540FF4"/>
    <w:rsid w:val="12635CF8"/>
    <w:rsid w:val="12BA79EB"/>
    <w:rsid w:val="139D0458"/>
    <w:rsid w:val="15472610"/>
    <w:rsid w:val="15A9236C"/>
    <w:rsid w:val="180E22A8"/>
    <w:rsid w:val="18E12334"/>
    <w:rsid w:val="18FE2D24"/>
    <w:rsid w:val="190C3D1B"/>
    <w:rsid w:val="19E6790A"/>
    <w:rsid w:val="1A32742B"/>
    <w:rsid w:val="1A720582"/>
    <w:rsid w:val="1C381D54"/>
    <w:rsid w:val="1CC730D8"/>
    <w:rsid w:val="1EB43996"/>
    <w:rsid w:val="1EE24A6F"/>
    <w:rsid w:val="2045466B"/>
    <w:rsid w:val="2334521D"/>
    <w:rsid w:val="23402EAF"/>
    <w:rsid w:val="23802256"/>
    <w:rsid w:val="240F2E05"/>
    <w:rsid w:val="24ED3EDA"/>
    <w:rsid w:val="2572209D"/>
    <w:rsid w:val="25C428AA"/>
    <w:rsid w:val="26B03FF2"/>
    <w:rsid w:val="26C04BCB"/>
    <w:rsid w:val="272950BB"/>
    <w:rsid w:val="28186EDD"/>
    <w:rsid w:val="28B46C06"/>
    <w:rsid w:val="28BD51B1"/>
    <w:rsid w:val="29B51DFF"/>
    <w:rsid w:val="2A111F14"/>
    <w:rsid w:val="2C42327B"/>
    <w:rsid w:val="2D2E4048"/>
    <w:rsid w:val="2E060932"/>
    <w:rsid w:val="2E374561"/>
    <w:rsid w:val="30600EA8"/>
    <w:rsid w:val="32A95202"/>
    <w:rsid w:val="331D4010"/>
    <w:rsid w:val="33580335"/>
    <w:rsid w:val="33E11B47"/>
    <w:rsid w:val="357E747C"/>
    <w:rsid w:val="362B041E"/>
    <w:rsid w:val="368D513F"/>
    <w:rsid w:val="370F5B82"/>
    <w:rsid w:val="371067E0"/>
    <w:rsid w:val="379B61F3"/>
    <w:rsid w:val="37DF2D7C"/>
    <w:rsid w:val="38B74905"/>
    <w:rsid w:val="38CE55C3"/>
    <w:rsid w:val="38EA6D9E"/>
    <w:rsid w:val="3B3A743F"/>
    <w:rsid w:val="3C8053D2"/>
    <w:rsid w:val="3C8E3CF4"/>
    <w:rsid w:val="3D2A34E3"/>
    <w:rsid w:val="3D3D742D"/>
    <w:rsid w:val="3D480D9F"/>
    <w:rsid w:val="3D89645B"/>
    <w:rsid w:val="3E176817"/>
    <w:rsid w:val="3F7A3AC2"/>
    <w:rsid w:val="3FE6432A"/>
    <w:rsid w:val="4062123F"/>
    <w:rsid w:val="40EB63EE"/>
    <w:rsid w:val="42042555"/>
    <w:rsid w:val="4208393B"/>
    <w:rsid w:val="432F695E"/>
    <w:rsid w:val="43DB3BB7"/>
    <w:rsid w:val="43DF474F"/>
    <w:rsid w:val="440D5915"/>
    <w:rsid w:val="462B7FB7"/>
    <w:rsid w:val="471C3E9C"/>
    <w:rsid w:val="47E220F0"/>
    <w:rsid w:val="49A54CE8"/>
    <w:rsid w:val="4A005556"/>
    <w:rsid w:val="4A915F02"/>
    <w:rsid w:val="4B524331"/>
    <w:rsid w:val="4CA1182F"/>
    <w:rsid w:val="4D2B4AAD"/>
    <w:rsid w:val="4D814A59"/>
    <w:rsid w:val="4E203D9C"/>
    <w:rsid w:val="4E7E6CAF"/>
    <w:rsid w:val="4EC93C9F"/>
    <w:rsid w:val="4ECC2DC2"/>
    <w:rsid w:val="4EF8536B"/>
    <w:rsid w:val="509C604E"/>
    <w:rsid w:val="514E2822"/>
    <w:rsid w:val="51C85147"/>
    <w:rsid w:val="54D209B9"/>
    <w:rsid w:val="55112DC7"/>
    <w:rsid w:val="56117937"/>
    <w:rsid w:val="561F0EDB"/>
    <w:rsid w:val="564D680E"/>
    <w:rsid w:val="566A3471"/>
    <w:rsid w:val="577810FC"/>
    <w:rsid w:val="57C80253"/>
    <w:rsid w:val="58E46DCF"/>
    <w:rsid w:val="59DA57E3"/>
    <w:rsid w:val="5A841856"/>
    <w:rsid w:val="5A9D159B"/>
    <w:rsid w:val="5AD24317"/>
    <w:rsid w:val="5BFC5A40"/>
    <w:rsid w:val="5CDC04ED"/>
    <w:rsid w:val="5F364CE3"/>
    <w:rsid w:val="5F4B136B"/>
    <w:rsid w:val="5F630463"/>
    <w:rsid w:val="608A25E5"/>
    <w:rsid w:val="610276D2"/>
    <w:rsid w:val="61096DE8"/>
    <w:rsid w:val="621E76E6"/>
    <w:rsid w:val="62AC2121"/>
    <w:rsid w:val="63110A97"/>
    <w:rsid w:val="63246D10"/>
    <w:rsid w:val="65C854C3"/>
    <w:rsid w:val="669A6803"/>
    <w:rsid w:val="66D6776C"/>
    <w:rsid w:val="671964E7"/>
    <w:rsid w:val="671B5387"/>
    <w:rsid w:val="677845C1"/>
    <w:rsid w:val="69226EDF"/>
    <w:rsid w:val="69D41445"/>
    <w:rsid w:val="6A5C156F"/>
    <w:rsid w:val="6B127CD3"/>
    <w:rsid w:val="6BB3651A"/>
    <w:rsid w:val="6C9E38E6"/>
    <w:rsid w:val="6E06572C"/>
    <w:rsid w:val="6FAC17BE"/>
    <w:rsid w:val="71264B74"/>
    <w:rsid w:val="720C087B"/>
    <w:rsid w:val="72FF2A7D"/>
    <w:rsid w:val="73C70E9B"/>
    <w:rsid w:val="74C81393"/>
    <w:rsid w:val="74DF586A"/>
    <w:rsid w:val="75606252"/>
    <w:rsid w:val="75856424"/>
    <w:rsid w:val="75860CF9"/>
    <w:rsid w:val="76D627B3"/>
    <w:rsid w:val="77D71C06"/>
    <w:rsid w:val="797B55F2"/>
    <w:rsid w:val="7A9F1A0E"/>
    <w:rsid w:val="7AA35300"/>
    <w:rsid w:val="7ACC6C5F"/>
    <w:rsid w:val="7AE34B46"/>
    <w:rsid w:val="7AE52EFE"/>
    <w:rsid w:val="7AEB2341"/>
    <w:rsid w:val="7B931C78"/>
    <w:rsid w:val="7C2D36BA"/>
    <w:rsid w:val="7D042A6E"/>
    <w:rsid w:val="7D32320C"/>
    <w:rsid w:val="7D4D2771"/>
    <w:rsid w:val="7DEC38C1"/>
    <w:rsid w:val="7E3A5CA1"/>
    <w:rsid w:val="7E3E5A94"/>
    <w:rsid w:val="7FC043F8"/>
    <w:rsid w:val="7FCE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jc w:val="left"/>
    </w:pPr>
    <w:rPr>
      <w:kern w:val="0"/>
      <w:sz w:val="24"/>
    </w:rPr>
  </w:style>
  <w:style w:type="character" w:styleId="8">
    <w:name w:val="Emphasis"/>
    <w:qFormat/>
    <w:uiPriority w:val="0"/>
    <w:rPr>
      <w:i/>
    </w:rPr>
  </w:style>
  <w:style w:type="character" w:styleId="9">
    <w:name w:val="HTML Acronym"/>
    <w:basedOn w:val="7"/>
    <w:qFormat/>
    <w:uiPriority w:val="0"/>
  </w:style>
  <w:style w:type="character" w:customStyle="1" w:styleId="10">
    <w:name w:val="页眉 Char"/>
    <w:basedOn w:val="7"/>
    <w:link w:val="4"/>
    <w:autoRedefine/>
    <w:qFormat/>
    <w:uiPriority w:val="0"/>
    <w:rPr>
      <w:rFonts w:ascii="Calibri" w:hAnsi="Calibri"/>
      <w:kern w:val="2"/>
      <w:sz w:val="18"/>
      <w:szCs w:val="18"/>
    </w:rPr>
  </w:style>
  <w:style w:type="character" w:customStyle="1" w:styleId="11">
    <w:name w:val="页脚 Char"/>
    <w:basedOn w:val="7"/>
    <w:link w:val="3"/>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2629</Words>
  <Characters>2711</Characters>
  <Lines>22</Lines>
  <Paragraphs>6</Paragraphs>
  <TotalTime>4</TotalTime>
  <ScaleCrop>false</ScaleCrop>
  <LinksUpToDate>false</LinksUpToDate>
  <CharactersWithSpaces>2954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2022-01-16T06:03:00Z</dcterms:created>
  <dc:creator>lenovo</dc:creator>
  <cp:lastModifiedBy>旋木</cp:lastModifiedBy>
  <cp:lastPrinted>2023-01-13T03:12:00Z</cp:lastPrinted>
  <dcterms:modified xsi:type="dcterms:W3CDTF">2024-02-21T03:27:21Z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39997526E10E4985A7A7E5E2084287DD</vt:lpwstr>
  </property>
</Properties>
</file>