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spacing w:line="580" w:lineRule="exact"/>
        <w:rPr>
          <w:rFonts w:hint="default" w:ascii="仿宋_GB2312" w:hAnsi="仿宋_GB2312" w:eastAsia="仿宋_GB2312" w:cs="仿宋_GB2312"/>
          <w:spacing w:val="-20"/>
          <w:sz w:val="32"/>
          <w:szCs w:val="32"/>
          <w:lang w:val="en-US" w:eastAsia="zh-CN"/>
        </w:rPr>
      </w:pPr>
      <w:r>
        <w:rPr>
          <w:rFonts w:hint="eastAsia" w:ascii="仿宋_GB2312" w:hAnsi="仿宋_GB2312" w:eastAsia="仿宋_GB2312" w:cs="仿宋_GB2312"/>
          <w:spacing w:val="-20"/>
          <w:sz w:val="32"/>
          <w:szCs w:val="32"/>
          <w:lang w:val="en-US" w:eastAsia="zh-CN"/>
        </w:rPr>
        <w:t>附件5</w:t>
      </w:r>
      <w:bookmarkStart w:id="0" w:name="_GoBack"/>
      <w:bookmarkEnd w:id="0"/>
    </w:p>
    <w:p>
      <w:pPr>
        <w:pStyle w:val="3"/>
        <w:spacing w:after="0" w:line="560" w:lineRule="exact"/>
        <w:ind w:firstLine="0"/>
        <w:jc w:val="center"/>
        <w:rPr>
          <w:rFonts w:ascii="方正小标宋简体" w:hAnsi="方正小标宋简体" w:eastAsia="方正小标宋简体" w:cs="方正小标宋简体"/>
          <w:sz w:val="44"/>
          <w:szCs w:val="44"/>
          <w:lang w:val="en-US"/>
        </w:rPr>
      </w:pPr>
      <w:r>
        <w:rPr>
          <w:rFonts w:hint="eastAsia" w:ascii="方正小标宋简体" w:hAnsi="方正小标宋简体" w:eastAsia="方正小标宋简体" w:cs="方正小标宋简体"/>
          <w:sz w:val="44"/>
          <w:szCs w:val="44"/>
          <w:lang w:val="en-US" w:eastAsia="zh-CN"/>
        </w:rPr>
        <w:t>六安市农业农村局</w:t>
      </w:r>
      <w:r>
        <w:rPr>
          <w:rFonts w:hint="eastAsia" w:ascii="方正小标宋简体" w:hAnsi="方正小标宋简体" w:eastAsia="方正小标宋简体" w:cs="方正小标宋简体"/>
          <w:sz w:val="44"/>
          <w:szCs w:val="44"/>
          <w:lang w:val="en-US"/>
        </w:rPr>
        <w:t>调整后的行政权力中介服务清单</w:t>
      </w:r>
    </w:p>
    <w:p>
      <w:pPr>
        <w:spacing w:line="560" w:lineRule="exact"/>
        <w:jc w:val="center"/>
        <w:rPr>
          <w:rFonts w:ascii="黑体" w:hAnsi="黑体" w:eastAsia="黑体" w:cs="黑体"/>
          <w:sz w:val="36"/>
          <w:szCs w:val="36"/>
          <w:u w:val="single"/>
        </w:rPr>
      </w:pPr>
      <w:r>
        <w:rPr>
          <w:rFonts w:hint="eastAsia" w:ascii="黑体" w:hAnsi="黑体" w:eastAsia="黑体" w:cs="黑体"/>
          <w:sz w:val="36"/>
          <w:szCs w:val="36"/>
          <w:u w:val="single"/>
        </w:rPr>
        <w:t>保留事项清单</w:t>
      </w:r>
    </w:p>
    <w:tbl>
      <w:tblPr>
        <w:tblStyle w:val="4"/>
        <w:tblW w:w="5305"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972"/>
        <w:gridCol w:w="1129"/>
        <w:gridCol w:w="2986"/>
        <w:gridCol w:w="1297"/>
        <w:gridCol w:w="2299"/>
        <w:gridCol w:w="2317"/>
        <w:gridCol w:w="2408"/>
        <w:gridCol w:w="1631"/>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9" w:hRule="atLeast"/>
          <w:tblHeader/>
          <w:jc w:val="center"/>
        </w:trPr>
        <w:tc>
          <w:tcPr>
            <w:tcW w:w="323" w:type="pct"/>
            <w:vMerge w:val="restart"/>
            <w:tcBorders>
              <w:top w:val="single" w:color="auto" w:sz="4" w:space="0"/>
            </w:tcBorders>
            <w:noWrap w:val="0"/>
            <w:vAlign w:val="center"/>
          </w:tcPr>
          <w:p>
            <w:pPr>
              <w:spacing w:line="400" w:lineRule="exact"/>
              <w:jc w:val="center"/>
              <w:rPr>
                <w:rFonts w:ascii="黑体" w:hAnsi="黑体" w:eastAsia="黑体" w:cs="仿宋_GB2312"/>
                <w:sz w:val="28"/>
                <w:szCs w:val="32"/>
              </w:rPr>
            </w:pPr>
            <w:r>
              <w:rPr>
                <w:rFonts w:hint="eastAsia" w:ascii="黑体" w:hAnsi="黑体" w:eastAsia="黑体" w:cs="仿宋_GB2312"/>
                <w:sz w:val="28"/>
                <w:szCs w:val="32"/>
              </w:rPr>
              <w:t>序号</w:t>
            </w:r>
          </w:p>
        </w:tc>
        <w:tc>
          <w:tcPr>
            <w:tcW w:w="375" w:type="pct"/>
            <w:vMerge w:val="restart"/>
            <w:tcBorders>
              <w:top w:val="single" w:color="auto" w:sz="4" w:space="0"/>
            </w:tcBorders>
            <w:noWrap w:val="0"/>
            <w:vAlign w:val="center"/>
          </w:tcPr>
          <w:p>
            <w:pPr>
              <w:spacing w:line="400" w:lineRule="exact"/>
              <w:jc w:val="center"/>
              <w:rPr>
                <w:rFonts w:ascii="黑体" w:hAnsi="黑体" w:eastAsia="黑体" w:cs="仿宋_GB2312"/>
                <w:sz w:val="28"/>
                <w:szCs w:val="32"/>
              </w:rPr>
            </w:pPr>
            <w:r>
              <w:rPr>
                <w:rFonts w:hint="eastAsia" w:ascii="黑体" w:hAnsi="黑体" w:eastAsia="黑体" w:cs="仿宋_GB2312"/>
                <w:sz w:val="28"/>
                <w:szCs w:val="32"/>
              </w:rPr>
              <w:t>事项名称</w:t>
            </w:r>
          </w:p>
        </w:tc>
        <w:tc>
          <w:tcPr>
            <w:tcW w:w="992" w:type="pct"/>
            <w:vMerge w:val="restart"/>
            <w:tcBorders>
              <w:top w:val="single" w:color="auto" w:sz="4" w:space="0"/>
            </w:tcBorders>
            <w:noWrap w:val="0"/>
            <w:vAlign w:val="center"/>
          </w:tcPr>
          <w:p>
            <w:pPr>
              <w:spacing w:line="400" w:lineRule="exact"/>
              <w:jc w:val="center"/>
              <w:rPr>
                <w:rFonts w:ascii="黑体" w:hAnsi="黑体" w:eastAsia="黑体" w:cs="仿宋_GB2312"/>
                <w:sz w:val="28"/>
                <w:szCs w:val="32"/>
              </w:rPr>
            </w:pPr>
            <w:r>
              <w:rPr>
                <w:rFonts w:hint="eastAsia" w:ascii="黑体" w:hAnsi="黑体" w:eastAsia="黑体" w:cs="仿宋_GB2312"/>
                <w:sz w:val="28"/>
                <w:szCs w:val="32"/>
              </w:rPr>
              <w:t>设定依据</w:t>
            </w:r>
          </w:p>
        </w:tc>
        <w:tc>
          <w:tcPr>
            <w:tcW w:w="431" w:type="pct"/>
            <w:vMerge w:val="restart"/>
            <w:tcBorders>
              <w:top w:val="single" w:color="auto" w:sz="4" w:space="0"/>
            </w:tcBorders>
            <w:noWrap w:val="0"/>
            <w:vAlign w:val="center"/>
          </w:tcPr>
          <w:p>
            <w:pPr>
              <w:spacing w:line="400" w:lineRule="exact"/>
              <w:jc w:val="center"/>
              <w:rPr>
                <w:rFonts w:ascii="黑体" w:hAnsi="黑体" w:eastAsia="黑体" w:cs="仿宋_GB2312"/>
                <w:sz w:val="28"/>
                <w:szCs w:val="32"/>
              </w:rPr>
            </w:pPr>
            <w:r>
              <w:rPr>
                <w:rFonts w:hint="eastAsia" w:ascii="黑体" w:hAnsi="黑体" w:eastAsia="黑体" w:cs="仿宋_GB2312"/>
                <w:sz w:val="28"/>
                <w:szCs w:val="32"/>
              </w:rPr>
              <w:t>对应行政权力名称</w:t>
            </w:r>
          </w:p>
        </w:tc>
        <w:tc>
          <w:tcPr>
            <w:tcW w:w="1534" w:type="pct"/>
            <w:gridSpan w:val="2"/>
            <w:tcBorders>
              <w:top w:val="single" w:color="auto" w:sz="4" w:space="0"/>
            </w:tcBorders>
            <w:noWrap w:val="0"/>
            <w:vAlign w:val="center"/>
          </w:tcPr>
          <w:p>
            <w:pPr>
              <w:spacing w:line="400" w:lineRule="exact"/>
              <w:jc w:val="center"/>
              <w:rPr>
                <w:rFonts w:ascii="黑体" w:hAnsi="黑体" w:eastAsia="黑体" w:cs="仿宋_GB2312"/>
                <w:sz w:val="28"/>
                <w:szCs w:val="32"/>
              </w:rPr>
            </w:pPr>
            <w:r>
              <w:rPr>
                <w:rFonts w:hint="eastAsia" w:ascii="黑体" w:hAnsi="黑体" w:eastAsia="黑体" w:cs="仿宋_GB2312"/>
                <w:sz w:val="28"/>
                <w:szCs w:val="32"/>
              </w:rPr>
              <w:t>中介服务实施机构</w:t>
            </w:r>
          </w:p>
        </w:tc>
        <w:tc>
          <w:tcPr>
            <w:tcW w:w="800" w:type="pct"/>
            <w:vMerge w:val="restart"/>
            <w:tcBorders>
              <w:top w:val="single" w:color="auto" w:sz="4" w:space="0"/>
            </w:tcBorders>
            <w:noWrap w:val="0"/>
            <w:vAlign w:val="center"/>
          </w:tcPr>
          <w:p>
            <w:pPr>
              <w:spacing w:line="400" w:lineRule="exact"/>
              <w:jc w:val="center"/>
              <w:rPr>
                <w:rFonts w:ascii="黑体" w:hAnsi="黑体" w:eastAsia="黑体" w:cs="仿宋_GB2312"/>
                <w:sz w:val="28"/>
                <w:szCs w:val="32"/>
              </w:rPr>
            </w:pPr>
            <w:r>
              <w:rPr>
                <w:rFonts w:hint="eastAsia" w:ascii="黑体" w:hAnsi="黑体" w:eastAsia="黑体" w:cs="仿宋_GB2312"/>
                <w:sz w:val="28"/>
                <w:szCs w:val="32"/>
              </w:rPr>
              <w:t>收费标准及依据</w:t>
            </w:r>
          </w:p>
        </w:tc>
        <w:tc>
          <w:tcPr>
            <w:tcW w:w="542" w:type="pct"/>
            <w:vMerge w:val="restart"/>
            <w:tcBorders>
              <w:top w:val="single" w:color="auto" w:sz="4" w:space="0"/>
            </w:tcBorders>
            <w:noWrap w:val="0"/>
            <w:vAlign w:val="center"/>
          </w:tcPr>
          <w:p>
            <w:pPr>
              <w:spacing w:line="400" w:lineRule="exact"/>
              <w:jc w:val="center"/>
              <w:rPr>
                <w:rFonts w:ascii="黑体" w:hAnsi="黑体" w:eastAsia="黑体" w:cs="仿宋_GB2312"/>
                <w:sz w:val="28"/>
                <w:szCs w:val="32"/>
              </w:rPr>
            </w:pPr>
            <w:r>
              <w:rPr>
                <w:rFonts w:hint="eastAsia" w:ascii="黑体" w:hAnsi="黑体" w:eastAsia="黑体" w:cs="仿宋_GB2312"/>
                <w:sz w:val="28"/>
                <w:szCs w:val="32"/>
              </w:rPr>
              <w:t>委托主体</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9" w:hRule="atLeast"/>
          <w:tblHeader/>
          <w:jc w:val="center"/>
        </w:trPr>
        <w:tc>
          <w:tcPr>
            <w:tcW w:w="323" w:type="pct"/>
            <w:vMerge w:val="continue"/>
            <w:noWrap w:val="0"/>
            <w:vAlign w:val="center"/>
          </w:tcPr>
          <w:p>
            <w:pPr>
              <w:spacing w:line="400" w:lineRule="exact"/>
              <w:jc w:val="center"/>
              <w:rPr>
                <w:rFonts w:ascii="黑体" w:hAnsi="黑体" w:eastAsia="黑体" w:cs="仿宋_GB2312"/>
                <w:color w:val="000000"/>
                <w:sz w:val="28"/>
                <w:szCs w:val="32"/>
              </w:rPr>
            </w:pPr>
          </w:p>
        </w:tc>
        <w:tc>
          <w:tcPr>
            <w:tcW w:w="375" w:type="pct"/>
            <w:vMerge w:val="continue"/>
            <w:noWrap w:val="0"/>
            <w:vAlign w:val="center"/>
          </w:tcPr>
          <w:p>
            <w:pPr>
              <w:spacing w:line="400" w:lineRule="exact"/>
              <w:jc w:val="center"/>
              <w:rPr>
                <w:rFonts w:ascii="黑体" w:hAnsi="黑体" w:eastAsia="黑体" w:cs="仿宋_GB2312"/>
                <w:color w:val="000000"/>
                <w:sz w:val="28"/>
                <w:szCs w:val="32"/>
              </w:rPr>
            </w:pPr>
          </w:p>
        </w:tc>
        <w:tc>
          <w:tcPr>
            <w:tcW w:w="992" w:type="pct"/>
            <w:vMerge w:val="continue"/>
            <w:noWrap w:val="0"/>
            <w:vAlign w:val="center"/>
          </w:tcPr>
          <w:p>
            <w:pPr>
              <w:spacing w:line="400" w:lineRule="exact"/>
              <w:jc w:val="center"/>
              <w:rPr>
                <w:rFonts w:ascii="黑体" w:hAnsi="黑体" w:eastAsia="黑体" w:cs="仿宋_GB2312"/>
                <w:color w:val="000000"/>
                <w:sz w:val="28"/>
                <w:szCs w:val="32"/>
              </w:rPr>
            </w:pPr>
          </w:p>
        </w:tc>
        <w:tc>
          <w:tcPr>
            <w:tcW w:w="431" w:type="pct"/>
            <w:vMerge w:val="continue"/>
            <w:noWrap w:val="0"/>
            <w:vAlign w:val="center"/>
          </w:tcPr>
          <w:p>
            <w:pPr>
              <w:spacing w:line="400" w:lineRule="exact"/>
              <w:jc w:val="center"/>
              <w:rPr>
                <w:rFonts w:ascii="黑体" w:hAnsi="黑体" w:eastAsia="黑体" w:cs="仿宋_GB2312"/>
                <w:color w:val="000000"/>
                <w:sz w:val="28"/>
                <w:szCs w:val="32"/>
              </w:rPr>
            </w:pPr>
          </w:p>
        </w:tc>
        <w:tc>
          <w:tcPr>
            <w:tcW w:w="764" w:type="pct"/>
            <w:noWrap w:val="0"/>
            <w:vAlign w:val="center"/>
          </w:tcPr>
          <w:p>
            <w:pPr>
              <w:spacing w:line="400" w:lineRule="exact"/>
              <w:jc w:val="center"/>
              <w:rPr>
                <w:rFonts w:ascii="黑体" w:hAnsi="黑体" w:eastAsia="黑体" w:cs="仿宋_GB2312"/>
                <w:color w:val="000000"/>
                <w:sz w:val="28"/>
                <w:szCs w:val="32"/>
              </w:rPr>
            </w:pPr>
            <w:r>
              <w:rPr>
                <w:rFonts w:hint="eastAsia" w:ascii="黑体" w:hAnsi="黑体" w:eastAsia="黑体" w:cs="仿宋_GB2312"/>
                <w:color w:val="000000"/>
                <w:sz w:val="28"/>
                <w:szCs w:val="32"/>
              </w:rPr>
              <w:t>资质条件</w:t>
            </w:r>
          </w:p>
        </w:tc>
        <w:tc>
          <w:tcPr>
            <w:tcW w:w="770" w:type="pct"/>
            <w:noWrap w:val="0"/>
            <w:vAlign w:val="center"/>
          </w:tcPr>
          <w:p>
            <w:pPr>
              <w:spacing w:line="400" w:lineRule="exact"/>
              <w:jc w:val="center"/>
              <w:rPr>
                <w:rFonts w:ascii="黑体" w:hAnsi="黑体" w:eastAsia="黑体" w:cs="仿宋_GB2312"/>
                <w:color w:val="000000"/>
                <w:sz w:val="28"/>
                <w:szCs w:val="32"/>
              </w:rPr>
            </w:pPr>
            <w:r>
              <w:rPr>
                <w:rFonts w:hint="eastAsia" w:ascii="黑体" w:hAnsi="黑体" w:eastAsia="黑体" w:cs="仿宋_GB2312"/>
                <w:color w:val="000000"/>
                <w:sz w:val="28"/>
                <w:szCs w:val="32"/>
              </w:rPr>
              <w:t>资质依据</w:t>
            </w:r>
          </w:p>
        </w:tc>
        <w:tc>
          <w:tcPr>
            <w:tcW w:w="800" w:type="pct"/>
            <w:vMerge w:val="continue"/>
            <w:noWrap w:val="0"/>
            <w:vAlign w:val="center"/>
          </w:tcPr>
          <w:p>
            <w:pPr>
              <w:spacing w:line="400" w:lineRule="exact"/>
              <w:jc w:val="center"/>
              <w:rPr>
                <w:rFonts w:ascii="黑体" w:hAnsi="黑体" w:eastAsia="黑体" w:cs="仿宋_GB2312"/>
                <w:color w:val="000000"/>
                <w:sz w:val="28"/>
                <w:szCs w:val="32"/>
              </w:rPr>
            </w:pPr>
          </w:p>
        </w:tc>
        <w:tc>
          <w:tcPr>
            <w:tcW w:w="542" w:type="pct"/>
            <w:vMerge w:val="continue"/>
            <w:noWrap w:val="0"/>
            <w:vAlign w:val="center"/>
          </w:tcPr>
          <w:p>
            <w:pPr>
              <w:spacing w:line="400" w:lineRule="exact"/>
              <w:jc w:val="center"/>
              <w:rPr>
                <w:rFonts w:ascii="黑体" w:hAnsi="黑体" w:eastAsia="黑体" w:cs="仿宋_GB2312"/>
                <w:color w:val="000000"/>
                <w:sz w:val="28"/>
                <w:szCs w:val="3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9" w:hRule="atLeast"/>
          <w:tblHeader/>
          <w:jc w:val="center"/>
        </w:trPr>
        <w:tc>
          <w:tcPr>
            <w:tcW w:w="323" w:type="pct"/>
            <w:noWrap w:val="0"/>
            <w:vAlign w:val="center"/>
          </w:tcPr>
          <w:p>
            <w:pPr>
              <w:keepNext w:val="0"/>
              <w:keepLines w:val="0"/>
              <w:widowControl/>
              <w:suppressLineNumbers w:val="0"/>
              <w:jc w:val="center"/>
              <w:textAlignment w:val="center"/>
              <w:rPr>
                <w:rFonts w:hint="eastAsia" w:ascii="宋体" w:hAnsi="宋体" w:eastAsia="宋体" w:cs="宋体"/>
                <w:color w:val="000000"/>
                <w:sz w:val="13"/>
                <w:szCs w:val="13"/>
              </w:rPr>
            </w:pPr>
            <w:r>
              <w:rPr>
                <w:rFonts w:hint="eastAsia" w:ascii="宋体" w:hAnsi="宋体" w:eastAsia="宋体" w:cs="宋体"/>
                <w:i w:val="0"/>
                <w:color w:val="000000"/>
                <w:kern w:val="0"/>
                <w:sz w:val="13"/>
                <w:szCs w:val="13"/>
                <w:u w:val="none"/>
                <w:lang w:val="en-US" w:eastAsia="zh-CN" w:bidi="ar"/>
              </w:rPr>
              <w:t>1</w:t>
            </w:r>
          </w:p>
        </w:tc>
        <w:tc>
          <w:tcPr>
            <w:tcW w:w="375" w:type="pct"/>
            <w:noWrap w:val="0"/>
            <w:vAlign w:val="center"/>
          </w:tcPr>
          <w:p>
            <w:pPr>
              <w:keepNext w:val="0"/>
              <w:keepLines w:val="0"/>
              <w:widowControl/>
              <w:suppressLineNumbers w:val="0"/>
              <w:jc w:val="left"/>
              <w:textAlignment w:val="center"/>
              <w:rPr>
                <w:rFonts w:hint="eastAsia" w:ascii="宋体" w:hAnsi="宋体" w:eastAsia="宋体" w:cs="宋体"/>
                <w:color w:val="000000"/>
                <w:sz w:val="13"/>
                <w:szCs w:val="13"/>
              </w:rPr>
            </w:pPr>
            <w:r>
              <w:rPr>
                <w:rFonts w:hint="eastAsia" w:ascii="宋体" w:hAnsi="宋体" w:eastAsia="宋体" w:cs="宋体"/>
                <w:i w:val="0"/>
                <w:color w:val="000000"/>
                <w:kern w:val="0"/>
                <w:sz w:val="13"/>
                <w:szCs w:val="13"/>
                <w:u w:val="none"/>
                <w:lang w:val="en-US" w:eastAsia="zh-CN" w:bidi="ar"/>
              </w:rPr>
              <w:t>种子质量检验</w:t>
            </w:r>
          </w:p>
        </w:tc>
        <w:tc>
          <w:tcPr>
            <w:tcW w:w="992" w:type="pct"/>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《中华人民共和国种子法(2021修正)》（中华人民共和国主席令第105号）第四十七条　农业农村、林业草原主管部门可以委托种子质量检验机构对种子质量进行检验。承担种子质量检验的机构应当具备相应的检测条件、能力，并经省级以上人民政府有关主管部门考核合格。种子质量检验机构应当配备种子检验员。种子检验员应当具有中专以上有关专业学历，具备相应的种子检验技术能力和水平。</w:t>
            </w:r>
          </w:p>
        </w:tc>
        <w:tc>
          <w:tcPr>
            <w:tcW w:w="431" w:type="pct"/>
            <w:noWrap w:val="0"/>
            <w:vAlign w:val="center"/>
          </w:tcPr>
          <w:p>
            <w:pPr>
              <w:keepNext w:val="0"/>
              <w:keepLines w:val="0"/>
              <w:widowControl/>
              <w:suppressLineNumbers w:val="0"/>
              <w:jc w:val="left"/>
              <w:textAlignment w:val="center"/>
              <w:rPr>
                <w:rFonts w:hint="eastAsia" w:ascii="宋体" w:hAnsi="宋体" w:eastAsia="宋体" w:cs="宋体"/>
                <w:color w:val="000000"/>
                <w:sz w:val="13"/>
                <w:szCs w:val="13"/>
              </w:rPr>
            </w:pPr>
            <w:r>
              <w:rPr>
                <w:rFonts w:hint="eastAsia" w:ascii="宋体" w:hAnsi="宋体" w:eastAsia="宋体" w:cs="宋体"/>
                <w:i w:val="0"/>
                <w:color w:val="000000"/>
                <w:kern w:val="0"/>
                <w:sz w:val="13"/>
                <w:szCs w:val="13"/>
                <w:u w:val="none"/>
                <w:lang w:val="en-US" w:eastAsia="zh-CN" w:bidi="ar"/>
              </w:rPr>
              <w:t>农业农村部门涉及种子质量监管的行政权力事项</w:t>
            </w:r>
          </w:p>
        </w:tc>
        <w:tc>
          <w:tcPr>
            <w:tcW w:w="764" w:type="pct"/>
            <w:noWrap w:val="0"/>
            <w:vAlign w:val="center"/>
          </w:tcPr>
          <w:p>
            <w:pPr>
              <w:keepNext w:val="0"/>
              <w:keepLines w:val="0"/>
              <w:widowControl/>
              <w:suppressLineNumbers w:val="0"/>
              <w:jc w:val="left"/>
              <w:textAlignment w:val="center"/>
              <w:rPr>
                <w:rFonts w:hint="eastAsia" w:ascii="宋体" w:hAnsi="宋体" w:eastAsia="宋体" w:cs="宋体"/>
                <w:color w:val="000000"/>
                <w:sz w:val="13"/>
                <w:szCs w:val="13"/>
              </w:rPr>
            </w:pPr>
            <w:r>
              <w:rPr>
                <w:rFonts w:hint="eastAsia" w:ascii="宋体" w:hAnsi="宋体" w:eastAsia="宋体" w:cs="宋体"/>
                <w:i w:val="0"/>
                <w:color w:val="000000"/>
                <w:kern w:val="0"/>
                <w:sz w:val="13"/>
                <w:szCs w:val="13"/>
                <w:u w:val="none"/>
                <w:lang w:val="en-US" w:eastAsia="zh-CN" w:bidi="ar"/>
              </w:rPr>
              <w:t>经省级以上人民政府有关主管部门考核合格，具备相应的检测条件、能力的种子质量检验机构</w:t>
            </w:r>
          </w:p>
        </w:tc>
        <w:tc>
          <w:tcPr>
            <w:tcW w:w="770" w:type="pct"/>
            <w:noWrap w:val="0"/>
            <w:vAlign w:val="center"/>
          </w:tcPr>
          <w:p>
            <w:pPr>
              <w:keepNext w:val="0"/>
              <w:keepLines w:val="0"/>
              <w:widowControl/>
              <w:suppressLineNumbers w:val="0"/>
              <w:jc w:val="left"/>
              <w:textAlignment w:val="center"/>
              <w:rPr>
                <w:rFonts w:hint="eastAsia" w:ascii="宋体" w:hAnsi="宋体" w:eastAsia="宋体" w:cs="宋体"/>
                <w:color w:val="000000"/>
                <w:sz w:val="13"/>
                <w:szCs w:val="13"/>
              </w:rPr>
            </w:pPr>
            <w:r>
              <w:rPr>
                <w:rFonts w:hint="eastAsia" w:ascii="宋体" w:hAnsi="宋体" w:eastAsia="宋体" w:cs="宋体"/>
                <w:i w:val="0"/>
                <w:color w:val="000000"/>
                <w:kern w:val="0"/>
                <w:sz w:val="13"/>
                <w:szCs w:val="13"/>
                <w:u w:val="none"/>
                <w:lang w:val="en-US" w:eastAsia="zh-CN" w:bidi="ar"/>
              </w:rPr>
              <w:t>《中华人民共和国种子法》第四十八条 农业、林业主管部门可以委托种子质量检验机构对种子质量进行检验。承担种子质量检验的机构应当具备相应的检测条件、能力，并经省级以上人民政府有关主管部门考核合格。 种子质量检验机构应当配备种子检验员。种子检验员应当具有中专以上有关专业学历，具备相应的种子检验技术能力和水平。</w:t>
            </w:r>
          </w:p>
        </w:tc>
        <w:tc>
          <w:tcPr>
            <w:tcW w:w="800" w:type="pct"/>
            <w:noWrap w:val="0"/>
            <w:vAlign w:val="center"/>
          </w:tcPr>
          <w:p>
            <w:pPr>
              <w:keepNext w:val="0"/>
              <w:keepLines w:val="0"/>
              <w:widowControl/>
              <w:suppressLineNumbers w:val="0"/>
              <w:jc w:val="center"/>
              <w:textAlignment w:val="center"/>
              <w:rPr>
                <w:rFonts w:hint="eastAsia" w:ascii="宋体" w:hAnsi="宋体" w:eastAsia="宋体" w:cs="宋体"/>
                <w:color w:val="000000"/>
                <w:sz w:val="13"/>
                <w:szCs w:val="13"/>
              </w:rPr>
            </w:pPr>
            <w:r>
              <w:rPr>
                <w:rFonts w:hint="eastAsia" w:ascii="宋体" w:hAnsi="宋体" w:eastAsia="宋体" w:cs="宋体"/>
                <w:i w:val="0"/>
                <w:color w:val="000000"/>
                <w:kern w:val="0"/>
                <w:sz w:val="13"/>
                <w:szCs w:val="13"/>
                <w:u w:val="none"/>
                <w:lang w:val="en-US" w:eastAsia="zh-CN" w:bidi="ar"/>
              </w:rPr>
              <w:t>市场自主调节价格</w:t>
            </w:r>
          </w:p>
        </w:tc>
        <w:tc>
          <w:tcPr>
            <w:tcW w:w="542" w:type="pct"/>
            <w:noWrap w:val="0"/>
            <w:vAlign w:val="center"/>
          </w:tcPr>
          <w:p>
            <w:pPr>
              <w:keepNext w:val="0"/>
              <w:keepLines w:val="0"/>
              <w:widowControl/>
              <w:suppressLineNumbers w:val="0"/>
              <w:jc w:val="center"/>
              <w:textAlignment w:val="center"/>
              <w:rPr>
                <w:rFonts w:hint="eastAsia" w:ascii="宋体" w:hAnsi="宋体" w:eastAsia="宋体" w:cs="宋体"/>
                <w:color w:val="000000"/>
                <w:sz w:val="13"/>
                <w:szCs w:val="13"/>
              </w:rPr>
            </w:pPr>
            <w:r>
              <w:rPr>
                <w:rFonts w:hint="eastAsia" w:ascii="宋体" w:hAnsi="宋体" w:eastAsia="宋体" w:cs="宋体"/>
                <w:i w:val="0"/>
                <w:color w:val="000000"/>
                <w:kern w:val="0"/>
                <w:sz w:val="13"/>
                <w:szCs w:val="13"/>
                <w:u w:val="none"/>
                <w:lang w:val="en-US" w:eastAsia="zh-CN" w:bidi="ar"/>
              </w:rPr>
              <w:t>行政机关</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9" w:hRule="atLeast"/>
          <w:tblHeader/>
          <w:jc w:val="center"/>
        </w:trPr>
        <w:tc>
          <w:tcPr>
            <w:tcW w:w="323" w:type="pct"/>
            <w:noWrap w:val="0"/>
            <w:vAlign w:val="center"/>
          </w:tcPr>
          <w:p>
            <w:pPr>
              <w:keepNext w:val="0"/>
              <w:keepLines w:val="0"/>
              <w:widowControl/>
              <w:suppressLineNumbers w:val="0"/>
              <w:jc w:val="center"/>
              <w:textAlignment w:val="center"/>
              <w:rPr>
                <w:rFonts w:hint="eastAsia" w:ascii="宋体" w:hAnsi="宋体" w:eastAsia="宋体" w:cs="宋体"/>
                <w:color w:val="000000"/>
                <w:sz w:val="13"/>
                <w:szCs w:val="13"/>
              </w:rPr>
            </w:pPr>
            <w:r>
              <w:rPr>
                <w:rFonts w:hint="eastAsia" w:ascii="宋体" w:hAnsi="宋体" w:eastAsia="宋体" w:cs="宋体"/>
                <w:i w:val="0"/>
                <w:color w:val="000000"/>
                <w:kern w:val="0"/>
                <w:sz w:val="13"/>
                <w:szCs w:val="13"/>
                <w:u w:val="none"/>
                <w:lang w:val="en-US" w:eastAsia="zh-CN" w:bidi="ar"/>
              </w:rPr>
              <w:t>2</w:t>
            </w:r>
          </w:p>
        </w:tc>
        <w:tc>
          <w:tcPr>
            <w:tcW w:w="375" w:type="pct"/>
            <w:noWrap w:val="0"/>
            <w:vAlign w:val="center"/>
          </w:tcPr>
          <w:p>
            <w:pPr>
              <w:keepNext w:val="0"/>
              <w:keepLines w:val="0"/>
              <w:widowControl/>
              <w:suppressLineNumbers w:val="0"/>
              <w:jc w:val="left"/>
              <w:textAlignment w:val="center"/>
              <w:rPr>
                <w:rFonts w:hint="eastAsia" w:ascii="宋体" w:hAnsi="宋体" w:eastAsia="宋体" w:cs="宋体"/>
                <w:color w:val="000000"/>
                <w:sz w:val="13"/>
                <w:szCs w:val="13"/>
              </w:rPr>
            </w:pPr>
            <w:r>
              <w:rPr>
                <w:rFonts w:hint="eastAsia" w:ascii="宋体" w:hAnsi="宋体" w:eastAsia="宋体" w:cs="宋体"/>
                <w:i w:val="0"/>
                <w:color w:val="000000"/>
                <w:kern w:val="0"/>
                <w:sz w:val="13"/>
                <w:szCs w:val="13"/>
                <w:u w:val="none"/>
                <w:lang w:val="en-US" w:eastAsia="zh-CN" w:bidi="ar"/>
              </w:rPr>
              <w:t>兽药质量检测</w:t>
            </w:r>
          </w:p>
        </w:tc>
        <w:tc>
          <w:tcPr>
            <w:tcW w:w="992" w:type="pct"/>
            <w:noWrap w:val="0"/>
            <w:vAlign w:val="center"/>
          </w:tcPr>
          <w:p>
            <w:pPr>
              <w:keepNext w:val="0"/>
              <w:keepLines w:val="0"/>
              <w:widowControl/>
              <w:suppressLineNumbers w:val="0"/>
              <w:jc w:val="both"/>
              <w:textAlignment w:val="center"/>
              <w:rPr>
                <w:rFonts w:hint="eastAsia" w:ascii="宋体" w:hAnsi="宋体" w:eastAsia="宋体" w:cs="宋体"/>
                <w:color w:val="000000"/>
                <w:sz w:val="13"/>
                <w:szCs w:val="13"/>
              </w:rPr>
            </w:pPr>
            <w:r>
              <w:rPr>
                <w:rFonts w:hint="eastAsia" w:ascii="宋体" w:hAnsi="宋体" w:eastAsia="宋体" w:cs="宋体"/>
                <w:i w:val="0"/>
                <w:color w:val="000000"/>
                <w:kern w:val="0"/>
                <w:sz w:val="13"/>
                <w:szCs w:val="13"/>
                <w:u w:val="none"/>
                <w:lang w:val="en-US" w:eastAsia="zh-CN" w:bidi="ar"/>
              </w:rPr>
              <w:t>《兽药管理条例》第十八条　兽药出厂前应当经过质量检验，不符合质量标准的不得出厂。兽药出厂应当附有产品质量合格证。禁止生产假、劣兽药。</w:t>
            </w:r>
          </w:p>
        </w:tc>
        <w:tc>
          <w:tcPr>
            <w:tcW w:w="431" w:type="pct"/>
            <w:noWrap w:val="0"/>
            <w:vAlign w:val="center"/>
          </w:tcPr>
          <w:p>
            <w:pPr>
              <w:keepNext w:val="0"/>
              <w:keepLines w:val="0"/>
              <w:widowControl/>
              <w:suppressLineNumbers w:val="0"/>
              <w:jc w:val="left"/>
              <w:textAlignment w:val="center"/>
              <w:rPr>
                <w:rFonts w:hint="eastAsia" w:ascii="宋体" w:hAnsi="宋体" w:eastAsia="宋体" w:cs="宋体"/>
                <w:color w:val="000000"/>
                <w:sz w:val="13"/>
                <w:szCs w:val="13"/>
              </w:rPr>
            </w:pPr>
            <w:r>
              <w:rPr>
                <w:rFonts w:hint="eastAsia" w:ascii="宋体" w:hAnsi="宋体" w:eastAsia="宋体" w:cs="宋体"/>
                <w:i w:val="0"/>
                <w:color w:val="000000"/>
                <w:kern w:val="0"/>
                <w:sz w:val="13"/>
                <w:szCs w:val="13"/>
                <w:u w:val="none"/>
                <w:lang w:val="en-US" w:eastAsia="zh-CN" w:bidi="ar"/>
              </w:rPr>
              <w:t>农业农村部门涉及兽药质量监管的行政权力事项</w:t>
            </w:r>
          </w:p>
        </w:tc>
        <w:tc>
          <w:tcPr>
            <w:tcW w:w="764" w:type="pct"/>
            <w:noWrap w:val="0"/>
            <w:vAlign w:val="center"/>
          </w:tcPr>
          <w:p>
            <w:pPr>
              <w:keepNext w:val="0"/>
              <w:keepLines w:val="0"/>
              <w:widowControl/>
              <w:suppressLineNumbers w:val="0"/>
              <w:jc w:val="left"/>
              <w:textAlignment w:val="center"/>
              <w:rPr>
                <w:rFonts w:hint="eastAsia" w:ascii="宋体" w:hAnsi="宋体" w:eastAsia="宋体" w:cs="宋体"/>
                <w:color w:val="000000"/>
                <w:sz w:val="13"/>
                <w:szCs w:val="13"/>
              </w:rPr>
            </w:pPr>
            <w:r>
              <w:rPr>
                <w:rFonts w:hint="eastAsia" w:ascii="宋体" w:hAnsi="宋体" w:eastAsia="宋体" w:cs="宋体"/>
                <w:i w:val="0"/>
                <w:color w:val="000000"/>
                <w:kern w:val="0"/>
                <w:sz w:val="13"/>
                <w:szCs w:val="13"/>
                <w:u w:val="none"/>
                <w:lang w:val="en-US" w:eastAsia="zh-CN" w:bidi="ar"/>
              </w:rPr>
              <w:t>省兽医行政管理部门设立的兽药检验机构</w:t>
            </w:r>
          </w:p>
        </w:tc>
        <w:tc>
          <w:tcPr>
            <w:tcW w:w="770" w:type="pct"/>
            <w:noWrap w:val="0"/>
            <w:vAlign w:val="center"/>
          </w:tcPr>
          <w:p>
            <w:pPr>
              <w:keepNext w:val="0"/>
              <w:keepLines w:val="0"/>
              <w:widowControl/>
              <w:suppressLineNumbers w:val="0"/>
              <w:jc w:val="left"/>
              <w:textAlignment w:val="center"/>
              <w:rPr>
                <w:rFonts w:hint="eastAsia" w:ascii="宋体" w:hAnsi="宋体" w:eastAsia="宋体" w:cs="宋体"/>
                <w:color w:val="000000"/>
                <w:sz w:val="13"/>
                <w:szCs w:val="13"/>
              </w:rPr>
            </w:pPr>
            <w:r>
              <w:rPr>
                <w:rFonts w:hint="eastAsia" w:ascii="宋体" w:hAnsi="宋体" w:eastAsia="宋体" w:cs="宋体"/>
                <w:i w:val="0"/>
                <w:color w:val="000000"/>
                <w:kern w:val="0"/>
                <w:sz w:val="13"/>
                <w:szCs w:val="13"/>
                <w:u w:val="none"/>
                <w:lang w:val="en-US" w:eastAsia="zh-CN" w:bidi="ar"/>
              </w:rPr>
              <w:t>《兽药管理条例》第四十四条 县级以上人民政府兽医行政管理部门行使兽药监督管理权。兽药检验工作由国务院兽医行政管理部门和省、自治区、直辖市人民政府兽医行政管理部门设立的兽药检验机构承担。</w:t>
            </w:r>
          </w:p>
        </w:tc>
        <w:tc>
          <w:tcPr>
            <w:tcW w:w="800" w:type="pct"/>
            <w:noWrap w:val="0"/>
            <w:vAlign w:val="center"/>
          </w:tcPr>
          <w:p>
            <w:pPr>
              <w:keepNext w:val="0"/>
              <w:keepLines w:val="0"/>
              <w:widowControl/>
              <w:suppressLineNumbers w:val="0"/>
              <w:jc w:val="center"/>
              <w:textAlignment w:val="center"/>
              <w:rPr>
                <w:rFonts w:hint="eastAsia" w:ascii="宋体" w:hAnsi="宋体" w:eastAsia="宋体" w:cs="宋体"/>
                <w:color w:val="000000"/>
                <w:sz w:val="13"/>
                <w:szCs w:val="13"/>
              </w:rPr>
            </w:pPr>
            <w:r>
              <w:rPr>
                <w:rFonts w:hint="eastAsia" w:ascii="宋体" w:hAnsi="宋体" w:eastAsia="宋体" w:cs="宋体"/>
                <w:i w:val="0"/>
                <w:color w:val="000000"/>
                <w:kern w:val="0"/>
                <w:sz w:val="13"/>
                <w:szCs w:val="13"/>
                <w:u w:val="none"/>
                <w:lang w:val="en-US" w:eastAsia="zh-CN" w:bidi="ar"/>
              </w:rPr>
              <w:t>市场自主调节价格</w:t>
            </w:r>
          </w:p>
        </w:tc>
        <w:tc>
          <w:tcPr>
            <w:tcW w:w="542" w:type="pct"/>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3"/>
                <w:szCs w:val="13"/>
                <w:u w:val="none"/>
                <w:lang w:val="en-US" w:eastAsia="zh-CN" w:bidi="ar"/>
              </w:rPr>
            </w:pPr>
            <w:r>
              <w:rPr>
                <w:rFonts w:hint="eastAsia" w:ascii="宋体" w:hAnsi="宋体" w:eastAsia="宋体" w:cs="宋体"/>
                <w:i w:val="0"/>
                <w:color w:val="auto"/>
                <w:kern w:val="0"/>
                <w:sz w:val="13"/>
                <w:szCs w:val="13"/>
                <w:u w:val="none"/>
                <w:lang w:val="en-US" w:eastAsia="zh-CN" w:bidi="ar"/>
              </w:rPr>
              <w:t>行政机关</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9" w:hRule="atLeast"/>
          <w:tblHeader/>
          <w:jc w:val="center"/>
        </w:trPr>
        <w:tc>
          <w:tcPr>
            <w:tcW w:w="323" w:type="pct"/>
            <w:noWrap w:val="0"/>
            <w:vAlign w:val="center"/>
          </w:tcPr>
          <w:p>
            <w:pPr>
              <w:keepNext w:val="0"/>
              <w:keepLines w:val="0"/>
              <w:widowControl/>
              <w:suppressLineNumbers w:val="0"/>
              <w:jc w:val="center"/>
              <w:textAlignment w:val="center"/>
              <w:rPr>
                <w:rFonts w:hint="eastAsia" w:ascii="宋体" w:hAnsi="宋体" w:eastAsia="宋体" w:cs="宋体"/>
                <w:color w:val="auto"/>
                <w:sz w:val="13"/>
                <w:szCs w:val="13"/>
              </w:rPr>
            </w:pPr>
            <w:r>
              <w:rPr>
                <w:rFonts w:hint="eastAsia" w:ascii="宋体" w:hAnsi="宋体" w:eastAsia="宋体" w:cs="宋体"/>
                <w:i w:val="0"/>
                <w:color w:val="auto"/>
                <w:kern w:val="0"/>
                <w:sz w:val="13"/>
                <w:szCs w:val="13"/>
                <w:u w:val="none"/>
                <w:lang w:val="en-US" w:eastAsia="zh-CN" w:bidi="ar"/>
              </w:rPr>
              <w:t>3</w:t>
            </w:r>
          </w:p>
        </w:tc>
        <w:tc>
          <w:tcPr>
            <w:tcW w:w="375" w:type="pct"/>
            <w:noWrap w:val="0"/>
            <w:vAlign w:val="center"/>
          </w:tcPr>
          <w:p>
            <w:pPr>
              <w:keepNext w:val="0"/>
              <w:keepLines w:val="0"/>
              <w:widowControl/>
              <w:suppressLineNumbers w:val="0"/>
              <w:jc w:val="left"/>
              <w:textAlignment w:val="center"/>
              <w:rPr>
                <w:rFonts w:hint="eastAsia" w:ascii="宋体" w:hAnsi="宋体" w:eastAsia="宋体" w:cs="宋体"/>
                <w:color w:val="auto"/>
                <w:sz w:val="13"/>
                <w:szCs w:val="13"/>
              </w:rPr>
            </w:pPr>
            <w:r>
              <w:rPr>
                <w:rFonts w:hint="eastAsia" w:ascii="宋体" w:hAnsi="宋体" w:eastAsia="宋体" w:cs="宋体"/>
                <w:i w:val="0"/>
                <w:color w:val="auto"/>
                <w:kern w:val="0"/>
                <w:sz w:val="13"/>
                <w:szCs w:val="13"/>
                <w:u w:val="none"/>
                <w:lang w:val="en-US" w:eastAsia="zh-CN" w:bidi="ar"/>
              </w:rPr>
              <w:t>肥料产品检测</w:t>
            </w:r>
          </w:p>
        </w:tc>
        <w:tc>
          <w:tcPr>
            <w:tcW w:w="992" w:type="pct"/>
            <w:noWrap w:val="0"/>
            <w:vAlign w:val="center"/>
          </w:tcPr>
          <w:p>
            <w:pPr>
              <w:keepNext w:val="0"/>
              <w:keepLines w:val="0"/>
              <w:widowControl/>
              <w:suppressLineNumbers w:val="0"/>
              <w:jc w:val="both"/>
              <w:textAlignment w:val="center"/>
              <w:rPr>
                <w:rFonts w:hint="eastAsia" w:ascii="宋体" w:hAnsi="宋体" w:eastAsia="宋体" w:cs="宋体"/>
                <w:color w:val="auto"/>
                <w:sz w:val="13"/>
                <w:szCs w:val="13"/>
              </w:rPr>
            </w:pPr>
            <w:r>
              <w:rPr>
                <w:rFonts w:hint="eastAsia" w:ascii="宋体" w:hAnsi="宋体" w:eastAsia="宋体" w:cs="宋体"/>
                <w:i w:val="0"/>
                <w:color w:val="auto"/>
                <w:kern w:val="0"/>
                <w:sz w:val="13"/>
                <w:szCs w:val="13"/>
                <w:u w:val="none"/>
                <w:lang w:val="en-US" w:eastAsia="zh-CN" w:bidi="ar"/>
              </w:rPr>
              <w:t>《中华人民共和国肥料管理条例》第四十条 县级以上各级人民政府农业行政主管部门进行肥料监督抽查时，对涉嫌生产、经营假劣肥料的，可以采取扣押该批肥料、查封现场等行政强制措施，并将该肥料送省级以上人民政府农业行政主管部门认定的检验机构进行检验。自扣押、查封之日起十五个工作日内做出行政处理决定。未经县级以上人民政府农业行政主管部门批准，任何单位和个人不得擅自转移、使用、变动、销毁、销售被扣押、查封的物品。</w:t>
            </w:r>
          </w:p>
        </w:tc>
        <w:tc>
          <w:tcPr>
            <w:tcW w:w="431" w:type="pct"/>
            <w:noWrap w:val="0"/>
            <w:vAlign w:val="center"/>
          </w:tcPr>
          <w:p>
            <w:pPr>
              <w:keepNext w:val="0"/>
              <w:keepLines w:val="0"/>
              <w:widowControl/>
              <w:suppressLineNumbers w:val="0"/>
              <w:jc w:val="left"/>
              <w:textAlignment w:val="center"/>
              <w:rPr>
                <w:rFonts w:hint="eastAsia" w:ascii="宋体" w:hAnsi="宋体" w:eastAsia="宋体" w:cs="宋体"/>
                <w:color w:val="auto"/>
                <w:sz w:val="13"/>
                <w:szCs w:val="13"/>
              </w:rPr>
            </w:pPr>
            <w:r>
              <w:rPr>
                <w:rFonts w:hint="eastAsia" w:ascii="宋体" w:hAnsi="宋体" w:eastAsia="宋体" w:cs="宋体"/>
                <w:i w:val="0"/>
                <w:color w:val="auto"/>
                <w:kern w:val="0"/>
                <w:sz w:val="13"/>
                <w:szCs w:val="13"/>
                <w:u w:val="none"/>
                <w:lang w:val="en-US" w:eastAsia="zh-CN" w:bidi="ar"/>
              </w:rPr>
              <w:t>农业农村部门涉及肥料监管的行政权力事项</w:t>
            </w:r>
          </w:p>
        </w:tc>
        <w:tc>
          <w:tcPr>
            <w:tcW w:w="764" w:type="pct"/>
            <w:noWrap w:val="0"/>
            <w:vAlign w:val="center"/>
          </w:tcPr>
          <w:p>
            <w:pPr>
              <w:keepNext w:val="0"/>
              <w:keepLines w:val="0"/>
              <w:widowControl/>
              <w:suppressLineNumbers w:val="0"/>
              <w:jc w:val="left"/>
              <w:textAlignment w:val="center"/>
              <w:rPr>
                <w:rFonts w:hint="eastAsia" w:ascii="宋体" w:hAnsi="宋体" w:eastAsia="宋体" w:cs="宋体"/>
                <w:color w:val="auto"/>
                <w:sz w:val="13"/>
                <w:szCs w:val="13"/>
              </w:rPr>
            </w:pPr>
            <w:r>
              <w:rPr>
                <w:rFonts w:hint="eastAsia" w:ascii="宋体" w:hAnsi="宋体" w:eastAsia="宋体" w:cs="宋体"/>
                <w:i w:val="0"/>
                <w:color w:val="auto"/>
                <w:kern w:val="0"/>
                <w:sz w:val="13"/>
                <w:szCs w:val="13"/>
                <w:u w:val="none"/>
                <w:lang w:val="en-US" w:eastAsia="zh-CN" w:bidi="ar"/>
              </w:rPr>
              <w:t>省级以上经计量认证的具备肥料承检能力的检验机构</w:t>
            </w:r>
          </w:p>
        </w:tc>
        <w:tc>
          <w:tcPr>
            <w:tcW w:w="770" w:type="pct"/>
            <w:noWrap w:val="0"/>
            <w:vAlign w:val="center"/>
          </w:tcPr>
          <w:p>
            <w:pPr>
              <w:keepNext w:val="0"/>
              <w:keepLines w:val="0"/>
              <w:widowControl/>
              <w:suppressLineNumbers w:val="0"/>
              <w:jc w:val="left"/>
              <w:textAlignment w:val="center"/>
              <w:rPr>
                <w:rFonts w:hint="eastAsia" w:ascii="宋体" w:hAnsi="宋体" w:eastAsia="宋体" w:cs="宋体"/>
                <w:color w:val="auto"/>
                <w:sz w:val="13"/>
                <w:szCs w:val="13"/>
              </w:rPr>
            </w:pPr>
            <w:r>
              <w:rPr>
                <w:rFonts w:hint="eastAsia" w:ascii="宋体" w:hAnsi="宋体" w:eastAsia="宋体" w:cs="宋体"/>
                <w:i w:val="0"/>
                <w:color w:val="auto"/>
                <w:kern w:val="0"/>
                <w:sz w:val="13"/>
                <w:szCs w:val="13"/>
                <w:u w:val="none"/>
                <w:lang w:val="en-US" w:eastAsia="zh-CN" w:bidi="ar"/>
              </w:rPr>
              <w:t>《中华人民共和国产品质量法》第十九条 产品质量检验机构必须具备相应的检测条件和能力，经省级以上人民政府市场监督管理部门或者其授权的部门考核合格后，方可承担产品质量检验工作。</w:t>
            </w:r>
          </w:p>
        </w:tc>
        <w:tc>
          <w:tcPr>
            <w:tcW w:w="800" w:type="pct"/>
            <w:noWrap w:val="0"/>
            <w:vAlign w:val="center"/>
          </w:tcPr>
          <w:p>
            <w:pPr>
              <w:keepNext w:val="0"/>
              <w:keepLines w:val="0"/>
              <w:widowControl/>
              <w:suppressLineNumbers w:val="0"/>
              <w:jc w:val="center"/>
              <w:textAlignment w:val="center"/>
              <w:rPr>
                <w:rFonts w:hint="eastAsia" w:ascii="宋体" w:hAnsi="宋体" w:eastAsia="宋体" w:cs="宋体"/>
                <w:color w:val="auto"/>
                <w:sz w:val="13"/>
                <w:szCs w:val="13"/>
              </w:rPr>
            </w:pPr>
            <w:r>
              <w:rPr>
                <w:rFonts w:hint="eastAsia" w:ascii="宋体" w:hAnsi="宋体" w:eastAsia="宋体" w:cs="宋体"/>
                <w:i w:val="0"/>
                <w:color w:val="auto"/>
                <w:kern w:val="0"/>
                <w:sz w:val="13"/>
                <w:szCs w:val="13"/>
                <w:u w:val="none"/>
                <w:lang w:val="en-US" w:eastAsia="zh-CN" w:bidi="ar"/>
              </w:rPr>
              <w:t>市场自主调节价格</w:t>
            </w:r>
          </w:p>
        </w:tc>
        <w:tc>
          <w:tcPr>
            <w:tcW w:w="542" w:type="pct"/>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3"/>
                <w:szCs w:val="13"/>
                <w:u w:val="none"/>
                <w:lang w:val="en-US" w:eastAsia="zh-CN" w:bidi="ar"/>
              </w:rPr>
            </w:pPr>
            <w:r>
              <w:rPr>
                <w:rFonts w:hint="eastAsia" w:ascii="宋体" w:hAnsi="宋体" w:eastAsia="宋体" w:cs="宋体"/>
                <w:i w:val="0"/>
                <w:color w:val="auto"/>
                <w:kern w:val="0"/>
                <w:sz w:val="13"/>
                <w:szCs w:val="13"/>
                <w:u w:val="none"/>
                <w:lang w:val="en-US" w:eastAsia="zh-CN" w:bidi="ar"/>
              </w:rPr>
              <w:t>行政机关</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9" w:hRule="atLeast"/>
          <w:tblHeader/>
          <w:jc w:val="center"/>
        </w:trPr>
        <w:tc>
          <w:tcPr>
            <w:tcW w:w="323" w:type="pct"/>
            <w:noWrap w:val="0"/>
            <w:vAlign w:val="center"/>
          </w:tcPr>
          <w:p>
            <w:pPr>
              <w:keepNext w:val="0"/>
              <w:keepLines w:val="0"/>
              <w:widowControl/>
              <w:suppressLineNumbers w:val="0"/>
              <w:jc w:val="center"/>
              <w:textAlignment w:val="center"/>
              <w:rPr>
                <w:rFonts w:hint="eastAsia" w:ascii="宋体" w:hAnsi="宋体" w:eastAsia="宋体" w:cs="宋体"/>
                <w:color w:val="auto"/>
                <w:sz w:val="13"/>
                <w:szCs w:val="13"/>
              </w:rPr>
            </w:pPr>
            <w:r>
              <w:rPr>
                <w:rFonts w:hint="eastAsia" w:ascii="宋体" w:hAnsi="宋体" w:eastAsia="宋体" w:cs="宋体"/>
                <w:i w:val="0"/>
                <w:color w:val="auto"/>
                <w:kern w:val="0"/>
                <w:sz w:val="13"/>
                <w:szCs w:val="13"/>
                <w:u w:val="none"/>
                <w:lang w:val="en-US" w:eastAsia="zh-CN" w:bidi="ar"/>
              </w:rPr>
              <w:t>4</w:t>
            </w:r>
          </w:p>
        </w:tc>
        <w:tc>
          <w:tcPr>
            <w:tcW w:w="375" w:type="pct"/>
            <w:noWrap w:val="0"/>
            <w:vAlign w:val="center"/>
          </w:tcPr>
          <w:p>
            <w:pPr>
              <w:keepNext w:val="0"/>
              <w:keepLines w:val="0"/>
              <w:widowControl/>
              <w:suppressLineNumbers w:val="0"/>
              <w:jc w:val="left"/>
              <w:textAlignment w:val="center"/>
              <w:rPr>
                <w:rFonts w:hint="eastAsia" w:ascii="宋体" w:hAnsi="宋体" w:eastAsia="宋体" w:cs="宋体"/>
                <w:color w:val="auto"/>
                <w:sz w:val="13"/>
                <w:szCs w:val="13"/>
              </w:rPr>
            </w:pPr>
            <w:r>
              <w:rPr>
                <w:rFonts w:hint="eastAsia" w:ascii="宋体" w:hAnsi="宋体" w:eastAsia="宋体" w:cs="宋体"/>
                <w:i w:val="0"/>
                <w:color w:val="auto"/>
                <w:kern w:val="0"/>
                <w:sz w:val="13"/>
                <w:szCs w:val="13"/>
                <w:u w:val="none"/>
                <w:lang w:val="en-US" w:eastAsia="zh-CN" w:bidi="ar"/>
              </w:rPr>
              <w:t>农药检测</w:t>
            </w:r>
          </w:p>
        </w:tc>
        <w:tc>
          <w:tcPr>
            <w:tcW w:w="992" w:type="pct"/>
            <w:noWrap w:val="0"/>
            <w:vAlign w:val="center"/>
          </w:tcPr>
          <w:p>
            <w:pPr>
              <w:keepNext w:val="0"/>
              <w:keepLines w:val="0"/>
              <w:widowControl/>
              <w:suppressLineNumbers w:val="0"/>
              <w:jc w:val="left"/>
              <w:textAlignment w:val="center"/>
              <w:rPr>
                <w:rFonts w:hint="eastAsia" w:ascii="宋体" w:hAnsi="宋体" w:eastAsia="宋体" w:cs="宋体"/>
                <w:color w:val="auto"/>
                <w:sz w:val="13"/>
                <w:szCs w:val="13"/>
              </w:rPr>
            </w:pPr>
            <w:r>
              <w:rPr>
                <w:rFonts w:hint="eastAsia" w:ascii="宋体" w:hAnsi="宋体" w:eastAsia="宋体" w:cs="宋体"/>
                <w:i w:val="0"/>
                <w:color w:val="auto"/>
                <w:kern w:val="0"/>
                <w:sz w:val="13"/>
                <w:szCs w:val="13"/>
                <w:u w:val="none"/>
                <w:lang w:val="en-US" w:eastAsia="zh-CN" w:bidi="ar"/>
              </w:rPr>
              <w:t>《农药管理条例实施办法》（2007年12月8日农业部令第9号）第三十三条：对假农药、劣质农药需进行销毁处理的，必须严格遵守环境保护法律、法规的有关规定，按照农药废弃物的安全处理规程进行，防止污染环境；对有使用价值的，应当经省级以上农业行政主管部门所属的农药检定机构检验，必要时要经过田间试验，制订使用方法和用量。</w:t>
            </w:r>
          </w:p>
        </w:tc>
        <w:tc>
          <w:tcPr>
            <w:tcW w:w="431" w:type="pct"/>
            <w:noWrap w:val="0"/>
            <w:vAlign w:val="center"/>
          </w:tcPr>
          <w:p>
            <w:pPr>
              <w:keepNext w:val="0"/>
              <w:keepLines w:val="0"/>
              <w:widowControl/>
              <w:suppressLineNumbers w:val="0"/>
              <w:jc w:val="left"/>
              <w:textAlignment w:val="center"/>
              <w:rPr>
                <w:rFonts w:hint="eastAsia" w:ascii="宋体" w:hAnsi="宋体" w:eastAsia="宋体" w:cs="宋体"/>
                <w:color w:val="auto"/>
                <w:sz w:val="13"/>
                <w:szCs w:val="13"/>
              </w:rPr>
            </w:pPr>
            <w:r>
              <w:rPr>
                <w:rFonts w:hint="eastAsia" w:ascii="宋体" w:hAnsi="宋体" w:eastAsia="宋体" w:cs="宋体"/>
                <w:i w:val="0"/>
                <w:color w:val="auto"/>
                <w:kern w:val="0"/>
                <w:sz w:val="13"/>
                <w:szCs w:val="13"/>
                <w:u w:val="none"/>
                <w:lang w:val="en-US" w:eastAsia="zh-CN" w:bidi="ar"/>
              </w:rPr>
              <w:t>农业农村部门涉及农药监管的行政权力事项</w:t>
            </w:r>
          </w:p>
        </w:tc>
        <w:tc>
          <w:tcPr>
            <w:tcW w:w="764" w:type="pct"/>
            <w:noWrap w:val="0"/>
            <w:vAlign w:val="center"/>
          </w:tcPr>
          <w:p>
            <w:pPr>
              <w:keepNext w:val="0"/>
              <w:keepLines w:val="0"/>
              <w:widowControl/>
              <w:suppressLineNumbers w:val="0"/>
              <w:jc w:val="left"/>
              <w:textAlignment w:val="center"/>
              <w:rPr>
                <w:rFonts w:hint="eastAsia" w:ascii="宋体" w:hAnsi="宋体" w:eastAsia="宋体" w:cs="宋体"/>
                <w:color w:val="auto"/>
                <w:sz w:val="13"/>
                <w:szCs w:val="13"/>
              </w:rPr>
            </w:pPr>
            <w:r>
              <w:rPr>
                <w:rFonts w:hint="eastAsia" w:ascii="宋体" w:hAnsi="宋体" w:eastAsia="宋体" w:cs="宋体"/>
                <w:i w:val="0"/>
                <w:color w:val="auto"/>
                <w:kern w:val="0"/>
                <w:sz w:val="13"/>
                <w:szCs w:val="13"/>
                <w:u w:val="none"/>
                <w:lang w:val="en-US" w:eastAsia="zh-CN" w:bidi="ar"/>
              </w:rPr>
              <w:t>省农业部门确认的</w:t>
            </w:r>
            <w:r>
              <w:rPr>
                <w:rFonts w:hint="eastAsia" w:ascii="宋体" w:hAnsi="宋体" w:eastAsia="宋体" w:cs="宋体"/>
                <w:i w:val="0"/>
                <w:color w:val="auto"/>
                <w:kern w:val="0"/>
                <w:sz w:val="13"/>
                <w:szCs w:val="13"/>
                <w:u w:val="none"/>
                <w:lang w:val="en-US" w:eastAsia="zh-CN" w:bidi="ar"/>
              </w:rPr>
              <w:br w:type="textWrapping"/>
            </w:r>
            <w:r>
              <w:rPr>
                <w:rFonts w:hint="eastAsia" w:ascii="宋体" w:hAnsi="宋体" w:eastAsia="宋体" w:cs="宋体"/>
                <w:i w:val="0"/>
                <w:color w:val="auto"/>
                <w:kern w:val="0"/>
                <w:sz w:val="13"/>
                <w:szCs w:val="13"/>
                <w:u w:val="none"/>
                <w:lang w:val="en-US" w:eastAsia="zh-CN" w:bidi="ar"/>
              </w:rPr>
              <w:t>监测资质单位</w:t>
            </w:r>
          </w:p>
        </w:tc>
        <w:tc>
          <w:tcPr>
            <w:tcW w:w="770" w:type="pct"/>
            <w:noWrap w:val="0"/>
            <w:vAlign w:val="center"/>
          </w:tcPr>
          <w:p>
            <w:pPr>
              <w:keepNext w:val="0"/>
              <w:keepLines w:val="0"/>
              <w:widowControl/>
              <w:suppressLineNumbers w:val="0"/>
              <w:jc w:val="left"/>
              <w:textAlignment w:val="center"/>
              <w:rPr>
                <w:rFonts w:hint="eastAsia" w:ascii="宋体" w:hAnsi="宋体" w:eastAsia="宋体" w:cs="宋体"/>
                <w:color w:val="auto"/>
                <w:sz w:val="13"/>
                <w:szCs w:val="13"/>
              </w:rPr>
            </w:pPr>
            <w:r>
              <w:rPr>
                <w:rFonts w:hint="eastAsia" w:ascii="宋体" w:hAnsi="宋体" w:eastAsia="宋体" w:cs="宋体"/>
                <w:i w:val="0"/>
                <w:color w:val="auto"/>
                <w:kern w:val="0"/>
                <w:sz w:val="13"/>
                <w:szCs w:val="13"/>
                <w:u w:val="none"/>
                <w:lang w:val="en-US" w:eastAsia="zh-CN" w:bidi="ar"/>
              </w:rPr>
              <w:t>《中华人民共和国农药管理条例实施办法》第二十四条：农药经营单位对所经营农药应当进行或委托进行质量检验。第三十五条：通过重点媒介发布的农药广告和境外及港、澳、台地区农药产品的广告，可以委托农业部农药检定所负责审查。其他农药广告，可以委托广告主所在地省级农业行政主管部门所属的农药检定机构审查。</w:t>
            </w:r>
          </w:p>
        </w:tc>
        <w:tc>
          <w:tcPr>
            <w:tcW w:w="800" w:type="pct"/>
            <w:noWrap w:val="0"/>
            <w:vAlign w:val="center"/>
          </w:tcPr>
          <w:p>
            <w:pPr>
              <w:keepNext w:val="0"/>
              <w:keepLines w:val="0"/>
              <w:widowControl/>
              <w:suppressLineNumbers w:val="0"/>
              <w:jc w:val="center"/>
              <w:textAlignment w:val="center"/>
              <w:rPr>
                <w:rFonts w:hint="eastAsia" w:ascii="宋体" w:hAnsi="宋体" w:eastAsia="宋体" w:cs="宋体"/>
                <w:color w:val="auto"/>
                <w:sz w:val="13"/>
                <w:szCs w:val="13"/>
              </w:rPr>
            </w:pPr>
            <w:r>
              <w:rPr>
                <w:rFonts w:hint="eastAsia" w:ascii="宋体" w:hAnsi="宋体" w:eastAsia="宋体" w:cs="宋体"/>
                <w:i w:val="0"/>
                <w:color w:val="auto"/>
                <w:kern w:val="0"/>
                <w:sz w:val="13"/>
                <w:szCs w:val="13"/>
                <w:u w:val="none"/>
                <w:lang w:val="en-US" w:eastAsia="zh-CN" w:bidi="ar"/>
              </w:rPr>
              <w:t>市场自主调节价格</w:t>
            </w:r>
          </w:p>
        </w:tc>
        <w:tc>
          <w:tcPr>
            <w:tcW w:w="542" w:type="pct"/>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3"/>
                <w:szCs w:val="13"/>
                <w:u w:val="none"/>
                <w:lang w:val="en-US" w:eastAsia="zh-CN" w:bidi="ar"/>
              </w:rPr>
            </w:pPr>
            <w:r>
              <w:rPr>
                <w:rFonts w:hint="eastAsia" w:ascii="宋体" w:hAnsi="宋体" w:eastAsia="宋体" w:cs="宋体"/>
                <w:i w:val="0"/>
                <w:color w:val="auto"/>
                <w:kern w:val="0"/>
                <w:sz w:val="13"/>
                <w:szCs w:val="13"/>
                <w:u w:val="none"/>
                <w:lang w:val="en-US" w:eastAsia="zh-CN" w:bidi="ar"/>
              </w:rPr>
              <w:t>行政机关</w:t>
            </w:r>
          </w:p>
        </w:tc>
      </w:tr>
    </w:tbl>
    <w:p>
      <w:pPr>
        <w:spacing w:line="560" w:lineRule="exact"/>
        <w:jc w:val="center"/>
        <w:rPr>
          <w:rFonts w:hint="eastAsia" w:ascii="黑体" w:hAnsi="黑体" w:eastAsia="黑体" w:cs="黑体"/>
          <w:sz w:val="36"/>
          <w:szCs w:val="36"/>
          <w:u w:val="single"/>
        </w:rPr>
      </w:pPr>
    </w:p>
    <w:p>
      <w:pPr>
        <w:spacing w:line="560" w:lineRule="exact"/>
        <w:jc w:val="center"/>
        <w:rPr>
          <w:rFonts w:hint="eastAsia" w:ascii="黑体" w:hAnsi="黑体" w:eastAsia="黑体" w:cs="黑体"/>
          <w:sz w:val="36"/>
          <w:szCs w:val="36"/>
          <w:u w:val="single"/>
        </w:rPr>
      </w:pPr>
    </w:p>
    <w:p>
      <w:pPr>
        <w:spacing w:line="560" w:lineRule="exact"/>
        <w:jc w:val="center"/>
        <w:rPr>
          <w:rFonts w:hint="eastAsia" w:ascii="黑体" w:hAnsi="黑体" w:eastAsia="黑体" w:cs="黑体"/>
          <w:sz w:val="36"/>
          <w:szCs w:val="36"/>
          <w:u w:val="single"/>
        </w:rPr>
      </w:pPr>
    </w:p>
    <w:p>
      <w:pPr>
        <w:pStyle w:val="2"/>
        <w:rPr>
          <w:rFonts w:hint="eastAsia"/>
        </w:rPr>
      </w:pPr>
    </w:p>
    <w:p>
      <w:pPr>
        <w:spacing w:line="560" w:lineRule="exact"/>
        <w:jc w:val="center"/>
        <w:rPr>
          <w:rFonts w:ascii="黑体" w:hAnsi="黑体" w:eastAsia="黑体" w:cs="黑体"/>
          <w:sz w:val="36"/>
          <w:szCs w:val="36"/>
          <w:u w:val="single"/>
        </w:rPr>
      </w:pPr>
      <w:r>
        <w:rPr>
          <w:rFonts w:hint="eastAsia" w:ascii="黑体" w:hAnsi="黑体" w:eastAsia="黑体" w:cs="黑体"/>
          <w:sz w:val="36"/>
          <w:szCs w:val="36"/>
          <w:u w:val="single"/>
        </w:rPr>
        <w:t>规范事项清单</w:t>
      </w:r>
    </w:p>
    <w:tbl>
      <w:tblPr>
        <w:tblStyle w:val="4"/>
        <w:tblW w:w="54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859"/>
        <w:gridCol w:w="2294"/>
        <w:gridCol w:w="4213"/>
        <w:gridCol w:w="3185"/>
        <w:gridCol w:w="3419"/>
        <w:gridCol w:w="14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7" w:hRule="atLeast"/>
          <w:tblHeader/>
          <w:jc w:val="center"/>
        </w:trPr>
        <w:tc>
          <w:tcPr>
            <w:tcW w:w="279" w:type="pct"/>
            <w:noWrap w:val="0"/>
            <w:tcMar>
              <w:top w:w="28" w:type="dxa"/>
              <w:bottom w:w="28" w:type="dxa"/>
            </w:tcMar>
            <w:vAlign w:val="center"/>
          </w:tcPr>
          <w:p>
            <w:pPr>
              <w:spacing w:line="420" w:lineRule="exact"/>
              <w:jc w:val="center"/>
              <w:rPr>
                <w:rFonts w:ascii="黑体" w:hAnsi="黑体" w:eastAsia="黑体" w:cs="仿宋_GB2312"/>
                <w:sz w:val="28"/>
                <w:szCs w:val="32"/>
              </w:rPr>
            </w:pPr>
            <w:r>
              <w:rPr>
                <w:rFonts w:hint="eastAsia" w:ascii="黑体" w:hAnsi="黑体" w:eastAsia="黑体" w:cs="仿宋_GB2312"/>
                <w:sz w:val="28"/>
                <w:szCs w:val="32"/>
              </w:rPr>
              <w:t>序号</w:t>
            </w:r>
          </w:p>
        </w:tc>
        <w:tc>
          <w:tcPr>
            <w:tcW w:w="745" w:type="pct"/>
            <w:noWrap w:val="0"/>
            <w:tcMar>
              <w:top w:w="28" w:type="dxa"/>
              <w:bottom w:w="28" w:type="dxa"/>
            </w:tcMar>
            <w:vAlign w:val="center"/>
          </w:tcPr>
          <w:p>
            <w:pPr>
              <w:spacing w:line="420" w:lineRule="exact"/>
              <w:jc w:val="center"/>
              <w:rPr>
                <w:rFonts w:ascii="黑体" w:hAnsi="黑体" w:eastAsia="黑体" w:cs="仿宋_GB2312"/>
                <w:sz w:val="28"/>
                <w:szCs w:val="32"/>
              </w:rPr>
            </w:pPr>
            <w:r>
              <w:rPr>
                <w:rFonts w:hint="eastAsia" w:ascii="黑体" w:hAnsi="黑体" w:eastAsia="黑体" w:cs="仿宋_GB2312"/>
                <w:sz w:val="28"/>
                <w:szCs w:val="32"/>
              </w:rPr>
              <w:t>事项名称</w:t>
            </w:r>
          </w:p>
        </w:tc>
        <w:tc>
          <w:tcPr>
            <w:tcW w:w="1368" w:type="pct"/>
            <w:noWrap w:val="0"/>
            <w:tcMar>
              <w:top w:w="28" w:type="dxa"/>
              <w:bottom w:w="28" w:type="dxa"/>
            </w:tcMar>
            <w:vAlign w:val="center"/>
          </w:tcPr>
          <w:p>
            <w:pPr>
              <w:spacing w:line="420" w:lineRule="exact"/>
              <w:jc w:val="center"/>
              <w:rPr>
                <w:rFonts w:ascii="黑体" w:hAnsi="黑体" w:eastAsia="黑体" w:cs="仿宋_GB2312"/>
                <w:sz w:val="28"/>
                <w:szCs w:val="32"/>
              </w:rPr>
            </w:pPr>
            <w:r>
              <w:rPr>
                <w:rFonts w:hint="eastAsia" w:ascii="黑体" w:hAnsi="黑体" w:eastAsia="黑体" w:cs="仿宋_GB2312"/>
                <w:sz w:val="28"/>
                <w:szCs w:val="32"/>
              </w:rPr>
              <w:t>设定依据</w:t>
            </w:r>
          </w:p>
        </w:tc>
        <w:tc>
          <w:tcPr>
            <w:tcW w:w="1034" w:type="pct"/>
            <w:noWrap w:val="0"/>
            <w:tcMar>
              <w:top w:w="28" w:type="dxa"/>
              <w:bottom w:w="28" w:type="dxa"/>
            </w:tcMar>
            <w:vAlign w:val="center"/>
          </w:tcPr>
          <w:p>
            <w:pPr>
              <w:spacing w:line="420" w:lineRule="exact"/>
              <w:jc w:val="center"/>
              <w:rPr>
                <w:rFonts w:ascii="黑体" w:hAnsi="黑体" w:eastAsia="黑体" w:cs="仿宋_GB2312"/>
                <w:sz w:val="28"/>
                <w:szCs w:val="32"/>
              </w:rPr>
            </w:pPr>
            <w:r>
              <w:rPr>
                <w:rFonts w:hint="eastAsia" w:ascii="黑体" w:hAnsi="黑体" w:eastAsia="黑体" w:cs="仿宋_GB2312"/>
                <w:sz w:val="28"/>
                <w:szCs w:val="32"/>
              </w:rPr>
              <w:t>对应行政</w:t>
            </w:r>
          </w:p>
          <w:p>
            <w:pPr>
              <w:spacing w:line="420" w:lineRule="exact"/>
              <w:jc w:val="center"/>
              <w:rPr>
                <w:rFonts w:ascii="黑体" w:hAnsi="黑体" w:eastAsia="黑体" w:cs="仿宋_GB2312"/>
                <w:sz w:val="28"/>
                <w:szCs w:val="32"/>
              </w:rPr>
            </w:pPr>
            <w:r>
              <w:rPr>
                <w:rFonts w:hint="eastAsia" w:ascii="黑体" w:hAnsi="黑体" w:eastAsia="黑体" w:cs="仿宋_GB2312"/>
                <w:sz w:val="28"/>
                <w:szCs w:val="32"/>
              </w:rPr>
              <w:t>权力名称</w:t>
            </w:r>
          </w:p>
        </w:tc>
        <w:tc>
          <w:tcPr>
            <w:tcW w:w="1110" w:type="pct"/>
            <w:noWrap w:val="0"/>
            <w:tcMar>
              <w:top w:w="28" w:type="dxa"/>
              <w:bottom w:w="28" w:type="dxa"/>
            </w:tcMar>
            <w:vAlign w:val="center"/>
          </w:tcPr>
          <w:p>
            <w:pPr>
              <w:spacing w:line="420" w:lineRule="exact"/>
              <w:jc w:val="center"/>
              <w:rPr>
                <w:rFonts w:ascii="黑体" w:hAnsi="黑体" w:eastAsia="黑体" w:cs="仿宋_GB2312"/>
                <w:sz w:val="28"/>
                <w:szCs w:val="32"/>
              </w:rPr>
            </w:pPr>
            <w:r>
              <w:rPr>
                <w:rFonts w:hint="eastAsia" w:ascii="黑体" w:hAnsi="黑体" w:eastAsia="黑体" w:cs="仿宋_GB2312"/>
                <w:sz w:val="28"/>
                <w:szCs w:val="32"/>
              </w:rPr>
              <w:t>规范内容</w:t>
            </w:r>
          </w:p>
        </w:tc>
        <w:tc>
          <w:tcPr>
            <w:tcW w:w="464" w:type="pct"/>
            <w:noWrap w:val="0"/>
            <w:tcMar>
              <w:top w:w="28" w:type="dxa"/>
              <w:bottom w:w="28" w:type="dxa"/>
            </w:tcMar>
            <w:vAlign w:val="center"/>
          </w:tcPr>
          <w:p>
            <w:pPr>
              <w:spacing w:line="420" w:lineRule="exact"/>
              <w:jc w:val="center"/>
              <w:rPr>
                <w:rFonts w:ascii="黑体" w:hAnsi="黑体" w:eastAsia="黑体" w:cs="仿宋_GB2312"/>
                <w:sz w:val="28"/>
                <w:szCs w:val="32"/>
              </w:rPr>
            </w:pPr>
            <w:r>
              <w:rPr>
                <w:rFonts w:hint="eastAsia" w:ascii="黑体" w:hAnsi="黑体" w:eastAsia="黑体" w:cs="仿宋_GB2312"/>
                <w:sz w:val="28"/>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7" w:hRule="atLeast"/>
          <w:tblHeader/>
          <w:jc w:val="center"/>
        </w:trPr>
        <w:tc>
          <w:tcPr>
            <w:tcW w:w="279" w:type="pct"/>
            <w:noWrap w:val="0"/>
            <w:tcMar>
              <w:top w:w="28" w:type="dxa"/>
              <w:bottom w:w="28" w:type="dxa"/>
            </w:tcMar>
            <w:vAlign w:val="center"/>
          </w:tcPr>
          <w:p>
            <w:pPr>
              <w:spacing w:line="560" w:lineRule="exact"/>
              <w:jc w:val="center"/>
              <w:rPr>
                <w:rFonts w:hint="eastAsia" w:ascii="仿宋_GB2312" w:hAnsi="仿宋_GB2312" w:eastAsia="仿宋_GB2312" w:cs="仿宋_GB2312"/>
                <w:color w:val="000000"/>
                <w:sz w:val="32"/>
                <w:szCs w:val="32"/>
                <w:lang w:val="en-US" w:eastAsia="zh-CN"/>
              </w:rPr>
            </w:pPr>
          </w:p>
        </w:tc>
        <w:tc>
          <w:tcPr>
            <w:tcW w:w="745" w:type="pct"/>
            <w:noWrap w:val="0"/>
            <w:tcMar>
              <w:top w:w="28" w:type="dxa"/>
              <w:bottom w:w="28" w:type="dxa"/>
            </w:tcMar>
            <w:vAlign w:val="center"/>
          </w:tcPr>
          <w:p>
            <w:pPr>
              <w:spacing w:line="560" w:lineRule="exact"/>
              <w:jc w:val="center"/>
              <w:rPr>
                <w:rFonts w:hint="eastAsia" w:ascii="仿宋_GB2312" w:hAnsi="仿宋_GB2312" w:eastAsia="仿宋_GB2312" w:cs="仿宋_GB2312"/>
                <w:color w:val="000000"/>
                <w:sz w:val="32"/>
                <w:szCs w:val="32"/>
                <w:lang w:eastAsia="zh-CN"/>
              </w:rPr>
            </w:pPr>
          </w:p>
        </w:tc>
        <w:tc>
          <w:tcPr>
            <w:tcW w:w="1368" w:type="pct"/>
            <w:noWrap w:val="0"/>
            <w:tcMar>
              <w:top w:w="28" w:type="dxa"/>
              <w:bottom w:w="28" w:type="dxa"/>
            </w:tcMar>
            <w:vAlign w:val="center"/>
          </w:tcPr>
          <w:p>
            <w:pPr>
              <w:spacing w:line="560" w:lineRule="exact"/>
              <w:jc w:val="center"/>
              <w:rPr>
                <w:rFonts w:ascii="仿宋_GB2312" w:hAnsi="仿宋_GB2312" w:eastAsia="仿宋_GB2312" w:cs="仿宋_GB2312"/>
                <w:color w:val="000000"/>
                <w:sz w:val="32"/>
                <w:szCs w:val="32"/>
              </w:rPr>
            </w:pPr>
          </w:p>
        </w:tc>
        <w:tc>
          <w:tcPr>
            <w:tcW w:w="1034" w:type="pct"/>
            <w:noWrap w:val="0"/>
            <w:tcMar>
              <w:top w:w="28" w:type="dxa"/>
              <w:bottom w:w="28" w:type="dxa"/>
            </w:tcMar>
            <w:vAlign w:val="center"/>
          </w:tcPr>
          <w:p>
            <w:pPr>
              <w:spacing w:line="560" w:lineRule="exact"/>
              <w:jc w:val="center"/>
              <w:rPr>
                <w:rFonts w:ascii="仿宋_GB2312" w:hAnsi="仿宋_GB2312" w:eastAsia="仿宋_GB2312" w:cs="仿宋_GB2312"/>
                <w:color w:val="000000"/>
                <w:sz w:val="32"/>
                <w:szCs w:val="32"/>
              </w:rPr>
            </w:pPr>
          </w:p>
        </w:tc>
        <w:tc>
          <w:tcPr>
            <w:tcW w:w="1110" w:type="pct"/>
            <w:noWrap w:val="0"/>
            <w:tcMar>
              <w:top w:w="28" w:type="dxa"/>
              <w:bottom w:w="28" w:type="dxa"/>
            </w:tcMar>
            <w:vAlign w:val="center"/>
          </w:tcPr>
          <w:p>
            <w:pPr>
              <w:spacing w:line="560" w:lineRule="exact"/>
              <w:jc w:val="center"/>
              <w:rPr>
                <w:rFonts w:ascii="仿宋_GB2312" w:hAnsi="仿宋_GB2312" w:eastAsia="仿宋_GB2312" w:cs="仿宋_GB2312"/>
                <w:color w:val="000000"/>
                <w:sz w:val="32"/>
                <w:szCs w:val="32"/>
              </w:rPr>
            </w:pPr>
          </w:p>
        </w:tc>
        <w:tc>
          <w:tcPr>
            <w:tcW w:w="464" w:type="pct"/>
            <w:noWrap w:val="0"/>
            <w:tcMar>
              <w:top w:w="28" w:type="dxa"/>
              <w:bottom w:w="28" w:type="dxa"/>
            </w:tcMar>
            <w:vAlign w:val="center"/>
          </w:tcPr>
          <w:p>
            <w:pPr>
              <w:spacing w:line="560" w:lineRule="exact"/>
              <w:jc w:val="center"/>
              <w:rPr>
                <w:rFonts w:ascii="仿宋_GB2312" w:hAnsi="仿宋_GB2312" w:eastAsia="仿宋_GB2312" w:cs="仿宋_GB2312"/>
                <w:color w:val="000000"/>
                <w:sz w:val="32"/>
                <w:szCs w:val="32"/>
              </w:rPr>
            </w:pPr>
          </w:p>
        </w:tc>
      </w:tr>
    </w:tbl>
    <w:p>
      <w:pPr>
        <w:spacing w:line="560" w:lineRule="exact"/>
        <w:jc w:val="center"/>
        <w:rPr>
          <w:rFonts w:hint="eastAsia" w:ascii="黑体" w:hAnsi="黑体" w:eastAsia="黑体" w:cs="黑体"/>
          <w:sz w:val="36"/>
          <w:szCs w:val="36"/>
          <w:u w:val="single"/>
        </w:rPr>
      </w:pPr>
    </w:p>
    <w:p>
      <w:pPr>
        <w:spacing w:line="560" w:lineRule="exact"/>
        <w:jc w:val="center"/>
        <w:rPr>
          <w:rFonts w:ascii="黑体" w:hAnsi="黑体" w:eastAsia="黑体" w:cs="黑体"/>
          <w:sz w:val="36"/>
          <w:szCs w:val="36"/>
          <w:u w:val="single"/>
        </w:rPr>
      </w:pPr>
      <w:r>
        <w:rPr>
          <w:rFonts w:hint="eastAsia" w:ascii="黑体" w:hAnsi="黑体" w:eastAsia="黑体" w:cs="黑体"/>
          <w:sz w:val="36"/>
          <w:szCs w:val="36"/>
          <w:u w:val="single"/>
        </w:rPr>
        <w:t>取消事项清单</w:t>
      </w:r>
    </w:p>
    <w:tbl>
      <w:tblPr>
        <w:tblStyle w:val="4"/>
        <w:tblW w:w="555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819"/>
        <w:gridCol w:w="2545"/>
        <w:gridCol w:w="3850"/>
        <w:gridCol w:w="2517"/>
        <w:gridCol w:w="1701"/>
        <w:gridCol w:w="2710"/>
        <w:gridCol w:w="1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6" w:hRule="atLeast"/>
          <w:tblHeader/>
          <w:jc w:val="center"/>
        </w:trPr>
        <w:tc>
          <w:tcPr>
            <w:tcW w:w="263" w:type="pct"/>
            <w:noWrap w:val="0"/>
            <w:tcMar>
              <w:top w:w="28" w:type="dxa"/>
              <w:bottom w:w="28" w:type="dxa"/>
            </w:tcMar>
            <w:vAlign w:val="center"/>
          </w:tcPr>
          <w:p>
            <w:pPr>
              <w:spacing w:line="420" w:lineRule="exact"/>
              <w:jc w:val="center"/>
              <w:rPr>
                <w:rFonts w:ascii="黑体" w:hAnsi="黑体" w:eastAsia="黑体" w:cs="仿宋_GB2312"/>
                <w:sz w:val="28"/>
                <w:szCs w:val="32"/>
              </w:rPr>
            </w:pPr>
            <w:r>
              <w:rPr>
                <w:rFonts w:hint="eastAsia" w:ascii="黑体" w:hAnsi="黑体" w:eastAsia="黑体" w:cs="仿宋_GB2312"/>
                <w:sz w:val="28"/>
                <w:szCs w:val="32"/>
              </w:rPr>
              <w:t>序号</w:t>
            </w:r>
          </w:p>
        </w:tc>
        <w:tc>
          <w:tcPr>
            <w:tcW w:w="817" w:type="pct"/>
            <w:noWrap w:val="0"/>
            <w:tcMar>
              <w:top w:w="28" w:type="dxa"/>
              <w:bottom w:w="28" w:type="dxa"/>
            </w:tcMar>
            <w:vAlign w:val="center"/>
          </w:tcPr>
          <w:p>
            <w:pPr>
              <w:spacing w:line="420" w:lineRule="exact"/>
              <w:jc w:val="center"/>
              <w:rPr>
                <w:rFonts w:ascii="黑体" w:hAnsi="黑体" w:eastAsia="黑体" w:cs="仿宋_GB2312"/>
                <w:sz w:val="28"/>
                <w:szCs w:val="32"/>
              </w:rPr>
            </w:pPr>
            <w:r>
              <w:rPr>
                <w:rFonts w:hint="eastAsia" w:ascii="黑体" w:hAnsi="黑体" w:eastAsia="黑体" w:cs="仿宋_GB2312"/>
                <w:sz w:val="28"/>
                <w:szCs w:val="32"/>
              </w:rPr>
              <w:t>事项名称</w:t>
            </w:r>
          </w:p>
        </w:tc>
        <w:tc>
          <w:tcPr>
            <w:tcW w:w="1236" w:type="pct"/>
            <w:noWrap w:val="0"/>
            <w:tcMar>
              <w:top w:w="28" w:type="dxa"/>
              <w:bottom w:w="28" w:type="dxa"/>
            </w:tcMar>
            <w:vAlign w:val="center"/>
          </w:tcPr>
          <w:p>
            <w:pPr>
              <w:spacing w:line="420" w:lineRule="exact"/>
              <w:jc w:val="center"/>
              <w:rPr>
                <w:rFonts w:ascii="黑体" w:hAnsi="黑体" w:eastAsia="黑体" w:cs="仿宋_GB2312"/>
                <w:sz w:val="28"/>
                <w:szCs w:val="32"/>
              </w:rPr>
            </w:pPr>
            <w:r>
              <w:rPr>
                <w:rFonts w:hint="eastAsia" w:ascii="黑体" w:hAnsi="黑体" w:eastAsia="黑体" w:cs="仿宋_GB2312"/>
                <w:sz w:val="28"/>
                <w:szCs w:val="32"/>
              </w:rPr>
              <w:t>设定依据</w:t>
            </w:r>
          </w:p>
        </w:tc>
        <w:tc>
          <w:tcPr>
            <w:tcW w:w="808" w:type="pct"/>
            <w:noWrap w:val="0"/>
            <w:tcMar>
              <w:top w:w="28" w:type="dxa"/>
              <w:bottom w:w="28" w:type="dxa"/>
            </w:tcMar>
            <w:vAlign w:val="center"/>
          </w:tcPr>
          <w:p>
            <w:pPr>
              <w:spacing w:line="420" w:lineRule="exact"/>
              <w:jc w:val="center"/>
              <w:rPr>
                <w:rFonts w:ascii="黑体" w:hAnsi="黑体" w:eastAsia="黑体" w:cs="仿宋_GB2312"/>
                <w:sz w:val="28"/>
                <w:szCs w:val="32"/>
              </w:rPr>
            </w:pPr>
            <w:r>
              <w:rPr>
                <w:rFonts w:hint="eastAsia" w:ascii="黑体" w:hAnsi="黑体" w:eastAsia="黑体" w:cs="仿宋_GB2312"/>
                <w:sz w:val="28"/>
                <w:szCs w:val="32"/>
              </w:rPr>
              <w:t>对应行政</w:t>
            </w:r>
          </w:p>
          <w:p>
            <w:pPr>
              <w:spacing w:line="420" w:lineRule="exact"/>
              <w:jc w:val="center"/>
              <w:rPr>
                <w:rFonts w:ascii="黑体" w:hAnsi="黑体" w:eastAsia="黑体" w:cs="仿宋_GB2312"/>
                <w:sz w:val="28"/>
                <w:szCs w:val="32"/>
              </w:rPr>
            </w:pPr>
            <w:r>
              <w:rPr>
                <w:rFonts w:hint="eastAsia" w:ascii="黑体" w:hAnsi="黑体" w:eastAsia="黑体" w:cs="仿宋_GB2312"/>
                <w:sz w:val="28"/>
                <w:szCs w:val="32"/>
              </w:rPr>
              <w:t>权力名称</w:t>
            </w:r>
          </w:p>
        </w:tc>
        <w:tc>
          <w:tcPr>
            <w:tcW w:w="546" w:type="pct"/>
            <w:noWrap w:val="0"/>
            <w:tcMar>
              <w:top w:w="28" w:type="dxa"/>
              <w:bottom w:w="28" w:type="dxa"/>
            </w:tcMar>
            <w:vAlign w:val="center"/>
          </w:tcPr>
          <w:p>
            <w:pPr>
              <w:spacing w:line="420" w:lineRule="exact"/>
              <w:jc w:val="center"/>
              <w:rPr>
                <w:rFonts w:ascii="黑体" w:hAnsi="黑体" w:eastAsia="黑体" w:cs="仿宋_GB2312"/>
                <w:sz w:val="28"/>
                <w:szCs w:val="32"/>
              </w:rPr>
            </w:pPr>
            <w:r>
              <w:rPr>
                <w:rFonts w:hint="eastAsia" w:ascii="黑体" w:hAnsi="黑体" w:eastAsia="黑体" w:cs="仿宋_GB2312"/>
                <w:sz w:val="28"/>
                <w:szCs w:val="32"/>
              </w:rPr>
              <w:t>委托</w:t>
            </w:r>
          </w:p>
          <w:p>
            <w:pPr>
              <w:spacing w:line="420" w:lineRule="exact"/>
              <w:jc w:val="center"/>
              <w:rPr>
                <w:rFonts w:ascii="黑体" w:hAnsi="黑体" w:eastAsia="黑体" w:cs="仿宋_GB2312"/>
                <w:sz w:val="28"/>
                <w:szCs w:val="32"/>
              </w:rPr>
            </w:pPr>
            <w:r>
              <w:rPr>
                <w:rFonts w:hint="eastAsia" w:ascii="黑体" w:hAnsi="黑体" w:eastAsia="黑体" w:cs="仿宋_GB2312"/>
                <w:sz w:val="28"/>
                <w:szCs w:val="32"/>
              </w:rPr>
              <w:t>主体</w:t>
            </w:r>
          </w:p>
        </w:tc>
        <w:tc>
          <w:tcPr>
            <w:tcW w:w="870" w:type="pct"/>
            <w:noWrap w:val="0"/>
            <w:tcMar>
              <w:top w:w="28" w:type="dxa"/>
              <w:bottom w:w="28" w:type="dxa"/>
            </w:tcMar>
            <w:vAlign w:val="center"/>
          </w:tcPr>
          <w:p>
            <w:pPr>
              <w:spacing w:line="420" w:lineRule="exact"/>
              <w:jc w:val="center"/>
              <w:rPr>
                <w:rFonts w:ascii="黑体" w:hAnsi="黑体" w:eastAsia="黑体" w:cs="仿宋_GB2312"/>
                <w:sz w:val="28"/>
                <w:szCs w:val="32"/>
              </w:rPr>
            </w:pPr>
            <w:r>
              <w:rPr>
                <w:rFonts w:hint="eastAsia" w:ascii="黑体" w:hAnsi="黑体" w:eastAsia="黑体" w:cs="仿宋_GB2312"/>
                <w:sz w:val="28"/>
                <w:szCs w:val="32"/>
              </w:rPr>
              <w:t>处理意见</w:t>
            </w:r>
          </w:p>
          <w:p>
            <w:pPr>
              <w:spacing w:line="420" w:lineRule="exact"/>
              <w:jc w:val="center"/>
              <w:rPr>
                <w:rFonts w:ascii="黑体" w:hAnsi="黑体" w:eastAsia="黑体" w:cs="仿宋_GB2312"/>
                <w:sz w:val="28"/>
                <w:szCs w:val="32"/>
              </w:rPr>
            </w:pPr>
            <w:r>
              <w:rPr>
                <w:rFonts w:hint="eastAsia" w:ascii="黑体" w:hAnsi="黑体" w:eastAsia="黑体" w:cs="仿宋_GB2312"/>
                <w:sz w:val="28"/>
                <w:szCs w:val="32"/>
              </w:rPr>
              <w:t>及理由</w:t>
            </w:r>
          </w:p>
        </w:tc>
        <w:tc>
          <w:tcPr>
            <w:tcW w:w="457" w:type="pct"/>
            <w:noWrap w:val="0"/>
            <w:tcMar>
              <w:top w:w="28" w:type="dxa"/>
              <w:bottom w:w="28" w:type="dxa"/>
            </w:tcMar>
            <w:vAlign w:val="center"/>
          </w:tcPr>
          <w:p>
            <w:pPr>
              <w:spacing w:line="420" w:lineRule="exact"/>
              <w:jc w:val="center"/>
              <w:rPr>
                <w:rFonts w:ascii="黑体" w:hAnsi="黑体" w:eastAsia="黑体" w:cs="仿宋_GB2312"/>
                <w:sz w:val="28"/>
                <w:szCs w:val="32"/>
              </w:rPr>
            </w:pPr>
            <w:r>
              <w:rPr>
                <w:rFonts w:hint="eastAsia" w:ascii="黑体" w:hAnsi="黑体" w:eastAsia="黑体" w:cs="仿宋_GB2312"/>
                <w:sz w:val="28"/>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76" w:hRule="atLeast"/>
          <w:tblHeader/>
          <w:jc w:val="center"/>
        </w:trPr>
        <w:tc>
          <w:tcPr>
            <w:tcW w:w="263" w:type="pct"/>
            <w:noWrap w:val="0"/>
            <w:tcMar>
              <w:top w:w="28" w:type="dxa"/>
              <w:bottom w:w="28" w:type="dxa"/>
            </w:tcMar>
            <w:vAlign w:val="center"/>
          </w:tcPr>
          <w:p>
            <w:pPr>
              <w:spacing w:line="560" w:lineRule="exact"/>
              <w:jc w:val="center"/>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w:t>
            </w:r>
          </w:p>
        </w:tc>
        <w:tc>
          <w:tcPr>
            <w:tcW w:w="817" w:type="pct"/>
            <w:noWrap w:val="0"/>
            <w:tcMar>
              <w:top w:w="28" w:type="dxa"/>
              <w:bottom w:w="28" w:type="dxa"/>
            </w:tcMar>
            <w:vAlign w:val="center"/>
          </w:tcPr>
          <w:p>
            <w:pPr>
              <w:spacing w:line="560" w:lineRule="exact"/>
              <w:jc w:val="center"/>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农村能源产品质量检验</w:t>
            </w:r>
          </w:p>
        </w:tc>
        <w:tc>
          <w:tcPr>
            <w:tcW w:w="1236" w:type="pct"/>
            <w:noWrap w:val="0"/>
            <w:tcMar>
              <w:top w:w="28" w:type="dxa"/>
              <w:bottom w:w="28" w:type="dxa"/>
            </w:tcMar>
            <w:vAlign w:val="center"/>
          </w:tcPr>
          <w:p>
            <w:pPr>
              <w:spacing w:line="560" w:lineRule="exact"/>
              <w:jc w:val="center"/>
              <w:rPr>
                <w:rFonts w:hint="eastAsia" w:ascii="仿宋_GB2312" w:hAnsi="仿宋_GB2312" w:eastAsia="仿宋_GB2312" w:cs="仿宋_GB2312"/>
                <w:color w:val="000000"/>
                <w:sz w:val="32"/>
                <w:szCs w:val="32"/>
                <w:lang w:eastAsia="zh-CN"/>
              </w:rPr>
            </w:pPr>
          </w:p>
        </w:tc>
        <w:tc>
          <w:tcPr>
            <w:tcW w:w="808" w:type="pct"/>
            <w:noWrap w:val="0"/>
            <w:tcMar>
              <w:top w:w="28" w:type="dxa"/>
              <w:bottom w:w="28" w:type="dxa"/>
            </w:tcMar>
            <w:vAlign w:val="center"/>
          </w:tcPr>
          <w:p>
            <w:pPr>
              <w:spacing w:line="560" w:lineRule="exact"/>
              <w:jc w:val="center"/>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农村能源产品生产经营许可</w:t>
            </w:r>
          </w:p>
        </w:tc>
        <w:tc>
          <w:tcPr>
            <w:tcW w:w="546" w:type="pct"/>
            <w:noWrap w:val="0"/>
            <w:tcMar>
              <w:top w:w="28" w:type="dxa"/>
              <w:bottom w:w="28" w:type="dxa"/>
            </w:tcMar>
            <w:vAlign w:val="center"/>
          </w:tcPr>
          <w:p>
            <w:pPr>
              <w:spacing w:line="560" w:lineRule="exact"/>
              <w:jc w:val="center"/>
              <w:rPr>
                <w:rFonts w:hint="eastAsia" w:ascii="仿宋_GB2312" w:hAnsi="仿宋_GB2312" w:eastAsia="仿宋_GB2312" w:cs="仿宋_GB2312"/>
                <w:color w:val="000000"/>
                <w:sz w:val="32"/>
                <w:szCs w:val="32"/>
                <w:lang w:eastAsia="zh-CN"/>
              </w:rPr>
            </w:pPr>
          </w:p>
        </w:tc>
        <w:tc>
          <w:tcPr>
            <w:tcW w:w="870" w:type="pct"/>
            <w:noWrap w:val="0"/>
            <w:tcMar>
              <w:top w:w="28" w:type="dxa"/>
              <w:bottom w:w="28" w:type="dxa"/>
            </w:tcMar>
            <w:vAlign w:val="center"/>
          </w:tcPr>
          <w:p>
            <w:pPr>
              <w:spacing w:line="560" w:lineRule="exact"/>
              <w:jc w:val="center"/>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取消，农村能源管理条例修改</w:t>
            </w:r>
          </w:p>
        </w:tc>
        <w:tc>
          <w:tcPr>
            <w:tcW w:w="457" w:type="pct"/>
            <w:noWrap w:val="0"/>
            <w:tcMar>
              <w:top w:w="28" w:type="dxa"/>
              <w:bottom w:w="28" w:type="dxa"/>
            </w:tcMar>
            <w:vAlign w:val="center"/>
          </w:tcPr>
          <w:p>
            <w:pPr>
              <w:spacing w:line="560" w:lineRule="exact"/>
              <w:jc w:val="center"/>
              <w:rPr>
                <w:rFonts w:ascii="仿宋_GB2312" w:hAnsi="仿宋_GB2312" w:eastAsia="仿宋_GB2312" w:cs="仿宋_GB2312"/>
                <w:color w:val="000000"/>
                <w:sz w:val="32"/>
                <w:szCs w:val="32"/>
              </w:rPr>
            </w:pPr>
          </w:p>
        </w:tc>
      </w:tr>
    </w:tbl>
    <w:p>
      <w:pPr>
        <w:pStyle w:val="3"/>
        <w:spacing w:after="0" w:line="560" w:lineRule="exact"/>
        <w:ind w:firstLine="0"/>
        <w:rPr>
          <w:rFonts w:ascii="黑体" w:hAnsi="黑体" w:eastAsia="黑体" w:cs="黑体"/>
          <w:lang w:val="en-US"/>
        </w:rPr>
      </w:pPr>
    </w:p>
    <w:p>
      <w:pPr>
        <w:pStyle w:val="3"/>
        <w:spacing w:after="0" w:line="560" w:lineRule="exact"/>
        <w:ind w:firstLine="0"/>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NjYTM0OWQzZDNjYWM1ZDM3NGU2MzdhZmNiOWQzMjkifQ=="/>
  </w:docVars>
  <w:rsids>
    <w:rsidRoot w:val="6A8612EB"/>
    <w:rsid w:val="0EE56FAA"/>
    <w:rsid w:val="14AF237B"/>
    <w:rsid w:val="4DCB2468"/>
    <w:rsid w:val="4F566A78"/>
    <w:rsid w:val="6A8612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pPr>
      <w:widowControl/>
      <w:adjustRightInd w:val="0"/>
      <w:snapToGrid w:val="0"/>
      <w:spacing w:after="200"/>
      <w:jc w:val="left"/>
    </w:pPr>
    <w:rPr>
      <w:rFonts w:ascii="仿宋_GB2312" w:hAnsi="仿宋_GB2312" w:eastAsia="仿宋_GB2312" w:cs="仿宋_GB2312"/>
      <w:kern w:val="0"/>
      <w:sz w:val="36"/>
      <w:szCs w:val="36"/>
      <w:lang w:val="zh-CN" w:bidi="zh-CN"/>
    </w:rPr>
  </w:style>
  <w:style w:type="paragraph" w:styleId="3">
    <w:name w:val="Body Text First Indent"/>
    <w:basedOn w:val="2"/>
    <w:autoRedefine/>
    <w:qFormat/>
    <w:uiPriority w:val="0"/>
    <w:pPr>
      <w:spacing w:line="500" w:lineRule="exact"/>
      <w:ind w:firstLine="420"/>
    </w:pPr>
    <w:rPr>
      <w:rFonts w:ascii="Times New Roman" w:hAnsi="Times New Roman" w:eastAsia="宋体" w:cs="Times New Roman"/>
      <w:sz w:val="28"/>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2023-11-09T03:40:00Z</dcterms:created>
  <dc:creator>Administrator</dc:creator>
  <cp:lastModifiedBy>闵永燕</cp:lastModifiedBy>
  <dcterms:modified xsi:type="dcterms:W3CDTF">2024-01-31T07:56:35Z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DB2B2DCC658C4AA9B257776D11576893_11</vt:lpwstr>
  </property>
</Properties>
</file>