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firstLine="0"/>
        <w:rPr>
          <w:rFonts w:ascii="黑体" w:hAnsi="黑体" w:eastAsia="黑体" w:cs="黑体"/>
          <w:szCs w:val="28"/>
          <w:lang w:val="en-US"/>
        </w:rPr>
      </w:pPr>
    </w:p>
    <w:p>
      <w:pPr>
        <w:pStyle w:val="3"/>
        <w:spacing w:after="0" w:line="560" w:lineRule="exact"/>
        <w:ind w:firstLine="0"/>
        <w:rPr>
          <w:rFonts w:ascii="黑体" w:hAnsi="黑体" w:eastAsia="黑体" w:cs="黑体"/>
          <w:szCs w:val="28"/>
          <w:lang w:val="en-US"/>
        </w:rPr>
      </w:pPr>
    </w:p>
    <w:p>
      <w:pPr>
        <w:spacing w:line="560" w:lineRule="exact"/>
        <w:rPr>
          <w:rFonts w:ascii="黑体" w:hAnsi="黑体" w:eastAsia="黑体" w:cs="黑体"/>
          <w:sz w:val="32"/>
          <w:szCs w:val="28"/>
        </w:rPr>
      </w:pPr>
      <w:r>
        <w:rPr>
          <w:rFonts w:hint="eastAsia" w:ascii="黑体" w:hAnsi="黑体" w:eastAsia="黑体" w:cs="黑体"/>
          <w:sz w:val="32"/>
          <w:szCs w:val="28"/>
        </w:rPr>
        <w:t>附件5</w:t>
      </w:r>
    </w:p>
    <w:p>
      <w:pPr>
        <w:pStyle w:val="2"/>
        <w:spacing w:after="0" w:line="56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调整后的公共服务清单（六安市乡村振兴局）</w:t>
      </w:r>
    </w:p>
    <w:tbl>
      <w:tblPr>
        <w:tblStyle w:val="6"/>
        <w:tblpPr w:leftFromText="180" w:rightFromText="180" w:vertAnchor="text" w:horzAnchor="page" w:tblpX="1606" w:tblpY="709"/>
        <w:tblOverlap w:val="never"/>
        <w:tblW w:w="13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493"/>
        <w:gridCol w:w="7425"/>
        <w:gridCol w:w="945"/>
        <w:gridCol w:w="103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67" w:type="dxa"/>
            <w:vAlign w:val="center"/>
          </w:tcPr>
          <w:p>
            <w:pPr>
              <w:spacing w:line="400" w:lineRule="exact"/>
              <w:jc w:val="center"/>
              <w:textAlignment w:val="center"/>
              <w:rPr>
                <w:rFonts w:ascii="黑体" w:hAnsi="黑体" w:eastAsia="黑体" w:cs="仿宋_GB2312"/>
                <w:color w:val="000000"/>
                <w:kern w:val="0"/>
                <w:sz w:val="28"/>
                <w:szCs w:val="30"/>
                <w:lang w:bidi="ar"/>
              </w:rPr>
            </w:pPr>
            <w:r>
              <w:rPr>
                <w:rFonts w:hint="eastAsia" w:ascii="黑体" w:hAnsi="黑体" w:eastAsia="黑体" w:cs="仿宋_GB2312"/>
                <w:color w:val="000000"/>
                <w:kern w:val="0"/>
                <w:sz w:val="28"/>
                <w:szCs w:val="30"/>
                <w:lang w:bidi="ar"/>
              </w:rPr>
              <w:t>序号</w:t>
            </w:r>
          </w:p>
        </w:tc>
        <w:tc>
          <w:tcPr>
            <w:tcW w:w="1493" w:type="dxa"/>
            <w:vAlign w:val="center"/>
          </w:tcPr>
          <w:p>
            <w:pPr>
              <w:spacing w:line="400" w:lineRule="exact"/>
              <w:jc w:val="center"/>
              <w:textAlignment w:val="center"/>
              <w:rPr>
                <w:rFonts w:ascii="黑体" w:hAnsi="黑体" w:eastAsia="黑体" w:cs="仿宋_GB2312"/>
                <w:color w:val="000000"/>
                <w:kern w:val="0"/>
                <w:sz w:val="28"/>
                <w:szCs w:val="30"/>
                <w:lang w:bidi="ar"/>
              </w:rPr>
            </w:pPr>
            <w:r>
              <w:rPr>
                <w:rFonts w:hint="eastAsia" w:ascii="黑体" w:hAnsi="黑体" w:eastAsia="黑体" w:cs="仿宋_GB2312"/>
                <w:color w:val="000000"/>
                <w:kern w:val="0"/>
                <w:sz w:val="28"/>
                <w:szCs w:val="30"/>
                <w:lang w:bidi="ar"/>
              </w:rPr>
              <w:t>事项名称</w:t>
            </w:r>
          </w:p>
        </w:tc>
        <w:tc>
          <w:tcPr>
            <w:tcW w:w="7425" w:type="dxa"/>
            <w:vAlign w:val="center"/>
          </w:tcPr>
          <w:p>
            <w:pPr>
              <w:spacing w:line="400" w:lineRule="exact"/>
              <w:jc w:val="center"/>
              <w:textAlignment w:val="center"/>
              <w:rPr>
                <w:rFonts w:ascii="黑体" w:hAnsi="黑体" w:eastAsia="黑体" w:cs="仿宋_GB2312"/>
                <w:color w:val="000000"/>
                <w:kern w:val="0"/>
                <w:sz w:val="28"/>
                <w:szCs w:val="30"/>
                <w:lang w:bidi="ar"/>
              </w:rPr>
            </w:pPr>
            <w:r>
              <w:rPr>
                <w:rFonts w:hint="eastAsia" w:ascii="黑体" w:hAnsi="黑体" w:eastAsia="黑体" w:cs="仿宋_GB2312"/>
                <w:color w:val="000000"/>
                <w:kern w:val="0"/>
                <w:sz w:val="28"/>
                <w:szCs w:val="30"/>
                <w:lang w:bidi="ar"/>
              </w:rPr>
              <w:t>办理依据</w:t>
            </w:r>
          </w:p>
        </w:tc>
        <w:tc>
          <w:tcPr>
            <w:tcW w:w="945" w:type="dxa"/>
            <w:vAlign w:val="center"/>
          </w:tcPr>
          <w:p>
            <w:pPr>
              <w:spacing w:line="400" w:lineRule="exact"/>
              <w:jc w:val="center"/>
              <w:textAlignment w:val="center"/>
              <w:rPr>
                <w:rFonts w:ascii="黑体" w:hAnsi="黑体" w:eastAsia="黑体" w:cs="仿宋_GB2312"/>
                <w:color w:val="000000"/>
                <w:kern w:val="0"/>
                <w:sz w:val="28"/>
                <w:szCs w:val="30"/>
                <w:lang w:bidi="ar"/>
              </w:rPr>
            </w:pPr>
            <w:r>
              <w:rPr>
                <w:rFonts w:hint="eastAsia" w:ascii="黑体" w:hAnsi="黑体" w:eastAsia="黑体" w:cs="仿宋_GB2312"/>
                <w:color w:val="000000"/>
                <w:kern w:val="0"/>
                <w:sz w:val="28"/>
                <w:szCs w:val="30"/>
                <w:lang w:bidi="ar"/>
              </w:rPr>
              <w:t>实施机构</w:t>
            </w:r>
          </w:p>
        </w:tc>
        <w:tc>
          <w:tcPr>
            <w:tcW w:w="1035" w:type="dxa"/>
            <w:vAlign w:val="center"/>
          </w:tcPr>
          <w:p>
            <w:pPr>
              <w:spacing w:line="400" w:lineRule="exact"/>
              <w:jc w:val="center"/>
              <w:textAlignment w:val="center"/>
              <w:rPr>
                <w:rFonts w:ascii="黑体" w:hAnsi="黑体" w:eastAsia="黑体" w:cs="仿宋_GB2312"/>
                <w:color w:val="000000"/>
                <w:kern w:val="0"/>
                <w:sz w:val="28"/>
                <w:szCs w:val="30"/>
                <w:lang w:bidi="ar"/>
              </w:rPr>
            </w:pPr>
            <w:r>
              <w:rPr>
                <w:rFonts w:hint="eastAsia" w:ascii="黑体" w:hAnsi="黑体" w:eastAsia="黑体" w:cs="仿宋_GB2312"/>
                <w:color w:val="000000"/>
                <w:kern w:val="0"/>
                <w:sz w:val="28"/>
                <w:szCs w:val="30"/>
                <w:lang w:bidi="ar"/>
              </w:rPr>
              <w:t>服务对象</w:t>
            </w:r>
          </w:p>
        </w:tc>
        <w:tc>
          <w:tcPr>
            <w:tcW w:w="1065" w:type="dxa"/>
            <w:vAlign w:val="center"/>
          </w:tcPr>
          <w:p>
            <w:pPr>
              <w:spacing w:line="400" w:lineRule="exact"/>
              <w:jc w:val="center"/>
              <w:textAlignment w:val="center"/>
              <w:rPr>
                <w:rFonts w:ascii="黑体" w:hAnsi="黑体" w:eastAsia="黑体" w:cs="仿宋_GB2312"/>
                <w:color w:val="000000"/>
                <w:kern w:val="0"/>
                <w:sz w:val="28"/>
                <w:szCs w:val="30"/>
                <w:lang w:bidi="ar"/>
              </w:rPr>
            </w:pPr>
            <w:r>
              <w:rPr>
                <w:rFonts w:hint="eastAsia" w:ascii="黑体" w:hAnsi="黑体" w:eastAsia="黑体" w:cs="仿宋_GB2312"/>
                <w:color w:val="000000"/>
                <w:kern w:val="0"/>
                <w:sz w:val="28"/>
                <w:szCs w:val="3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67" w:type="dxa"/>
          </w:tcPr>
          <w:p>
            <w:pPr>
              <w:spacing w:line="560" w:lineRule="exact"/>
            </w:pPr>
            <w:r>
              <w:rPr>
                <w:rFonts w:hint="eastAsia"/>
              </w:rPr>
              <w:t>1</w:t>
            </w:r>
          </w:p>
        </w:tc>
        <w:tc>
          <w:tcPr>
            <w:tcW w:w="1493" w:type="dxa"/>
          </w:tcPr>
          <w:p>
            <w:r>
              <w:rPr>
                <w:rFonts w:hint="eastAsia"/>
              </w:rPr>
              <w:t>脱贫家庭（含防止返贫监测对象）新成长劳动力“雨露计划+”就业促进行动政策咨询</w:t>
            </w:r>
          </w:p>
        </w:tc>
        <w:tc>
          <w:tcPr>
            <w:tcW w:w="7425" w:type="dxa"/>
          </w:tcPr>
          <w:p>
            <w:pPr>
              <w:jc w:val="left"/>
            </w:pPr>
            <w:r>
              <w:rPr>
                <w:rFonts w:hint="eastAsia"/>
              </w:rPr>
              <w:t>1.《中共安徽省委 安徽省人民政府关于坚决打赢脱贫攻坚战的决定》（皖发〔2015〕26号）第三条第（二）项：大力实施“雨露计划”，对贫困家庭子女在中、高等职业院校就读的实施资金补助。</w:t>
            </w:r>
          </w:p>
          <w:p>
            <w:pPr>
              <w:jc w:val="left"/>
            </w:pPr>
            <w:r>
              <w:rPr>
                <w:rFonts w:hint="eastAsia"/>
              </w:rPr>
              <w:t>2.《国务院扶贫办、教育部、人力资源和社会保障部关于加强雨露计划支持农村贫困家庭新成长劳动力接受职业教育的意见》（国开办发〔2015〕19号）：雨露计划作为专项扶贫工作的重要内容，引导和支持农村贫困家庭新成长劳动力接受职业教育，是培养技能型人才、促进稳定就业、实现脱贫致富的治本之举，是提高贫困人口素质，促进贫困地区经济社会发展的重要措施。</w:t>
            </w:r>
          </w:p>
          <w:p>
            <w:pPr>
              <w:jc w:val="left"/>
            </w:pPr>
            <w:r>
              <w:rPr>
                <w:rFonts w:hint="eastAsia"/>
              </w:rPr>
              <w:t>3.安徽省扶贫办关于调整优化“雨露计划”职业教育补助工作程序的通知（皖扶办【2018】104号）。</w:t>
            </w:r>
          </w:p>
          <w:p>
            <w:pPr>
              <w:jc w:val="left"/>
            </w:pPr>
            <w:r>
              <w:rPr>
                <w:rFonts w:hint="eastAsia"/>
              </w:rPr>
              <w:t>4.《中共安徽省委 安徽省人民政府关于加快实现巩固拓展脱贫攻坚成果同乡村振兴有效衔接的实施意见》（皖发〔2021〕2号）第四条第十三项：继续实施“雨露计划”职业教育补助和农村创业致富带头人培育工程。</w:t>
            </w:r>
          </w:p>
          <w:p>
            <w:pPr>
              <w:jc w:val="left"/>
            </w:pPr>
            <w:r>
              <w:rPr>
                <w:rFonts w:hint="eastAsia"/>
              </w:rPr>
              <w:t>5.安徽省乡村振兴局 安徽省教育厅 安徽省人力资源社会保障厅关于印发《安徽省“雨露计划+”就业促进行动实施方案》的通知（皖乡振发〔2022〕29号）。</w:t>
            </w:r>
          </w:p>
          <w:p>
            <w:pPr>
              <w:jc w:val="left"/>
            </w:pPr>
            <w:r>
              <w:rPr>
                <w:rFonts w:hint="eastAsia"/>
              </w:rPr>
              <w:t>6.安徽省乡村振兴局《关于进一步强化精准帮扶的通知》（皖乡振发〔2023〕40号）。</w:t>
            </w:r>
          </w:p>
        </w:tc>
        <w:tc>
          <w:tcPr>
            <w:tcW w:w="945" w:type="dxa"/>
          </w:tcPr>
          <w:p>
            <w:pPr>
              <w:spacing w:line="560" w:lineRule="exact"/>
              <w:ind w:left="5250" w:leftChars="2500"/>
            </w:pPr>
          </w:p>
          <w:p/>
          <w:p/>
          <w:p/>
          <w:p>
            <w:pPr>
              <w:jc w:val="left"/>
            </w:pPr>
            <w:r>
              <w:rPr>
                <w:rFonts w:hint="eastAsia"/>
              </w:rPr>
              <w:t>乡村振兴部门</w:t>
            </w:r>
          </w:p>
        </w:tc>
        <w:tc>
          <w:tcPr>
            <w:tcW w:w="1035" w:type="dxa"/>
          </w:tcPr>
          <w:p>
            <w:pPr>
              <w:spacing w:line="560" w:lineRule="exact"/>
              <w:ind w:left="5250" w:leftChars="2500"/>
            </w:pPr>
          </w:p>
          <w:p/>
          <w:p/>
          <w:p/>
          <w:p/>
          <w:p>
            <w:pPr>
              <w:jc w:val="center"/>
            </w:pPr>
            <w:r>
              <w:rPr>
                <w:rFonts w:hint="eastAsia"/>
              </w:rPr>
              <w:t>脱贫家庭（含防止返贫监测对象）</w:t>
            </w:r>
          </w:p>
        </w:tc>
        <w:tc>
          <w:tcPr>
            <w:tcW w:w="1065" w:type="dxa"/>
          </w:tcPr>
          <w:p>
            <w:pPr>
              <w:spacing w:line="560" w:lineRule="exact"/>
              <w:ind w:left="5250" w:leftChars="2500"/>
            </w:pPr>
            <w:r>
              <w:rPr>
                <w:rFonts w:hint="eastAsia"/>
              </w:rPr>
              <w:t>无</w:t>
            </w:r>
          </w:p>
          <w:p/>
          <w:p/>
          <w:p/>
          <w:p/>
          <w:p/>
          <w:p>
            <w:pPr>
              <w:jc w:val="center"/>
            </w:pPr>
            <w:r>
              <w:rPr>
                <w:rFonts w:hint="eastAsia"/>
              </w:rPr>
              <w:t>无</w:t>
            </w:r>
          </w:p>
        </w:tc>
      </w:tr>
    </w:tbl>
    <w:p>
      <w:pPr>
        <w:spacing w:line="500" w:lineRule="exact"/>
        <w:rPr>
          <w:rFonts w:ascii="仿宋_GB2312" w:hAnsi="仿宋_GB2312" w:eastAsia="仿宋_GB2312" w:cs="仿宋_GB2312"/>
          <w:color w:val="000000"/>
          <w:kern w:val="0"/>
          <w:sz w:val="28"/>
          <w:szCs w:val="30"/>
          <w:lang w:val="en" w:bidi="ar"/>
        </w:rPr>
      </w:pPr>
    </w:p>
    <w:p>
      <w:pPr>
        <w:spacing w:line="500" w:lineRule="exact"/>
        <w:ind w:firstLine="280" w:firstLineChars="100"/>
        <w:rPr>
          <w:rFonts w:ascii="仿宋_GB2312" w:hAnsi="仿宋_GB2312" w:eastAsia="仿宋_GB2312" w:cs="仿宋_GB2312"/>
          <w:color w:val="000000"/>
          <w:sz w:val="28"/>
          <w:szCs w:val="30"/>
          <w:lang w:val="en" w:bidi="ar"/>
        </w:rPr>
      </w:pPr>
      <w:r>
        <w:rPr>
          <w:rFonts w:hint="eastAsia" w:ascii="仿宋_GB2312" w:hAnsi="仿宋_GB2312" w:eastAsia="仿宋_GB2312" w:cs="仿宋_GB2312"/>
          <w:color w:val="000000"/>
          <w:kern w:val="0"/>
          <w:sz w:val="28"/>
          <w:szCs w:val="30"/>
          <w:lang w:val="en" w:bidi="ar"/>
        </w:rPr>
        <w:t>注：涉及政务服务事项的在备注中标注▲。</w:t>
      </w:r>
    </w:p>
    <w:p>
      <w:r>
        <w:br w:type="page"/>
      </w:r>
      <w:bookmarkStart w:id="0" w:name="_GoBack"/>
      <w:bookmarkEnd w:id="0"/>
    </w:p>
    <w:sectPr>
      <w:footerReference r:id="rId3" w:type="default"/>
      <w:footerReference r:id="rId4" w:type="even"/>
      <w:pgSz w:w="16838" w:h="11906" w:orient="landscape"/>
      <w:pgMar w:top="1588" w:right="1701" w:bottom="1588" w:left="1588" w:header="851" w:footer="130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E9"/>
    <w:rsid w:val="00134891"/>
    <w:rsid w:val="001D480A"/>
    <w:rsid w:val="00267F7A"/>
    <w:rsid w:val="002D54DC"/>
    <w:rsid w:val="003E3DE1"/>
    <w:rsid w:val="005E317E"/>
    <w:rsid w:val="00CE37E9"/>
    <w:rsid w:val="4A4B77ED"/>
    <w:rsid w:val="6E7E3FD1"/>
    <w:rsid w:val="FFEE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
    <w:qFormat/>
    <w:uiPriority w:val="1"/>
    <w:pPr>
      <w:widowControl/>
      <w:adjustRightInd w:val="0"/>
      <w:snapToGrid w:val="0"/>
      <w:spacing w:after="200"/>
      <w:jc w:val="left"/>
    </w:pPr>
    <w:rPr>
      <w:rFonts w:ascii="仿宋_GB2312" w:hAnsi="仿宋_GB2312" w:eastAsia="仿宋_GB2312" w:cs="仿宋_GB2312"/>
      <w:kern w:val="0"/>
      <w:sz w:val="36"/>
      <w:szCs w:val="36"/>
      <w:lang w:val="zh-CN" w:bidi="zh-CN"/>
    </w:rPr>
  </w:style>
  <w:style w:type="paragraph" w:styleId="3">
    <w:name w:val="Body Text First Indent"/>
    <w:basedOn w:val="2"/>
    <w:link w:val="12"/>
    <w:qFormat/>
    <w:uiPriority w:val="0"/>
    <w:pPr>
      <w:spacing w:line="500" w:lineRule="exact"/>
      <w:ind w:firstLine="420"/>
    </w:pPr>
    <w:rPr>
      <w:rFonts w:ascii="Times New Roman" w:hAnsi="Times New Roman" w:eastAsia="宋体" w:cs="Times New Roman"/>
      <w:sz w:val="28"/>
      <w:szCs w:val="20"/>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正文文本 字符"/>
    <w:basedOn w:val="7"/>
    <w:link w:val="2"/>
    <w:qFormat/>
    <w:uiPriority w:val="1"/>
    <w:rPr>
      <w:rFonts w:ascii="仿宋_GB2312" w:hAnsi="仿宋_GB2312" w:eastAsia="仿宋_GB2312" w:cs="仿宋_GB2312"/>
      <w:kern w:val="0"/>
      <w:sz w:val="36"/>
      <w:szCs w:val="36"/>
      <w:lang w:val="zh-CN" w:bidi="zh-CN"/>
    </w:rPr>
  </w:style>
  <w:style w:type="character" w:customStyle="1" w:styleId="12">
    <w:name w:val="正文文本首行缩进 字符"/>
    <w:basedOn w:val="11"/>
    <w:link w:val="3"/>
    <w:qFormat/>
    <w:uiPriority w:val="0"/>
    <w:rPr>
      <w:rFonts w:ascii="Times New Roman" w:hAnsi="Times New Roman" w:eastAsia="宋体" w:cs="Times New Roman"/>
      <w:kern w:val="0"/>
      <w:sz w:val="28"/>
      <w:szCs w:val="2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362</Words>
  <Characters>2064</Characters>
  <Lines>17</Lines>
  <Paragraphs>4</Paragraphs>
  <TotalTime>0</TotalTime>
  <ScaleCrop>false</ScaleCrop>
  <LinksUpToDate>false</LinksUpToDate>
  <CharactersWithSpaces>2422</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2023-11-07T03:22:00Z</dcterms:created>
  <dc:creator>世杰 董</dc:creator>
  <cp:lastModifiedBy>administrator</cp:lastModifiedBy>
  <cp:lastPrinted>2023-11-07T04:22:00Z</cp:lastPrinted>
  <dcterms:modified xsi:type="dcterms:W3CDTF">2023-12-18T11:23:57Z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FE7F80241AB912C34DBB7F6536AD29DB</vt:lpwstr>
  </property>
</Properties>
</file>