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rPr>
          <w:rFonts w:eastAsia="方正小标宋_GBK"/>
          <w:sz w:val="44"/>
          <w:szCs w:val="44"/>
          <w:highlight w:val="none"/>
        </w:rPr>
      </w:pPr>
      <w:r>
        <w:rPr>
          <w:rFonts w:hint="eastAsia" w:eastAsia="方正黑体_GBK"/>
          <w:sz w:val="32"/>
          <w:szCs w:val="32"/>
          <w:highlight w:val="none"/>
        </w:rPr>
        <w:t>附件</w:t>
      </w:r>
      <w:r>
        <w:rPr>
          <w:rFonts w:eastAsia="方正黑体_GBK"/>
          <w:sz w:val="32"/>
          <w:szCs w:val="32"/>
          <w:highlight w:val="none"/>
        </w:rPr>
        <w:t>4</w:t>
      </w:r>
    </w:p>
    <w:p>
      <w:pPr>
        <w:spacing w:line="590" w:lineRule="exact"/>
        <w:jc w:val="center"/>
        <w:rPr>
          <w:rFonts w:eastAsia="方正小标宋_GBK"/>
          <w:sz w:val="44"/>
          <w:szCs w:val="44"/>
          <w:highlight w:val="none"/>
        </w:rPr>
      </w:pPr>
    </w:p>
    <w:p>
      <w:pPr>
        <w:spacing w:line="59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eastAsia="zh-CN"/>
        </w:rPr>
        <w:t>六安市市</w:t>
      </w:r>
      <w:r>
        <w:rPr>
          <w:rFonts w:hint="eastAsia" w:ascii="方正小标宋简体" w:hAnsi="方正小标宋简体" w:eastAsia="方正小标宋简体" w:cs="方正小标宋简体"/>
          <w:sz w:val="44"/>
          <w:szCs w:val="44"/>
          <w:highlight w:val="none"/>
        </w:rPr>
        <w:t>级行政权力中介服务清单</w:t>
      </w:r>
    </w:p>
    <w:p>
      <w:pPr>
        <w:spacing w:line="59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年版）</w:t>
      </w:r>
    </w:p>
    <w:p>
      <w:pPr>
        <w:spacing w:line="590" w:lineRule="exact"/>
        <w:jc w:val="center"/>
        <w:rPr>
          <w:rFonts w:eastAsia="方正小标宋_GBK"/>
          <w:sz w:val="44"/>
          <w:szCs w:val="44"/>
          <w:highlight w:val="none"/>
        </w:rPr>
      </w:pPr>
    </w:p>
    <w:p>
      <w:pPr>
        <w:spacing w:line="590" w:lineRule="exact"/>
        <w:jc w:val="center"/>
        <w:rPr>
          <w:rFonts w:eastAsia="方正小标宋_GBK"/>
          <w:sz w:val="36"/>
          <w:szCs w:val="36"/>
          <w:highlight w:val="none"/>
        </w:rPr>
      </w:pPr>
      <w:r>
        <w:rPr>
          <w:rFonts w:hint="eastAsia" w:eastAsia="方正小标宋_GBK"/>
          <w:sz w:val="36"/>
          <w:szCs w:val="36"/>
          <w:highlight w:val="none"/>
        </w:rPr>
        <w:t>保留事项</w:t>
      </w:r>
    </w:p>
    <w:tbl>
      <w:tblPr>
        <w:tblStyle w:val="3"/>
        <w:tblW w:w="9904" w:type="dxa"/>
        <w:jc w:val="center"/>
        <w:tblLayout w:type="fixed"/>
        <w:tblCellMar>
          <w:top w:w="0" w:type="dxa"/>
          <w:left w:w="108" w:type="dxa"/>
          <w:bottom w:w="0" w:type="dxa"/>
          <w:right w:w="108" w:type="dxa"/>
        </w:tblCellMar>
      </w:tblPr>
      <w:tblGrid>
        <w:gridCol w:w="632"/>
        <w:gridCol w:w="3472"/>
        <w:gridCol w:w="4338"/>
        <w:gridCol w:w="1462"/>
      </w:tblGrid>
      <w:tr>
        <w:tblPrEx>
          <w:tblCellMar>
            <w:top w:w="0" w:type="dxa"/>
            <w:left w:w="108" w:type="dxa"/>
            <w:bottom w:w="0" w:type="dxa"/>
            <w:right w:w="108" w:type="dxa"/>
          </w:tblCellMar>
        </w:tblPrEx>
        <w:trPr>
          <w:trHeight w:val="680" w:hRule="atLeast"/>
          <w:tblHeader/>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left="-42" w:leftChars="-20" w:right="-42" w:rightChars="-20"/>
              <w:jc w:val="center"/>
              <w:rPr>
                <w:rFonts w:hint="eastAsia" w:ascii="方正黑体_GBK" w:hAnsi="宋体" w:eastAsia="方正黑体_GBK" w:cs="宋体"/>
                <w:bCs/>
                <w:kern w:val="0"/>
                <w:sz w:val="23"/>
                <w:szCs w:val="21"/>
                <w:highlight w:val="none"/>
              </w:rPr>
            </w:pPr>
            <w:r>
              <w:rPr>
                <w:rFonts w:hint="eastAsia" w:ascii="方正黑体_GBK" w:hAnsi="宋体" w:eastAsia="方正黑体_GBK" w:cs="宋体"/>
                <w:bCs/>
                <w:kern w:val="0"/>
                <w:sz w:val="23"/>
                <w:szCs w:val="21"/>
                <w:highlight w:val="none"/>
              </w:rPr>
              <w:t>序号</w:t>
            </w:r>
          </w:p>
        </w:tc>
        <w:tc>
          <w:tcPr>
            <w:tcW w:w="3472" w:type="dxa"/>
            <w:tcBorders>
              <w:top w:val="single" w:color="auto" w:sz="4" w:space="0"/>
              <w:left w:val="nil"/>
              <w:bottom w:val="single" w:color="auto" w:sz="4" w:space="0"/>
              <w:right w:val="single" w:color="auto" w:sz="4" w:space="0"/>
            </w:tcBorders>
            <w:noWrap w:val="0"/>
            <w:vAlign w:val="center"/>
          </w:tcPr>
          <w:p>
            <w:pPr>
              <w:widowControl/>
              <w:spacing w:line="320" w:lineRule="exact"/>
              <w:ind w:left="-42" w:leftChars="-20" w:right="-42" w:rightChars="-20"/>
              <w:jc w:val="center"/>
              <w:rPr>
                <w:rFonts w:hint="eastAsia" w:ascii="方正黑体_GBK" w:hAnsi="宋体" w:eastAsia="方正黑体_GBK" w:cs="宋体"/>
                <w:bCs/>
                <w:kern w:val="0"/>
                <w:sz w:val="23"/>
                <w:szCs w:val="21"/>
                <w:highlight w:val="none"/>
              </w:rPr>
            </w:pPr>
            <w:r>
              <w:rPr>
                <w:rFonts w:hint="eastAsia" w:ascii="方正黑体_GBK" w:hAnsi="宋体" w:eastAsia="方正黑体_GBK" w:cs="宋体"/>
                <w:bCs/>
                <w:kern w:val="0"/>
                <w:sz w:val="23"/>
                <w:szCs w:val="21"/>
                <w:highlight w:val="none"/>
              </w:rPr>
              <w:t>事项名称</w:t>
            </w:r>
          </w:p>
        </w:tc>
        <w:tc>
          <w:tcPr>
            <w:tcW w:w="4338" w:type="dxa"/>
            <w:tcBorders>
              <w:top w:val="single" w:color="auto" w:sz="4" w:space="0"/>
              <w:left w:val="nil"/>
              <w:bottom w:val="single" w:color="auto" w:sz="4" w:space="0"/>
              <w:right w:val="single" w:color="auto" w:sz="4" w:space="0"/>
            </w:tcBorders>
            <w:noWrap w:val="0"/>
            <w:vAlign w:val="center"/>
          </w:tcPr>
          <w:p>
            <w:pPr>
              <w:widowControl/>
              <w:spacing w:line="320" w:lineRule="exact"/>
              <w:ind w:left="-42" w:leftChars="-20" w:right="-42" w:rightChars="-20"/>
              <w:jc w:val="center"/>
              <w:rPr>
                <w:rFonts w:hint="eastAsia" w:ascii="方正黑体_GBK" w:hAnsi="宋体" w:eastAsia="方正黑体_GBK" w:cs="宋体"/>
                <w:bCs/>
                <w:kern w:val="0"/>
                <w:sz w:val="23"/>
                <w:szCs w:val="21"/>
                <w:highlight w:val="none"/>
              </w:rPr>
            </w:pPr>
            <w:r>
              <w:rPr>
                <w:rFonts w:hint="eastAsia" w:ascii="方正黑体_GBK" w:hAnsi="宋体" w:eastAsia="方正黑体_GBK" w:cs="宋体"/>
                <w:bCs/>
                <w:kern w:val="0"/>
                <w:sz w:val="23"/>
                <w:szCs w:val="21"/>
                <w:highlight w:val="none"/>
              </w:rPr>
              <w:t>对应行政权力名称</w:t>
            </w:r>
          </w:p>
        </w:tc>
        <w:tc>
          <w:tcPr>
            <w:tcW w:w="1462" w:type="dxa"/>
            <w:tcBorders>
              <w:top w:val="single" w:color="auto" w:sz="4" w:space="0"/>
              <w:left w:val="nil"/>
              <w:bottom w:val="single" w:color="auto" w:sz="4" w:space="0"/>
              <w:right w:val="single" w:color="auto" w:sz="4" w:space="0"/>
            </w:tcBorders>
            <w:noWrap w:val="0"/>
            <w:vAlign w:val="center"/>
          </w:tcPr>
          <w:p>
            <w:pPr>
              <w:widowControl/>
              <w:spacing w:line="320" w:lineRule="exact"/>
              <w:ind w:left="-42" w:leftChars="-20" w:right="-42" w:rightChars="-20"/>
              <w:jc w:val="center"/>
              <w:rPr>
                <w:rFonts w:hint="eastAsia" w:ascii="方正黑体_GBK" w:hAnsi="宋体" w:eastAsia="方正黑体_GBK" w:cs="宋体"/>
                <w:bCs/>
                <w:kern w:val="0"/>
                <w:sz w:val="23"/>
                <w:szCs w:val="21"/>
                <w:highlight w:val="none"/>
              </w:rPr>
            </w:pPr>
            <w:r>
              <w:rPr>
                <w:rFonts w:hint="eastAsia" w:ascii="方正黑体_GBK" w:hAnsi="宋体" w:eastAsia="方正黑体_GBK" w:cs="宋体"/>
                <w:bCs/>
                <w:kern w:val="0"/>
                <w:sz w:val="23"/>
                <w:szCs w:val="21"/>
                <w:highlight w:val="none"/>
              </w:rPr>
              <w:t>委托主体</w:t>
            </w:r>
          </w:p>
        </w:tc>
      </w:tr>
      <w:tr>
        <w:tblPrEx>
          <w:tblCellMar>
            <w:top w:w="0" w:type="dxa"/>
            <w:left w:w="108" w:type="dxa"/>
            <w:bottom w:w="0" w:type="dxa"/>
            <w:right w:w="108" w:type="dxa"/>
          </w:tblCellMar>
        </w:tblPrEx>
        <w:trPr>
          <w:trHeight w:val="680" w:hRule="atLeast"/>
          <w:jc w:val="center"/>
        </w:trPr>
        <w:tc>
          <w:tcPr>
            <w:tcW w:w="990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left="-42" w:leftChars="-20" w:right="-42" w:rightChars="-20"/>
              <w:jc w:val="center"/>
              <w:rPr>
                <w:rFonts w:hint="eastAsia" w:ascii="宋体" w:hAnsi="宋体" w:cs="宋体"/>
                <w:b/>
                <w:bCs/>
                <w:kern w:val="0"/>
                <w:sz w:val="23"/>
                <w:szCs w:val="21"/>
                <w:highlight w:val="none"/>
              </w:rPr>
            </w:pPr>
            <w:r>
              <w:rPr>
                <w:rFonts w:hint="eastAsia" w:ascii="宋体" w:hAnsi="宋体" w:cs="宋体"/>
                <w:b/>
                <w:bCs/>
                <w:kern w:val="0"/>
                <w:sz w:val="23"/>
                <w:szCs w:val="21"/>
                <w:highlight w:val="none"/>
              </w:rPr>
              <w:t>一、市发改委（市粮食物资局）</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ind w:left="-42" w:leftChars="-20" w:right="-42" w:rightChars="-20"/>
              <w:jc w:val="center"/>
              <w:rPr>
                <w:rFonts w:hint="eastAsia" w:ascii="宋体" w:hAnsi="宋体" w:cs="宋体"/>
                <w:kern w:val="0"/>
                <w:sz w:val="23"/>
                <w:szCs w:val="21"/>
                <w:highlight w:val="none"/>
              </w:rPr>
            </w:pPr>
            <w:r>
              <w:rPr>
                <w:rFonts w:hint="eastAsia" w:ascii="宋体" w:hAnsi="宋体" w:cs="宋体"/>
                <w:kern w:val="0"/>
                <w:sz w:val="23"/>
                <w:szCs w:val="21"/>
                <w:highlight w:val="none"/>
              </w:rPr>
              <w:t>1</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rPr>
            </w:pPr>
            <w:r>
              <w:rPr>
                <w:rFonts w:hint="eastAsia" w:ascii="宋体" w:hAnsi="宋体" w:cs="宋体"/>
                <w:sz w:val="23"/>
                <w:szCs w:val="21"/>
                <w:highlight w:val="none"/>
                <w:lang w:val="en-US" w:eastAsia="zh-CN"/>
              </w:rPr>
              <w:t>固定资产投资项目申请报告评估</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rPr>
            </w:pPr>
            <w:r>
              <w:rPr>
                <w:rFonts w:hint="eastAsia" w:ascii="宋体" w:hAnsi="宋体" w:cs="宋体"/>
                <w:sz w:val="23"/>
                <w:szCs w:val="21"/>
                <w:highlight w:val="none"/>
                <w:lang w:val="en-US" w:eastAsia="zh-CN"/>
              </w:rPr>
              <w:t>固定资产投资项目核准（含国发〔2016〕72号文件规定的外商投资项目）</w:t>
            </w:r>
          </w:p>
        </w:tc>
        <w:tc>
          <w:tcPr>
            <w:tcW w:w="1462" w:type="dxa"/>
            <w:tcBorders>
              <w:top w:val="nil"/>
              <w:left w:val="nil"/>
              <w:bottom w:val="single" w:color="auto" w:sz="4" w:space="0"/>
              <w:right w:val="single" w:color="auto" w:sz="4" w:space="0"/>
            </w:tcBorders>
            <w:noWrap w:val="0"/>
            <w:vAlign w:val="center"/>
          </w:tcPr>
          <w:p>
            <w:pPr>
              <w:adjustRightInd w:val="0"/>
              <w:snapToGrid w:val="0"/>
              <w:spacing w:line="320" w:lineRule="exact"/>
              <w:jc w:val="center"/>
              <w:rPr>
                <w:rFonts w:hint="eastAsia" w:ascii="宋体" w:hAnsi="宋体" w:cs="宋体"/>
                <w:sz w:val="23"/>
                <w:szCs w:val="21"/>
                <w:highlight w:val="none"/>
              </w:rPr>
            </w:pPr>
            <w:r>
              <w:rPr>
                <w:rFonts w:hint="eastAsia" w:ascii="宋体" w:hAnsi="宋体" w:cs="宋体"/>
                <w:sz w:val="23"/>
                <w:szCs w:val="21"/>
                <w:highlight w:val="none"/>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ind w:left="-42" w:leftChars="-20" w:right="-42" w:rightChars="-20"/>
              <w:jc w:val="center"/>
              <w:rPr>
                <w:rFonts w:hint="eastAsia" w:ascii="宋体" w:hAnsi="宋体" w:cs="宋体"/>
                <w:kern w:val="0"/>
                <w:sz w:val="23"/>
                <w:szCs w:val="21"/>
                <w:highlight w:val="none"/>
              </w:rPr>
            </w:pPr>
            <w:r>
              <w:rPr>
                <w:rFonts w:hint="eastAsia" w:ascii="宋体" w:hAnsi="宋体" w:cs="宋体"/>
                <w:kern w:val="0"/>
                <w:sz w:val="23"/>
                <w:szCs w:val="21"/>
                <w:highlight w:val="none"/>
              </w:rPr>
              <w:t>2</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rPr>
            </w:pPr>
            <w:r>
              <w:rPr>
                <w:rFonts w:hint="eastAsia" w:ascii="宋体" w:hAnsi="宋体" w:cs="宋体"/>
                <w:sz w:val="23"/>
                <w:szCs w:val="21"/>
                <w:highlight w:val="none"/>
                <w:lang w:val="en-US" w:eastAsia="zh-CN"/>
              </w:rPr>
              <w:t>固定资产投资项目节能报告评审</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rPr>
            </w:pPr>
            <w:r>
              <w:rPr>
                <w:rFonts w:hint="eastAsia" w:ascii="宋体" w:hAnsi="宋体" w:cs="宋体"/>
                <w:sz w:val="23"/>
                <w:szCs w:val="21"/>
                <w:highlight w:val="none"/>
                <w:lang w:val="en-US" w:eastAsia="zh-CN"/>
              </w:rPr>
              <w:t>固定资产投资项目节能审查</w:t>
            </w:r>
          </w:p>
        </w:tc>
        <w:tc>
          <w:tcPr>
            <w:tcW w:w="1462" w:type="dxa"/>
            <w:tcBorders>
              <w:top w:val="nil"/>
              <w:left w:val="nil"/>
              <w:bottom w:val="single" w:color="auto" w:sz="4" w:space="0"/>
              <w:right w:val="single" w:color="auto" w:sz="4" w:space="0"/>
            </w:tcBorders>
            <w:noWrap w:val="0"/>
            <w:vAlign w:val="center"/>
          </w:tcPr>
          <w:p>
            <w:pPr>
              <w:adjustRightInd w:val="0"/>
              <w:snapToGrid w:val="0"/>
              <w:spacing w:line="320" w:lineRule="exact"/>
              <w:jc w:val="center"/>
              <w:rPr>
                <w:rFonts w:hint="eastAsia" w:ascii="宋体" w:hAnsi="宋体" w:cs="宋体"/>
                <w:sz w:val="23"/>
                <w:szCs w:val="21"/>
                <w:highlight w:val="none"/>
              </w:rPr>
            </w:pPr>
            <w:r>
              <w:rPr>
                <w:rFonts w:hint="eastAsia" w:ascii="宋体" w:hAnsi="宋体" w:cs="宋体"/>
                <w:sz w:val="23"/>
                <w:szCs w:val="21"/>
                <w:highlight w:val="none"/>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ind w:left="-42" w:leftChars="-20" w:right="-42" w:rightChars="-20"/>
              <w:jc w:val="center"/>
              <w:rPr>
                <w:rFonts w:hint="eastAsia" w:ascii="宋体" w:hAnsi="宋体" w:cs="宋体"/>
                <w:kern w:val="0"/>
                <w:sz w:val="23"/>
                <w:szCs w:val="21"/>
                <w:highlight w:val="none"/>
              </w:rPr>
            </w:pPr>
            <w:r>
              <w:rPr>
                <w:rFonts w:hint="eastAsia" w:ascii="宋体" w:hAnsi="宋体" w:cs="宋体"/>
                <w:kern w:val="0"/>
                <w:sz w:val="23"/>
                <w:szCs w:val="21"/>
                <w:highlight w:val="none"/>
              </w:rPr>
              <w:t>3</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rPr>
            </w:pPr>
            <w:r>
              <w:rPr>
                <w:rFonts w:hint="eastAsia" w:ascii="宋体" w:hAnsi="宋体" w:cs="宋体"/>
                <w:sz w:val="23"/>
                <w:szCs w:val="21"/>
                <w:highlight w:val="none"/>
                <w:lang w:val="en-US" w:eastAsia="zh-CN"/>
              </w:rPr>
              <w:t>粮油质量检验</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rPr>
            </w:pPr>
            <w:r>
              <w:rPr>
                <w:rFonts w:hint="eastAsia" w:ascii="宋体" w:hAnsi="宋体" w:cs="宋体"/>
                <w:sz w:val="23"/>
                <w:szCs w:val="21"/>
                <w:highlight w:val="none"/>
                <w:lang w:val="en-US" w:eastAsia="zh-CN"/>
              </w:rPr>
              <w:t>粮食和物资储备部门涉及粮油质量监管的行政权力事项</w:t>
            </w:r>
          </w:p>
        </w:tc>
        <w:tc>
          <w:tcPr>
            <w:tcW w:w="1462" w:type="dxa"/>
            <w:tcBorders>
              <w:top w:val="nil"/>
              <w:left w:val="nil"/>
              <w:bottom w:val="single" w:color="auto" w:sz="4" w:space="0"/>
              <w:right w:val="single" w:color="auto" w:sz="4" w:space="0"/>
            </w:tcBorders>
            <w:noWrap w:val="0"/>
            <w:vAlign w:val="center"/>
          </w:tcPr>
          <w:p>
            <w:pPr>
              <w:adjustRightInd w:val="0"/>
              <w:snapToGrid w:val="0"/>
              <w:spacing w:line="320" w:lineRule="exact"/>
              <w:jc w:val="center"/>
              <w:rPr>
                <w:rFonts w:hint="eastAsia" w:ascii="宋体" w:hAnsi="宋体" w:cs="宋体"/>
                <w:sz w:val="23"/>
                <w:szCs w:val="21"/>
                <w:highlight w:val="none"/>
              </w:rPr>
            </w:pPr>
            <w:r>
              <w:rPr>
                <w:rFonts w:hint="eastAsia" w:ascii="宋体" w:hAnsi="宋体" w:cs="宋体"/>
                <w:sz w:val="23"/>
                <w:szCs w:val="21"/>
                <w:highlight w:val="none"/>
              </w:rPr>
              <w:t>行政机关</w:t>
            </w:r>
          </w:p>
        </w:tc>
      </w:tr>
      <w:tr>
        <w:tblPrEx>
          <w:tblCellMar>
            <w:top w:w="0" w:type="dxa"/>
            <w:left w:w="108" w:type="dxa"/>
            <w:bottom w:w="0" w:type="dxa"/>
            <w:right w:w="108" w:type="dxa"/>
          </w:tblCellMar>
        </w:tblPrEx>
        <w:trPr>
          <w:trHeight w:val="680" w:hRule="atLeast"/>
          <w:jc w:val="center"/>
        </w:trPr>
        <w:tc>
          <w:tcPr>
            <w:tcW w:w="990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left="-42" w:leftChars="-20" w:right="-42" w:rightChars="-20"/>
              <w:jc w:val="center"/>
              <w:rPr>
                <w:rFonts w:hint="eastAsia" w:ascii="宋体" w:hAnsi="宋体" w:eastAsia="宋体" w:cs="宋体"/>
                <w:b/>
                <w:bCs/>
                <w:kern w:val="0"/>
                <w:sz w:val="23"/>
                <w:szCs w:val="21"/>
                <w:highlight w:val="none"/>
                <w:lang w:eastAsia="zh-CN"/>
              </w:rPr>
            </w:pPr>
            <w:r>
              <w:rPr>
                <w:rFonts w:hint="eastAsia" w:ascii="宋体" w:hAnsi="宋体" w:cs="宋体"/>
                <w:b/>
                <w:bCs/>
                <w:kern w:val="0"/>
                <w:sz w:val="23"/>
                <w:szCs w:val="21"/>
                <w:highlight w:val="none"/>
              </w:rPr>
              <w:t>二、</w:t>
            </w:r>
            <w:r>
              <w:rPr>
                <w:rFonts w:hint="eastAsia" w:ascii="宋体" w:hAnsi="宋体" w:cs="宋体"/>
                <w:b/>
                <w:bCs/>
                <w:kern w:val="0"/>
                <w:sz w:val="23"/>
                <w:szCs w:val="21"/>
                <w:highlight w:val="none"/>
                <w:lang w:eastAsia="zh-CN"/>
              </w:rPr>
              <w:t>市教体局</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kern w:val="0"/>
                <w:sz w:val="23"/>
                <w:szCs w:val="21"/>
                <w:highlight w:val="none"/>
              </w:rPr>
            </w:pPr>
            <w:r>
              <w:rPr>
                <w:rFonts w:hint="eastAsia" w:ascii="宋体" w:hAnsi="宋体" w:cs="宋体"/>
                <w:sz w:val="23"/>
                <w:szCs w:val="21"/>
                <w:highlight w:val="none"/>
              </w:rPr>
              <w:t>4</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kern w:val="0"/>
                <w:sz w:val="23"/>
                <w:szCs w:val="21"/>
                <w:highlight w:val="none"/>
              </w:rPr>
            </w:pPr>
            <w:r>
              <w:rPr>
                <w:rFonts w:hint="eastAsia" w:ascii="宋体" w:hAnsi="宋体" w:cs="宋体"/>
                <w:sz w:val="23"/>
                <w:szCs w:val="21"/>
                <w:highlight w:val="none"/>
              </w:rPr>
              <w:t>教师资格认定体检证明出具</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kern w:val="0"/>
                <w:sz w:val="23"/>
                <w:szCs w:val="21"/>
                <w:highlight w:val="none"/>
              </w:rPr>
            </w:pPr>
            <w:r>
              <w:rPr>
                <w:rFonts w:hint="eastAsia" w:ascii="宋体" w:hAnsi="宋体" w:cs="宋体"/>
                <w:sz w:val="23"/>
                <w:szCs w:val="21"/>
                <w:highlight w:val="none"/>
              </w:rPr>
              <w:t>教师资格认定</w:t>
            </w:r>
          </w:p>
        </w:tc>
        <w:tc>
          <w:tcPr>
            <w:tcW w:w="1462" w:type="dxa"/>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cs="宋体"/>
                <w:kern w:val="0"/>
                <w:sz w:val="23"/>
                <w:szCs w:val="21"/>
                <w:highlight w:val="none"/>
              </w:rPr>
            </w:pPr>
            <w:r>
              <w:rPr>
                <w:rFonts w:hint="eastAsia" w:ascii="宋体" w:hAnsi="宋体" w:cs="宋体"/>
                <w:sz w:val="23"/>
                <w:szCs w:val="21"/>
                <w:highlight w:val="none"/>
              </w:rPr>
              <w:t>行政相对人</w:t>
            </w:r>
          </w:p>
        </w:tc>
      </w:tr>
      <w:tr>
        <w:tblPrEx>
          <w:tblCellMar>
            <w:top w:w="0" w:type="dxa"/>
            <w:left w:w="108" w:type="dxa"/>
            <w:bottom w:w="0" w:type="dxa"/>
            <w:right w:w="108" w:type="dxa"/>
          </w:tblCellMar>
        </w:tblPrEx>
        <w:trPr>
          <w:trHeight w:val="680" w:hRule="atLeast"/>
          <w:jc w:val="center"/>
        </w:trPr>
        <w:tc>
          <w:tcPr>
            <w:tcW w:w="9904" w:type="dxa"/>
            <w:gridSpan w:val="4"/>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3"/>
                <w:szCs w:val="21"/>
                <w:highlight w:val="none"/>
              </w:rPr>
            </w:pPr>
            <w:r>
              <w:rPr>
                <w:rFonts w:hint="eastAsia" w:ascii="宋体" w:hAnsi="宋体" w:cs="宋体"/>
                <w:b/>
                <w:bCs/>
                <w:kern w:val="0"/>
                <w:sz w:val="23"/>
                <w:szCs w:val="21"/>
                <w:highlight w:val="none"/>
              </w:rPr>
              <w:t>三、市经信局</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ascii="宋体" w:hAnsi="宋体" w:cs="宋体"/>
                <w:sz w:val="23"/>
                <w:szCs w:val="21"/>
                <w:highlight w:val="none"/>
              </w:rPr>
            </w:pPr>
            <w:r>
              <w:rPr>
                <w:rFonts w:hint="eastAsia" w:ascii="宋体" w:hAnsi="宋体" w:cs="宋体"/>
                <w:sz w:val="23"/>
                <w:szCs w:val="21"/>
                <w:highlight w:val="none"/>
              </w:rPr>
              <w:t>5</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rPr>
            </w:pPr>
            <w:r>
              <w:rPr>
                <w:rFonts w:hint="default" w:ascii="宋体" w:hAnsi="宋体" w:cs="宋体"/>
                <w:sz w:val="23"/>
                <w:szCs w:val="21"/>
                <w:highlight w:val="none"/>
                <w:lang w:val="en-US" w:eastAsia="zh-CN"/>
              </w:rPr>
              <w:t>非煤矿山建设项目初步设计编制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rPr>
            </w:pPr>
            <w:r>
              <w:rPr>
                <w:rFonts w:hint="default" w:ascii="宋体" w:hAnsi="宋体" w:cs="宋体"/>
                <w:sz w:val="23"/>
                <w:szCs w:val="21"/>
                <w:highlight w:val="none"/>
                <w:lang w:val="en-US" w:eastAsia="zh-CN"/>
              </w:rPr>
              <w:t>权责内非煤矿山新建、扩建、改建项目设计文件审查</w:t>
            </w:r>
          </w:p>
        </w:tc>
        <w:tc>
          <w:tcPr>
            <w:tcW w:w="1462" w:type="dxa"/>
            <w:tcBorders>
              <w:top w:val="nil"/>
              <w:left w:val="nil"/>
              <w:bottom w:val="single" w:color="auto" w:sz="4" w:space="0"/>
              <w:right w:val="single" w:color="auto" w:sz="4" w:space="0"/>
            </w:tcBorders>
            <w:noWrap w:val="0"/>
            <w:vAlign w:val="center"/>
          </w:tcPr>
          <w:p>
            <w:pPr>
              <w:adjustRightInd w:val="0"/>
              <w:snapToGrid w:val="0"/>
              <w:spacing w:line="320" w:lineRule="exact"/>
              <w:jc w:val="center"/>
              <w:rPr>
                <w:rFonts w:hint="eastAsia" w:ascii="宋体" w:hAnsi="宋体" w:cs="宋体"/>
                <w:sz w:val="23"/>
                <w:szCs w:val="21"/>
                <w:highlight w:val="none"/>
              </w:rPr>
            </w:pPr>
            <w:r>
              <w:rPr>
                <w:rFonts w:hint="eastAsia" w:ascii="宋体" w:hAnsi="宋体" w:cs="宋体"/>
                <w:sz w:val="23"/>
                <w:szCs w:val="21"/>
                <w:highlight w:val="none"/>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ascii="宋体" w:hAnsi="宋体" w:cs="宋体"/>
                <w:sz w:val="23"/>
                <w:szCs w:val="21"/>
                <w:highlight w:val="none"/>
              </w:rPr>
            </w:pPr>
            <w:r>
              <w:rPr>
                <w:rFonts w:hint="eastAsia" w:ascii="宋体" w:hAnsi="宋体" w:cs="宋体"/>
                <w:sz w:val="23"/>
                <w:szCs w:val="21"/>
                <w:highlight w:val="none"/>
              </w:rPr>
              <w:t>6</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rPr>
            </w:pPr>
            <w:r>
              <w:rPr>
                <w:rFonts w:hint="default" w:ascii="宋体" w:hAnsi="宋体" w:cs="宋体"/>
                <w:sz w:val="23"/>
                <w:szCs w:val="21"/>
                <w:highlight w:val="none"/>
                <w:lang w:val="en-US" w:eastAsia="zh-CN"/>
              </w:rPr>
              <w:t>非煤矿山生产能力核定报告编制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rPr>
            </w:pPr>
            <w:r>
              <w:rPr>
                <w:rFonts w:hint="default" w:ascii="宋体" w:hAnsi="宋体" w:cs="宋体"/>
                <w:sz w:val="23"/>
                <w:szCs w:val="21"/>
                <w:highlight w:val="none"/>
                <w:lang w:val="en-US" w:eastAsia="zh-CN"/>
              </w:rPr>
              <w:t>非煤矿山生产能力核定确认</w:t>
            </w:r>
          </w:p>
        </w:tc>
        <w:tc>
          <w:tcPr>
            <w:tcW w:w="1462" w:type="dxa"/>
            <w:tcBorders>
              <w:top w:val="nil"/>
              <w:left w:val="nil"/>
              <w:bottom w:val="single" w:color="auto" w:sz="4" w:space="0"/>
              <w:right w:val="single" w:color="auto" w:sz="4" w:space="0"/>
            </w:tcBorders>
            <w:noWrap w:val="0"/>
            <w:vAlign w:val="center"/>
          </w:tcPr>
          <w:p>
            <w:pPr>
              <w:adjustRightInd w:val="0"/>
              <w:snapToGrid w:val="0"/>
              <w:spacing w:line="320" w:lineRule="exact"/>
              <w:jc w:val="center"/>
              <w:rPr>
                <w:rFonts w:hint="eastAsia" w:ascii="宋体" w:hAnsi="宋体" w:cs="宋体"/>
                <w:sz w:val="23"/>
                <w:szCs w:val="21"/>
                <w:highlight w:val="none"/>
              </w:rPr>
            </w:pPr>
            <w:r>
              <w:rPr>
                <w:rFonts w:hint="eastAsia" w:ascii="宋体" w:hAnsi="宋体" w:cs="宋体"/>
                <w:sz w:val="23"/>
                <w:szCs w:val="21"/>
                <w:highlight w:val="none"/>
              </w:rPr>
              <w:t>行政相对人</w:t>
            </w:r>
          </w:p>
        </w:tc>
      </w:tr>
      <w:tr>
        <w:tblPrEx>
          <w:tblCellMar>
            <w:top w:w="0" w:type="dxa"/>
            <w:left w:w="108" w:type="dxa"/>
            <w:bottom w:w="0" w:type="dxa"/>
            <w:right w:w="108" w:type="dxa"/>
          </w:tblCellMar>
        </w:tblPrEx>
        <w:trPr>
          <w:trHeight w:val="680" w:hRule="atLeast"/>
          <w:jc w:val="center"/>
        </w:trPr>
        <w:tc>
          <w:tcPr>
            <w:tcW w:w="990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left="-42" w:leftChars="-20" w:right="-42" w:rightChars="-20"/>
              <w:jc w:val="center"/>
              <w:rPr>
                <w:rFonts w:hint="eastAsia" w:ascii="宋体" w:hAnsi="宋体" w:cs="宋体"/>
                <w:b/>
                <w:kern w:val="0"/>
                <w:sz w:val="23"/>
                <w:szCs w:val="21"/>
                <w:highlight w:val="none"/>
              </w:rPr>
            </w:pPr>
            <w:r>
              <w:rPr>
                <w:rFonts w:hint="eastAsia" w:ascii="宋体" w:hAnsi="宋体" w:cs="宋体"/>
                <w:b/>
                <w:kern w:val="0"/>
                <w:sz w:val="23"/>
                <w:szCs w:val="21"/>
                <w:highlight w:val="none"/>
              </w:rPr>
              <w:t>四、市公安局</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cs="宋体"/>
                <w:sz w:val="23"/>
                <w:szCs w:val="21"/>
                <w:highlight w:val="none"/>
              </w:rPr>
            </w:pPr>
            <w:r>
              <w:rPr>
                <w:rFonts w:hint="eastAsia" w:ascii="宋体" w:hAnsi="宋体" w:cs="宋体"/>
                <w:kern w:val="0"/>
                <w:sz w:val="23"/>
                <w:szCs w:val="21"/>
                <w:highlight w:val="none"/>
                <w:lang w:bidi="ar"/>
              </w:rPr>
              <w:t>7</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机动车驾驶人身体条件证明出具</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机动车驾驶证核发</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cs="宋体"/>
                <w:sz w:val="23"/>
                <w:szCs w:val="21"/>
                <w:highlight w:val="none"/>
              </w:rPr>
            </w:pPr>
            <w:r>
              <w:rPr>
                <w:rFonts w:hint="eastAsia" w:ascii="宋体" w:hAnsi="宋体" w:cs="宋体"/>
                <w:kern w:val="0"/>
                <w:sz w:val="23"/>
                <w:szCs w:val="21"/>
                <w:highlight w:val="none"/>
                <w:lang w:bidi="ar"/>
              </w:rPr>
              <w:t>8</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爆破设计、施工方案评估报告编制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城市、风景名胜区和重要工程设施附近实施爆破作业审批</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cs="宋体"/>
                <w:sz w:val="23"/>
                <w:szCs w:val="21"/>
                <w:highlight w:val="none"/>
              </w:rPr>
            </w:pPr>
            <w:r>
              <w:rPr>
                <w:rFonts w:hint="eastAsia" w:ascii="宋体" w:hAnsi="宋体" w:cs="宋体"/>
                <w:kern w:val="0"/>
                <w:sz w:val="23"/>
                <w:szCs w:val="21"/>
                <w:highlight w:val="none"/>
                <w:lang w:bidi="ar"/>
              </w:rPr>
              <w:t>9</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涉案物品价格鉴定</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公安机关涉及涉案物品处置的行政权力事项</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cs="宋体"/>
                <w:sz w:val="23"/>
                <w:szCs w:val="21"/>
                <w:highlight w:val="none"/>
              </w:rPr>
            </w:pPr>
            <w:r>
              <w:rPr>
                <w:rFonts w:hint="eastAsia" w:ascii="宋体" w:hAnsi="宋体" w:cs="宋体"/>
                <w:kern w:val="0"/>
                <w:sz w:val="23"/>
                <w:szCs w:val="21"/>
                <w:highlight w:val="none"/>
                <w:lang w:bidi="ar"/>
              </w:rPr>
              <w:t>10</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事故车辆检验鉴定</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公安机关涉及事故车辆处置的行政权力事项</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cs="宋体"/>
                <w:sz w:val="23"/>
                <w:szCs w:val="21"/>
                <w:highlight w:val="none"/>
              </w:rPr>
            </w:pPr>
            <w:r>
              <w:rPr>
                <w:rFonts w:hint="eastAsia" w:ascii="宋体" w:hAnsi="宋体" w:cs="宋体"/>
                <w:kern w:val="0"/>
                <w:sz w:val="23"/>
                <w:szCs w:val="21"/>
                <w:highlight w:val="none"/>
                <w:lang w:bidi="ar"/>
              </w:rPr>
              <w:t>11</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机动车安全技术检验合格证明出具</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机动车检验合格标志核发</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cs="宋体"/>
                <w:sz w:val="23"/>
                <w:szCs w:val="21"/>
                <w:highlight w:val="none"/>
              </w:rPr>
            </w:pPr>
            <w:r>
              <w:rPr>
                <w:rFonts w:hint="eastAsia" w:ascii="宋体" w:hAnsi="宋体" w:cs="宋体"/>
                <w:kern w:val="0"/>
                <w:sz w:val="23"/>
                <w:szCs w:val="21"/>
                <w:highlight w:val="none"/>
                <w:lang w:bidi="ar"/>
              </w:rPr>
              <w:t>12</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驾驶人体内血液内酒精含量检测</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公安机关涉及饮酒后驾驶机动车辆行为监管的行政权力事项</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cs="宋体"/>
                <w:sz w:val="23"/>
                <w:szCs w:val="21"/>
                <w:highlight w:val="none"/>
              </w:rPr>
            </w:pPr>
            <w:r>
              <w:rPr>
                <w:rFonts w:hint="eastAsia" w:ascii="宋体" w:hAnsi="宋体" w:cs="宋体"/>
                <w:kern w:val="0"/>
                <w:sz w:val="23"/>
                <w:szCs w:val="21"/>
                <w:highlight w:val="none"/>
                <w:lang w:bidi="ar"/>
              </w:rPr>
              <w:t>13</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国家管制的精神药品或者麻醉药品测试、检验</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公安机关涉及车辆驾驶人违法使用国家管制的精神药品、麻醉药品的行政权力事项</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cs="宋体"/>
                <w:sz w:val="23"/>
                <w:szCs w:val="21"/>
                <w:highlight w:val="none"/>
              </w:rPr>
            </w:pPr>
            <w:r>
              <w:rPr>
                <w:rFonts w:hint="eastAsia" w:ascii="宋体" w:hAnsi="宋体" w:cs="宋体"/>
                <w:kern w:val="0"/>
                <w:sz w:val="23"/>
                <w:szCs w:val="21"/>
                <w:highlight w:val="none"/>
                <w:lang w:bidi="ar"/>
              </w:rPr>
              <w:t>14</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精神病鉴定</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公安机关涉及精神病人鉴定的行政权力事项</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bidi="ar"/>
              </w:rPr>
              <w:t>15</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伤情鉴定</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对殴打他人、故意伤害等三类行为的处罚</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 xml:space="preserve">行政机关 </w:t>
            </w:r>
          </w:p>
        </w:tc>
      </w:tr>
      <w:tr>
        <w:tblPrEx>
          <w:tblCellMar>
            <w:top w:w="0" w:type="dxa"/>
            <w:left w:w="108" w:type="dxa"/>
            <w:bottom w:w="0" w:type="dxa"/>
            <w:right w:w="108" w:type="dxa"/>
          </w:tblCellMar>
        </w:tblPrEx>
        <w:trPr>
          <w:trHeight w:val="680" w:hRule="atLeast"/>
          <w:jc w:val="center"/>
        </w:trPr>
        <w:tc>
          <w:tcPr>
            <w:tcW w:w="990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left="-42" w:leftChars="-20" w:right="-42" w:rightChars="-20"/>
              <w:jc w:val="center"/>
              <w:rPr>
                <w:rFonts w:hint="eastAsia" w:ascii="宋体" w:hAnsi="宋体" w:cs="宋体"/>
                <w:kern w:val="0"/>
                <w:sz w:val="23"/>
                <w:szCs w:val="21"/>
                <w:highlight w:val="none"/>
              </w:rPr>
            </w:pPr>
            <w:r>
              <w:rPr>
                <w:rFonts w:hint="eastAsia" w:ascii="宋体" w:hAnsi="宋体" w:cs="宋体"/>
                <w:b/>
                <w:kern w:val="0"/>
                <w:sz w:val="23"/>
                <w:szCs w:val="21"/>
                <w:highlight w:val="none"/>
              </w:rPr>
              <w:t>五、市民政局</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eastAsia="宋体" w:cs="宋体"/>
                <w:sz w:val="23"/>
                <w:szCs w:val="21"/>
                <w:highlight w:val="none"/>
                <w:lang w:val="en-US" w:eastAsia="zh-CN"/>
              </w:rPr>
            </w:pPr>
            <w:r>
              <w:rPr>
                <w:rFonts w:hint="eastAsia" w:ascii="宋体" w:hAnsi="宋体" w:cs="宋体"/>
                <w:kern w:val="0"/>
                <w:sz w:val="23"/>
                <w:szCs w:val="21"/>
                <w:highlight w:val="none"/>
                <w:lang w:bidi="ar"/>
              </w:rPr>
              <w:t>1</w:t>
            </w:r>
            <w:r>
              <w:rPr>
                <w:rFonts w:hint="eastAsia" w:ascii="宋体" w:hAnsi="宋体" w:cs="宋体"/>
                <w:kern w:val="0"/>
                <w:sz w:val="23"/>
                <w:szCs w:val="21"/>
                <w:highlight w:val="none"/>
                <w:lang w:val="en-US" w:eastAsia="zh-CN" w:bidi="ar"/>
              </w:rPr>
              <w:t>6</w:t>
            </w:r>
          </w:p>
        </w:tc>
        <w:tc>
          <w:tcPr>
            <w:tcW w:w="3472"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社会团体登记验资</w:t>
            </w:r>
          </w:p>
        </w:tc>
        <w:tc>
          <w:tcPr>
            <w:tcW w:w="4338"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社会团体成立、变更、注销登记及修改章程核准</w:t>
            </w:r>
          </w:p>
        </w:tc>
        <w:tc>
          <w:tcPr>
            <w:tcW w:w="1462"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eastAsia="宋体" w:cs="宋体"/>
                <w:sz w:val="23"/>
                <w:szCs w:val="21"/>
                <w:highlight w:val="none"/>
                <w:lang w:val="en-US" w:eastAsia="zh-CN"/>
              </w:rPr>
            </w:pPr>
            <w:r>
              <w:rPr>
                <w:rFonts w:hint="eastAsia" w:ascii="宋体" w:hAnsi="宋体" w:cs="宋体"/>
                <w:kern w:val="0"/>
                <w:sz w:val="23"/>
                <w:szCs w:val="21"/>
                <w:highlight w:val="none"/>
                <w:lang w:bidi="ar"/>
              </w:rPr>
              <w:t>1</w:t>
            </w:r>
            <w:r>
              <w:rPr>
                <w:rFonts w:hint="eastAsia" w:ascii="宋体" w:hAnsi="宋体" w:cs="宋体"/>
                <w:kern w:val="0"/>
                <w:sz w:val="23"/>
                <w:szCs w:val="21"/>
                <w:highlight w:val="none"/>
                <w:lang w:val="en-US" w:eastAsia="zh-CN" w:bidi="ar"/>
              </w:rPr>
              <w:t>7</w:t>
            </w:r>
          </w:p>
        </w:tc>
        <w:tc>
          <w:tcPr>
            <w:tcW w:w="3472"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民办非企业单位登记验资</w:t>
            </w:r>
          </w:p>
        </w:tc>
        <w:tc>
          <w:tcPr>
            <w:tcW w:w="4338"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民办非企业单位成立、变更、注销登记及修改章程核准</w:t>
            </w:r>
          </w:p>
        </w:tc>
        <w:tc>
          <w:tcPr>
            <w:tcW w:w="1462"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18</w:t>
            </w:r>
          </w:p>
        </w:tc>
        <w:tc>
          <w:tcPr>
            <w:tcW w:w="3472"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社会团体法定代表人离任审计</w:t>
            </w:r>
          </w:p>
        </w:tc>
        <w:tc>
          <w:tcPr>
            <w:tcW w:w="4338"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社会团体成立、变更、注销登记及修改章程核准</w:t>
            </w:r>
          </w:p>
        </w:tc>
        <w:tc>
          <w:tcPr>
            <w:tcW w:w="1462"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19</w:t>
            </w:r>
          </w:p>
        </w:tc>
        <w:tc>
          <w:tcPr>
            <w:tcW w:w="3472"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民办非企业单位法定代表人离任审计</w:t>
            </w:r>
          </w:p>
        </w:tc>
        <w:tc>
          <w:tcPr>
            <w:tcW w:w="4338"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民办非企业单位成立、变更、注销登记及修改章程核准</w:t>
            </w:r>
          </w:p>
        </w:tc>
        <w:tc>
          <w:tcPr>
            <w:tcW w:w="1462"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cs="宋体"/>
                <w:sz w:val="23"/>
                <w:szCs w:val="21"/>
                <w:highlight w:val="none"/>
              </w:rPr>
            </w:pPr>
            <w:r>
              <w:rPr>
                <w:rFonts w:hint="eastAsia" w:ascii="宋体" w:hAnsi="宋体" w:cs="宋体"/>
                <w:kern w:val="0"/>
                <w:sz w:val="23"/>
                <w:szCs w:val="21"/>
                <w:highlight w:val="none"/>
                <w:lang w:bidi="ar"/>
              </w:rPr>
              <w:t>20</w:t>
            </w:r>
          </w:p>
        </w:tc>
        <w:tc>
          <w:tcPr>
            <w:tcW w:w="3472"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社会团体注销清算报告审计</w:t>
            </w:r>
          </w:p>
        </w:tc>
        <w:tc>
          <w:tcPr>
            <w:tcW w:w="4338"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社会团体成立、变更、注销登记及修改章程核准</w:t>
            </w:r>
          </w:p>
        </w:tc>
        <w:tc>
          <w:tcPr>
            <w:tcW w:w="1462"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cs="宋体"/>
                <w:sz w:val="23"/>
                <w:szCs w:val="21"/>
                <w:highlight w:val="none"/>
              </w:rPr>
            </w:pPr>
            <w:r>
              <w:rPr>
                <w:rFonts w:hint="eastAsia" w:ascii="宋体" w:hAnsi="宋体" w:cs="宋体"/>
                <w:kern w:val="0"/>
                <w:sz w:val="23"/>
                <w:szCs w:val="21"/>
                <w:highlight w:val="none"/>
                <w:lang w:bidi="ar"/>
              </w:rPr>
              <w:t>21</w:t>
            </w:r>
          </w:p>
        </w:tc>
        <w:tc>
          <w:tcPr>
            <w:tcW w:w="3472"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民办非企业单位注销清算报告审计</w:t>
            </w:r>
          </w:p>
        </w:tc>
        <w:tc>
          <w:tcPr>
            <w:tcW w:w="4338"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民办非企业单位成立、变更、注销登记及修改章程核准</w:t>
            </w:r>
          </w:p>
        </w:tc>
        <w:tc>
          <w:tcPr>
            <w:tcW w:w="1462"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cs="宋体"/>
                <w:sz w:val="23"/>
                <w:szCs w:val="21"/>
                <w:highlight w:val="none"/>
              </w:rPr>
            </w:pPr>
            <w:r>
              <w:rPr>
                <w:rFonts w:hint="eastAsia" w:ascii="宋体" w:hAnsi="宋体" w:cs="宋体"/>
                <w:kern w:val="0"/>
                <w:sz w:val="23"/>
                <w:szCs w:val="21"/>
                <w:highlight w:val="none"/>
                <w:lang w:bidi="ar"/>
              </w:rPr>
              <w:t>22</w:t>
            </w:r>
          </w:p>
        </w:tc>
        <w:tc>
          <w:tcPr>
            <w:tcW w:w="3472"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社会团体换届审计</w:t>
            </w:r>
          </w:p>
        </w:tc>
        <w:tc>
          <w:tcPr>
            <w:tcW w:w="4338"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社会团体成立、变更、注销登记及修改章程核准</w:t>
            </w:r>
          </w:p>
        </w:tc>
        <w:tc>
          <w:tcPr>
            <w:tcW w:w="1462"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行政机关或行政相对人</w:t>
            </w:r>
          </w:p>
        </w:tc>
      </w:tr>
      <w:tr>
        <w:tblPrEx>
          <w:tblCellMar>
            <w:top w:w="0" w:type="dxa"/>
            <w:left w:w="108" w:type="dxa"/>
            <w:bottom w:w="0" w:type="dxa"/>
            <w:right w:w="108" w:type="dxa"/>
          </w:tblCellMar>
        </w:tblPrEx>
        <w:trPr>
          <w:trHeight w:val="680" w:hRule="atLeast"/>
          <w:jc w:val="center"/>
        </w:trPr>
        <w:tc>
          <w:tcPr>
            <w:tcW w:w="9904" w:type="dxa"/>
            <w:gridSpan w:val="4"/>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3"/>
                <w:szCs w:val="21"/>
                <w:highlight w:val="none"/>
              </w:rPr>
            </w:pPr>
            <w:r>
              <w:rPr>
                <w:rFonts w:hint="eastAsia" w:ascii="宋体" w:hAnsi="宋体" w:cs="宋体"/>
                <w:b/>
                <w:kern w:val="0"/>
                <w:sz w:val="23"/>
                <w:szCs w:val="21"/>
                <w:highlight w:val="none"/>
              </w:rPr>
              <w:t>六、市司法局</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eastAsia="宋体" w:cs="宋体"/>
                <w:kern w:val="0"/>
                <w:sz w:val="23"/>
                <w:szCs w:val="21"/>
                <w:highlight w:val="none"/>
                <w:lang w:val="en-US" w:eastAsia="zh-CN" w:bidi="ar"/>
              </w:rPr>
            </w:pPr>
            <w:r>
              <w:rPr>
                <w:rFonts w:ascii="宋体" w:hAnsi="宋体" w:cs="宋体"/>
                <w:kern w:val="0"/>
                <w:sz w:val="23"/>
                <w:szCs w:val="21"/>
                <w:highlight w:val="none"/>
                <w:lang w:val="en" w:bidi="ar"/>
              </w:rPr>
              <w:t>2</w:t>
            </w:r>
            <w:r>
              <w:rPr>
                <w:rFonts w:hint="eastAsia" w:ascii="宋体" w:hAnsi="宋体" w:cs="宋体"/>
                <w:kern w:val="0"/>
                <w:sz w:val="23"/>
                <w:szCs w:val="21"/>
                <w:highlight w:val="none"/>
                <w:lang w:val="en-US" w:eastAsia="zh-CN" w:bidi="ar"/>
              </w:rPr>
              <w:t>3</w:t>
            </w:r>
          </w:p>
        </w:tc>
        <w:tc>
          <w:tcPr>
            <w:tcW w:w="3472"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bidi="ar"/>
              </w:rPr>
              <w:t>律师事务所及其分所设立资产证明</w:t>
            </w:r>
          </w:p>
        </w:tc>
        <w:tc>
          <w:tcPr>
            <w:tcW w:w="4338"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bidi="ar"/>
              </w:rPr>
              <w:t>律师事务所及其分所设立初审</w:t>
            </w:r>
          </w:p>
        </w:tc>
        <w:tc>
          <w:tcPr>
            <w:tcW w:w="1462" w:type="dxa"/>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cs="宋体"/>
                <w:sz w:val="23"/>
                <w:szCs w:val="21"/>
                <w:highlight w:val="none"/>
              </w:rPr>
            </w:pPr>
            <w:r>
              <w:rPr>
                <w:rFonts w:hint="eastAsia" w:ascii="宋体" w:hAnsi="宋体" w:cs="宋体"/>
                <w:kern w:val="0"/>
                <w:sz w:val="23"/>
                <w:szCs w:val="21"/>
                <w:highlight w:val="none"/>
                <w:lang w:bidi="ar"/>
              </w:rPr>
              <w:t>行政相对人</w:t>
            </w:r>
          </w:p>
        </w:tc>
      </w:tr>
      <w:tr>
        <w:tblPrEx>
          <w:tblCellMar>
            <w:top w:w="0" w:type="dxa"/>
            <w:left w:w="108" w:type="dxa"/>
            <w:bottom w:w="0" w:type="dxa"/>
            <w:right w:w="108" w:type="dxa"/>
          </w:tblCellMar>
        </w:tblPrEx>
        <w:trPr>
          <w:trHeight w:val="680" w:hRule="atLeast"/>
          <w:jc w:val="center"/>
        </w:trPr>
        <w:tc>
          <w:tcPr>
            <w:tcW w:w="9904" w:type="dxa"/>
            <w:gridSpan w:val="4"/>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kern w:val="0"/>
                <w:sz w:val="23"/>
                <w:szCs w:val="21"/>
                <w:highlight w:val="none"/>
                <w:lang w:eastAsia="zh-CN" w:bidi="ar"/>
              </w:rPr>
            </w:pPr>
            <w:r>
              <w:rPr>
                <w:rFonts w:hint="eastAsia" w:ascii="宋体" w:hAnsi="宋体" w:cs="宋体"/>
                <w:b/>
                <w:kern w:val="0"/>
                <w:sz w:val="23"/>
                <w:szCs w:val="21"/>
                <w:highlight w:val="none"/>
              </w:rPr>
              <w:t>七、市财政局</w:t>
            </w:r>
            <w:r>
              <w:rPr>
                <w:rFonts w:hint="eastAsia" w:ascii="宋体" w:hAnsi="宋体" w:cs="宋体"/>
                <w:b/>
                <w:kern w:val="0"/>
                <w:sz w:val="23"/>
                <w:szCs w:val="21"/>
                <w:highlight w:val="none"/>
                <w:lang w:eastAsia="zh-CN"/>
              </w:rPr>
              <w:t>（市政府国资委）</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eastAsia="宋体" w:cs="宋体"/>
                <w:kern w:val="0"/>
                <w:sz w:val="23"/>
                <w:szCs w:val="21"/>
                <w:highlight w:val="none"/>
                <w:lang w:val="en-US" w:eastAsia="zh-CN" w:bidi="ar"/>
              </w:rPr>
            </w:pPr>
            <w:r>
              <w:rPr>
                <w:rFonts w:ascii="宋体" w:hAnsi="宋体" w:cs="宋体"/>
                <w:kern w:val="0"/>
                <w:sz w:val="23"/>
                <w:szCs w:val="21"/>
                <w:highlight w:val="none"/>
                <w:lang w:val="en" w:bidi="ar"/>
              </w:rPr>
              <w:t>2</w:t>
            </w:r>
            <w:r>
              <w:rPr>
                <w:rFonts w:hint="eastAsia" w:ascii="宋体" w:hAnsi="宋体" w:cs="宋体"/>
                <w:kern w:val="0"/>
                <w:sz w:val="23"/>
                <w:szCs w:val="21"/>
                <w:highlight w:val="none"/>
                <w:lang w:val="en-US" w:eastAsia="zh-CN" w:bidi="ar"/>
              </w:rPr>
              <w:t>4</w:t>
            </w:r>
          </w:p>
        </w:tc>
        <w:tc>
          <w:tcPr>
            <w:tcW w:w="3472"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使用政府性资金的部门、单位的财务鉴证</w:t>
            </w:r>
          </w:p>
        </w:tc>
        <w:tc>
          <w:tcPr>
            <w:tcW w:w="4338"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财政部门涉及政府性资金监管的行政权力事项</w:t>
            </w:r>
          </w:p>
        </w:tc>
        <w:tc>
          <w:tcPr>
            <w:tcW w:w="1462"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25</w:t>
            </w:r>
          </w:p>
        </w:tc>
        <w:tc>
          <w:tcPr>
            <w:tcW w:w="3472"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企业国有资产评估</w:t>
            </w:r>
          </w:p>
        </w:tc>
        <w:tc>
          <w:tcPr>
            <w:tcW w:w="4338"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国有资产评估项目核准和备案</w:t>
            </w:r>
          </w:p>
        </w:tc>
        <w:tc>
          <w:tcPr>
            <w:tcW w:w="1462"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行政相对人委托</w:t>
            </w:r>
          </w:p>
        </w:tc>
      </w:tr>
      <w:tr>
        <w:tblPrEx>
          <w:tblCellMar>
            <w:top w:w="0" w:type="dxa"/>
            <w:left w:w="108" w:type="dxa"/>
            <w:bottom w:w="0" w:type="dxa"/>
            <w:right w:w="108" w:type="dxa"/>
          </w:tblCellMar>
        </w:tblPrEx>
        <w:trPr>
          <w:trHeight w:val="680" w:hRule="atLeast"/>
          <w:jc w:val="center"/>
        </w:trPr>
        <w:tc>
          <w:tcPr>
            <w:tcW w:w="990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left="-42" w:leftChars="-20" w:right="-42" w:rightChars="-20"/>
              <w:jc w:val="center"/>
              <w:rPr>
                <w:rFonts w:hint="eastAsia" w:ascii="宋体" w:hAnsi="宋体" w:cs="宋体"/>
                <w:kern w:val="0"/>
                <w:sz w:val="23"/>
                <w:szCs w:val="21"/>
                <w:highlight w:val="none"/>
              </w:rPr>
            </w:pPr>
            <w:r>
              <w:rPr>
                <w:rFonts w:hint="eastAsia" w:ascii="宋体" w:hAnsi="宋体" w:cs="宋体"/>
                <w:b/>
                <w:kern w:val="0"/>
                <w:sz w:val="23"/>
                <w:szCs w:val="21"/>
                <w:highlight w:val="none"/>
              </w:rPr>
              <w:t>八、市人社局</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26</w:t>
            </w:r>
          </w:p>
        </w:tc>
        <w:tc>
          <w:tcPr>
            <w:tcW w:w="347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劳务派遣机构注册资本验资报告或审计报告编制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劳务派遣经营许可</w:t>
            </w:r>
          </w:p>
        </w:tc>
        <w:tc>
          <w:tcPr>
            <w:tcW w:w="146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9904" w:type="dxa"/>
            <w:gridSpan w:val="4"/>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cs="宋体"/>
                <w:kern w:val="0"/>
                <w:sz w:val="23"/>
                <w:szCs w:val="21"/>
                <w:highlight w:val="none"/>
                <w:lang w:bidi="ar"/>
              </w:rPr>
            </w:pPr>
            <w:r>
              <w:rPr>
                <w:rFonts w:hint="eastAsia" w:ascii="宋体" w:hAnsi="宋体" w:cs="宋体"/>
                <w:b/>
                <w:kern w:val="0"/>
                <w:sz w:val="23"/>
                <w:szCs w:val="21"/>
                <w:highlight w:val="none"/>
              </w:rPr>
              <w:t>九、市自然资源局</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27</w:t>
            </w:r>
          </w:p>
        </w:tc>
        <w:tc>
          <w:tcPr>
            <w:tcW w:w="347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建设项目规划选址综合论证报告编制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建设项目用地预审与选址意见书核发</w:t>
            </w:r>
          </w:p>
        </w:tc>
        <w:tc>
          <w:tcPr>
            <w:tcW w:w="146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28</w:t>
            </w:r>
          </w:p>
        </w:tc>
        <w:tc>
          <w:tcPr>
            <w:tcW w:w="347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矿业权出让收益评估</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勘查矿产资源审批，开采矿产资源审批</w:t>
            </w:r>
          </w:p>
        </w:tc>
        <w:tc>
          <w:tcPr>
            <w:tcW w:w="146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29</w:t>
            </w:r>
          </w:p>
        </w:tc>
        <w:tc>
          <w:tcPr>
            <w:tcW w:w="347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采矿权申请范围核查</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开采矿产资源审批</w:t>
            </w:r>
          </w:p>
        </w:tc>
        <w:tc>
          <w:tcPr>
            <w:tcW w:w="146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30</w:t>
            </w:r>
          </w:p>
        </w:tc>
        <w:tc>
          <w:tcPr>
            <w:tcW w:w="347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土地勘测定界</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自然资源部门涉及土地使用、监管的行政权力事项</w:t>
            </w:r>
          </w:p>
        </w:tc>
        <w:tc>
          <w:tcPr>
            <w:tcW w:w="146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31</w:t>
            </w:r>
          </w:p>
        </w:tc>
        <w:tc>
          <w:tcPr>
            <w:tcW w:w="347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地形图测绘</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建设用地、临时建设用地规划许可</w:t>
            </w:r>
          </w:p>
        </w:tc>
        <w:tc>
          <w:tcPr>
            <w:tcW w:w="146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32</w:t>
            </w:r>
          </w:p>
        </w:tc>
        <w:tc>
          <w:tcPr>
            <w:tcW w:w="347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建设工程设计方案编制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建设工程、临时建设工程规划许可</w:t>
            </w:r>
          </w:p>
        </w:tc>
        <w:tc>
          <w:tcPr>
            <w:tcW w:w="146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33</w:t>
            </w:r>
          </w:p>
        </w:tc>
        <w:tc>
          <w:tcPr>
            <w:tcW w:w="347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修建性详细规划编制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建设工程、临时建设工程规划许可</w:t>
            </w:r>
          </w:p>
        </w:tc>
        <w:tc>
          <w:tcPr>
            <w:tcW w:w="146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34</w:t>
            </w:r>
          </w:p>
        </w:tc>
        <w:tc>
          <w:tcPr>
            <w:tcW w:w="347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建设工程竣工核实技术报告编制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建设工程规划核实</w:t>
            </w:r>
          </w:p>
        </w:tc>
        <w:tc>
          <w:tcPr>
            <w:tcW w:w="146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35</w:t>
            </w:r>
          </w:p>
        </w:tc>
        <w:tc>
          <w:tcPr>
            <w:tcW w:w="347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矿产资源执法勘测及矿产资源破坏价值鉴定报告出具</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自然资源部门涉及矿产资源监管的行政权力事项</w:t>
            </w:r>
          </w:p>
        </w:tc>
        <w:tc>
          <w:tcPr>
            <w:tcW w:w="146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36</w:t>
            </w:r>
          </w:p>
        </w:tc>
        <w:tc>
          <w:tcPr>
            <w:tcW w:w="347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不动产测绘</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不动产登记</w:t>
            </w:r>
          </w:p>
        </w:tc>
        <w:tc>
          <w:tcPr>
            <w:tcW w:w="146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37</w:t>
            </w:r>
          </w:p>
        </w:tc>
        <w:tc>
          <w:tcPr>
            <w:tcW w:w="347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自然资源执法土地测绘</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自然资源部门涉及土地监管的行政权力事项</w:t>
            </w:r>
          </w:p>
        </w:tc>
        <w:tc>
          <w:tcPr>
            <w:tcW w:w="146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38</w:t>
            </w:r>
          </w:p>
        </w:tc>
        <w:tc>
          <w:tcPr>
            <w:tcW w:w="347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自然资源执法矿山测绘</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自然资源部门涉及矿山监管的行政权力事项</w:t>
            </w:r>
          </w:p>
        </w:tc>
        <w:tc>
          <w:tcPr>
            <w:tcW w:w="146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39</w:t>
            </w:r>
          </w:p>
        </w:tc>
        <w:tc>
          <w:tcPr>
            <w:tcW w:w="347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矿产资源储量报告评审</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矿产资源储量评审备案</w:t>
            </w:r>
          </w:p>
        </w:tc>
        <w:tc>
          <w:tcPr>
            <w:tcW w:w="146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40</w:t>
            </w:r>
          </w:p>
        </w:tc>
        <w:tc>
          <w:tcPr>
            <w:tcW w:w="347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土地价格评估</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国有建设用地使用权出让审批</w:t>
            </w:r>
          </w:p>
        </w:tc>
        <w:tc>
          <w:tcPr>
            <w:tcW w:w="146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41</w:t>
            </w:r>
          </w:p>
        </w:tc>
        <w:tc>
          <w:tcPr>
            <w:tcW w:w="347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建筑物放线</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建设工程、临时建设工程规划许可</w:t>
            </w:r>
          </w:p>
        </w:tc>
        <w:tc>
          <w:tcPr>
            <w:tcW w:w="146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990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left="-42" w:leftChars="-20" w:right="-42" w:rightChars="-20"/>
              <w:jc w:val="center"/>
              <w:rPr>
                <w:rFonts w:hint="eastAsia" w:ascii="宋体" w:hAnsi="宋体" w:cs="宋体"/>
                <w:kern w:val="0"/>
                <w:sz w:val="23"/>
                <w:szCs w:val="21"/>
                <w:highlight w:val="none"/>
              </w:rPr>
            </w:pPr>
            <w:r>
              <w:rPr>
                <w:rFonts w:hint="eastAsia" w:ascii="宋体" w:hAnsi="宋体" w:cs="宋体"/>
                <w:b/>
                <w:kern w:val="0"/>
                <w:sz w:val="23"/>
                <w:szCs w:val="21"/>
                <w:highlight w:val="none"/>
              </w:rPr>
              <w:t>十、市生态环境局</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eastAsia="宋体" w:cs="宋体"/>
                <w:sz w:val="23"/>
                <w:szCs w:val="21"/>
                <w:highlight w:val="none"/>
                <w:lang w:val="en-US" w:eastAsia="zh-CN"/>
              </w:rPr>
            </w:pPr>
            <w:r>
              <w:rPr>
                <w:rFonts w:ascii="宋体" w:hAnsi="宋体" w:cs="宋体"/>
                <w:kern w:val="0"/>
                <w:sz w:val="23"/>
                <w:szCs w:val="21"/>
                <w:highlight w:val="none"/>
                <w:lang w:val="en" w:bidi="ar"/>
              </w:rPr>
              <w:t>4</w:t>
            </w:r>
            <w:r>
              <w:rPr>
                <w:rFonts w:hint="eastAsia" w:ascii="宋体" w:hAnsi="宋体" w:cs="宋体"/>
                <w:kern w:val="0"/>
                <w:sz w:val="23"/>
                <w:szCs w:val="21"/>
                <w:highlight w:val="none"/>
                <w:lang w:val="en-US" w:eastAsia="zh-CN" w:bidi="ar"/>
              </w:rPr>
              <w:t>2</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现场执法检查委托取样监测</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1.对造成水污染事故的处罚</w:t>
            </w:r>
            <w:r>
              <w:rPr>
                <w:rFonts w:hint="eastAsia" w:ascii="宋体" w:hAnsi="宋体" w:cs="宋体"/>
                <w:sz w:val="23"/>
                <w:szCs w:val="21"/>
                <w:highlight w:val="none"/>
                <w:lang w:val="en-US" w:eastAsia="zh-CN"/>
              </w:rPr>
              <w:br w:type="textWrapping"/>
            </w:r>
            <w:r>
              <w:rPr>
                <w:rFonts w:hint="eastAsia" w:ascii="宋体" w:hAnsi="宋体" w:cs="宋体"/>
                <w:sz w:val="23"/>
                <w:szCs w:val="21"/>
                <w:highlight w:val="none"/>
                <w:lang w:val="en-US" w:eastAsia="zh-CN"/>
              </w:rPr>
              <w:t>2.对造成大气污染事故的处罚</w:t>
            </w:r>
            <w:r>
              <w:rPr>
                <w:rFonts w:hint="eastAsia" w:ascii="宋体" w:hAnsi="宋体" w:cs="宋体"/>
                <w:sz w:val="23"/>
                <w:szCs w:val="21"/>
                <w:highlight w:val="none"/>
                <w:lang w:val="en-US" w:eastAsia="zh-CN"/>
              </w:rPr>
              <w:br w:type="textWrapping"/>
            </w:r>
            <w:r>
              <w:rPr>
                <w:rFonts w:hint="eastAsia" w:ascii="宋体" w:hAnsi="宋体" w:cs="宋体"/>
                <w:sz w:val="23"/>
                <w:szCs w:val="21"/>
                <w:highlight w:val="none"/>
                <w:lang w:val="en-US" w:eastAsia="zh-CN"/>
              </w:rPr>
              <w:t>3.对造成固体废物污染环境事故的行政处罚</w:t>
            </w:r>
            <w:r>
              <w:rPr>
                <w:rFonts w:hint="eastAsia" w:ascii="宋体" w:hAnsi="宋体" w:cs="宋体"/>
                <w:sz w:val="23"/>
                <w:szCs w:val="21"/>
                <w:highlight w:val="none"/>
                <w:lang w:val="en-US" w:eastAsia="zh-CN"/>
              </w:rPr>
              <w:br w:type="textWrapping"/>
            </w:r>
            <w:r>
              <w:rPr>
                <w:rFonts w:hint="eastAsia" w:ascii="宋体" w:hAnsi="宋体" w:cs="宋体"/>
                <w:sz w:val="23"/>
                <w:szCs w:val="21"/>
                <w:highlight w:val="none"/>
                <w:lang w:val="en-US" w:eastAsia="zh-CN"/>
              </w:rPr>
              <w:t>4.对核设施营运单位未按照规定将其产生的废旧放射源送交贮存、处置等行为的行政处罚</w:t>
            </w:r>
            <w:r>
              <w:rPr>
                <w:rFonts w:hint="eastAsia" w:ascii="宋体" w:hAnsi="宋体" w:cs="宋体"/>
                <w:sz w:val="23"/>
                <w:szCs w:val="21"/>
                <w:highlight w:val="none"/>
                <w:lang w:val="en-US" w:eastAsia="zh-CN"/>
              </w:rPr>
              <w:br w:type="textWrapping"/>
            </w:r>
            <w:r>
              <w:rPr>
                <w:rFonts w:hint="eastAsia" w:ascii="宋体" w:hAnsi="宋体" w:cs="宋体"/>
                <w:sz w:val="23"/>
                <w:szCs w:val="21"/>
                <w:highlight w:val="none"/>
                <w:lang w:val="en-US" w:eastAsia="zh-CN"/>
              </w:rPr>
              <w:t>5.对在放射性物品运输中造成的和与辐射事故的行政处罚</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eastAsia="宋体" w:cs="宋体"/>
                <w:sz w:val="23"/>
                <w:szCs w:val="21"/>
                <w:highlight w:val="none"/>
                <w:lang w:val="en-US" w:eastAsia="zh-CN"/>
              </w:rPr>
            </w:pPr>
            <w:r>
              <w:rPr>
                <w:rFonts w:ascii="宋体" w:hAnsi="宋体" w:cs="宋体"/>
                <w:kern w:val="0"/>
                <w:sz w:val="23"/>
                <w:szCs w:val="21"/>
                <w:highlight w:val="none"/>
                <w:lang w:val="en" w:bidi="ar"/>
              </w:rPr>
              <w:t>4</w:t>
            </w:r>
            <w:r>
              <w:rPr>
                <w:rFonts w:hint="eastAsia" w:ascii="宋体" w:hAnsi="宋体" w:cs="宋体"/>
                <w:kern w:val="0"/>
                <w:sz w:val="23"/>
                <w:szCs w:val="21"/>
                <w:highlight w:val="none"/>
                <w:lang w:val="en-US" w:eastAsia="zh-CN" w:bidi="ar"/>
              </w:rPr>
              <w:t>3</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环境污染损害鉴定评估</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对核设施营运单位未按照规定将其产生的废旧放射源送交贮存、处置等行为的行政处罚</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eastAsia="宋体" w:cs="宋体"/>
                <w:sz w:val="23"/>
                <w:szCs w:val="21"/>
                <w:highlight w:val="none"/>
                <w:lang w:val="en-US" w:eastAsia="zh-CN"/>
              </w:rPr>
            </w:pPr>
            <w:r>
              <w:rPr>
                <w:rFonts w:ascii="宋体" w:hAnsi="宋体" w:cs="宋体"/>
                <w:kern w:val="0"/>
                <w:sz w:val="23"/>
                <w:szCs w:val="21"/>
                <w:highlight w:val="none"/>
                <w:lang w:val="en" w:bidi="ar"/>
              </w:rPr>
              <w:t>4</w:t>
            </w:r>
            <w:r>
              <w:rPr>
                <w:rFonts w:hint="eastAsia" w:ascii="宋体" w:hAnsi="宋体" w:cs="宋体"/>
                <w:kern w:val="0"/>
                <w:sz w:val="23"/>
                <w:szCs w:val="21"/>
                <w:highlight w:val="none"/>
                <w:lang w:val="en-US" w:eastAsia="zh-CN" w:bidi="ar"/>
              </w:rPr>
              <w:t>4</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建设项目环境影响报告书（表）技术评估</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一般建设项目环境影响评价审批、核与辐射类项目环境影响评价审批</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9904" w:type="dxa"/>
            <w:gridSpan w:val="4"/>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3"/>
                <w:szCs w:val="21"/>
                <w:highlight w:val="none"/>
              </w:rPr>
            </w:pPr>
            <w:r>
              <w:rPr>
                <w:rFonts w:hint="eastAsia" w:ascii="宋体" w:hAnsi="宋体" w:cs="宋体"/>
                <w:b/>
                <w:kern w:val="0"/>
                <w:sz w:val="23"/>
                <w:szCs w:val="21"/>
                <w:highlight w:val="none"/>
              </w:rPr>
              <w:t>十一、市住建局</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宋体"/>
                <w:sz w:val="23"/>
                <w:szCs w:val="21"/>
                <w:highlight w:val="none"/>
                <w:lang w:val="en-US" w:eastAsia="zh-CN"/>
              </w:rPr>
            </w:pPr>
            <w:r>
              <w:rPr>
                <w:rFonts w:hint="eastAsia" w:ascii="宋体" w:hAnsi="宋体" w:cs="宋体"/>
                <w:sz w:val="23"/>
                <w:szCs w:val="21"/>
                <w:highlight w:val="none"/>
                <w:lang w:val="en-US" w:eastAsia="zh-CN"/>
              </w:rPr>
              <w:t>45</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施工图设计文件审查</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建筑工程施工许可</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9904" w:type="dxa"/>
            <w:gridSpan w:val="4"/>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3"/>
                <w:szCs w:val="21"/>
                <w:highlight w:val="none"/>
              </w:rPr>
            </w:pPr>
            <w:r>
              <w:rPr>
                <w:rFonts w:hint="eastAsia" w:ascii="宋体" w:hAnsi="宋体" w:cs="宋体"/>
                <w:b/>
                <w:kern w:val="0"/>
                <w:sz w:val="23"/>
                <w:szCs w:val="21"/>
                <w:highlight w:val="none"/>
              </w:rPr>
              <w:t>十二、市交通局</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46</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水运建设项目施工图设计文件审查咨询</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水运建设项目设计文件审批</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47</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水运建设项目初步设计文件技术审查咨询</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水运建设项目设计文件审批</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48</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港口危险货物作业建设项目安全评价</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危险货物港口建设项目安全条件审查</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49</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船员适任培训</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船员适任证书核发</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50</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道路运输车辆技术等级评级</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道路旅客运输经营许可</w:t>
            </w:r>
            <w:r>
              <w:rPr>
                <w:rFonts w:hint="eastAsia" w:ascii="宋体" w:hAnsi="宋体" w:cs="宋体"/>
                <w:sz w:val="23"/>
                <w:szCs w:val="21"/>
                <w:highlight w:val="none"/>
                <w:lang w:val="en-US" w:eastAsia="zh-CN"/>
              </w:rPr>
              <w:br w:type="textWrapping"/>
            </w:r>
            <w:r>
              <w:rPr>
                <w:rFonts w:hint="eastAsia" w:ascii="宋体" w:hAnsi="宋体" w:cs="宋体"/>
                <w:sz w:val="23"/>
                <w:szCs w:val="21"/>
                <w:highlight w:val="none"/>
                <w:lang w:val="en-US" w:eastAsia="zh-CN"/>
              </w:rPr>
              <w:t>道路货物运输经营许可</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51</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危险品罐体检测</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危险货物道路运输经营许可</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52</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公路、水运工程竣(交)工验收质量检测</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公路建设项目竣工验收</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53</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出租汽车里程计价表检定</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水运工程建设项目竣工验收</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9904" w:type="dxa"/>
            <w:gridSpan w:val="4"/>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3"/>
                <w:szCs w:val="21"/>
                <w:highlight w:val="none"/>
              </w:rPr>
            </w:pPr>
            <w:r>
              <w:rPr>
                <w:rFonts w:hint="eastAsia" w:ascii="宋体" w:hAnsi="宋体" w:cs="宋体"/>
                <w:b/>
                <w:kern w:val="0"/>
                <w:sz w:val="23"/>
                <w:szCs w:val="21"/>
                <w:highlight w:val="none"/>
              </w:rPr>
              <w:t>十三、市农业农村局</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spacing w:line="320" w:lineRule="exact"/>
              <w:rPr>
                <w:rFonts w:hint="default" w:ascii="宋体" w:hAnsi="宋体" w:cs="宋体"/>
                <w:sz w:val="23"/>
                <w:szCs w:val="21"/>
                <w:highlight w:val="none"/>
                <w:lang w:val="en-US" w:eastAsia="zh-CN"/>
              </w:rPr>
            </w:pPr>
            <w:r>
              <w:rPr>
                <w:rFonts w:hint="eastAsia" w:ascii="宋体" w:hAnsi="宋体" w:cs="宋体"/>
                <w:sz w:val="23"/>
                <w:szCs w:val="21"/>
                <w:highlight w:val="none"/>
                <w:lang w:val="en-US" w:eastAsia="zh-CN"/>
              </w:rPr>
              <w:t>54</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种子质量检验</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农业农村部门涉及种子质量监管的行政权力事项</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spacing w:line="320" w:lineRule="exact"/>
              <w:rPr>
                <w:rFonts w:hint="default" w:ascii="宋体" w:hAnsi="宋体" w:cs="宋体"/>
                <w:sz w:val="23"/>
                <w:szCs w:val="21"/>
                <w:highlight w:val="none"/>
                <w:lang w:val="en-US" w:eastAsia="zh-CN"/>
              </w:rPr>
            </w:pPr>
            <w:r>
              <w:rPr>
                <w:rFonts w:hint="eastAsia" w:ascii="宋体" w:hAnsi="宋体" w:cs="宋体"/>
                <w:sz w:val="23"/>
                <w:szCs w:val="21"/>
                <w:highlight w:val="none"/>
                <w:lang w:val="en-US" w:eastAsia="zh-CN"/>
              </w:rPr>
              <w:t>55</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兽药质量检测</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农业农村部门涉及兽药质量监管的行政权力事项</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spacing w:line="320" w:lineRule="exact"/>
              <w:rPr>
                <w:rFonts w:hint="default" w:ascii="宋体" w:hAnsi="宋体" w:cs="宋体"/>
                <w:sz w:val="23"/>
                <w:szCs w:val="21"/>
                <w:highlight w:val="none"/>
                <w:lang w:val="en-US" w:eastAsia="zh-CN"/>
              </w:rPr>
            </w:pPr>
            <w:r>
              <w:rPr>
                <w:rFonts w:hint="eastAsia" w:ascii="宋体" w:hAnsi="宋体" w:cs="宋体"/>
                <w:sz w:val="23"/>
                <w:szCs w:val="21"/>
                <w:highlight w:val="none"/>
                <w:lang w:val="en-US" w:eastAsia="zh-CN"/>
              </w:rPr>
              <w:t>56</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肥料产品检测</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农业农村部门涉及肥料监管的行政权力事项</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spacing w:line="320" w:lineRule="exact"/>
              <w:rPr>
                <w:rFonts w:hint="default" w:ascii="宋体" w:hAnsi="宋体" w:cs="宋体"/>
                <w:sz w:val="23"/>
                <w:szCs w:val="21"/>
                <w:highlight w:val="none"/>
                <w:lang w:val="en-US" w:eastAsia="zh-CN"/>
              </w:rPr>
            </w:pPr>
            <w:r>
              <w:rPr>
                <w:rFonts w:hint="eastAsia" w:ascii="宋体" w:hAnsi="宋体" w:cs="宋体"/>
                <w:sz w:val="23"/>
                <w:szCs w:val="21"/>
                <w:highlight w:val="none"/>
                <w:lang w:val="en-US" w:eastAsia="zh-CN"/>
              </w:rPr>
              <w:t>57</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农药检测</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农业农村部门涉及农药监管的行政权力事项</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990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left="-42" w:leftChars="-20" w:right="-42" w:rightChars="-20"/>
              <w:jc w:val="center"/>
              <w:rPr>
                <w:rFonts w:hint="eastAsia" w:ascii="宋体" w:hAnsi="宋体" w:cs="宋体"/>
                <w:kern w:val="0"/>
                <w:sz w:val="23"/>
                <w:szCs w:val="21"/>
                <w:highlight w:val="none"/>
              </w:rPr>
            </w:pPr>
            <w:r>
              <w:rPr>
                <w:rFonts w:hint="eastAsia" w:ascii="宋体" w:hAnsi="宋体" w:cs="宋体"/>
                <w:b/>
                <w:kern w:val="0"/>
                <w:sz w:val="23"/>
                <w:szCs w:val="21"/>
                <w:highlight w:val="none"/>
              </w:rPr>
              <w:t>十四、市水利局</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58</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水利基建项目初步设计文件编制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水利基建项目初步设计文件审批</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59</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水库大坝、水闸安全评价报告编制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水库大坝、水闸安全鉴定</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60</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水利工程建设蓄水安全鉴定报告编制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水利工程政府验收</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61</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水利工程竣工检测报告编制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水利工程政府验收</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62</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农村饮水安全工程建设项目初步设计报告编制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农村饮水安全工程规模水厂初步设计审核</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63</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小型水库除险加固工程初步设计编制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小型水库除险加固初步设计初审</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64</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企业投资水电项目核准前建设方案（800-2500kW以下）初步设计编制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企业投资水电项目核准前建设方案审查</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65</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中小型泵站更新改造初步设计文件编制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河道及水工程管理范围内的建设项目施工方案审核；水利基建项目初步设计文件审批</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9904" w:type="dxa"/>
            <w:gridSpan w:val="4"/>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3"/>
                <w:szCs w:val="21"/>
                <w:highlight w:val="none"/>
              </w:rPr>
            </w:pPr>
            <w:r>
              <w:rPr>
                <w:rFonts w:hint="eastAsia" w:ascii="宋体" w:hAnsi="宋体" w:cs="宋体"/>
                <w:b/>
                <w:kern w:val="0"/>
                <w:sz w:val="23"/>
                <w:szCs w:val="21"/>
                <w:highlight w:val="none"/>
              </w:rPr>
              <w:t>十五、市商务局</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66</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设立对外劳务合作经营企业的验资报告、财务年度报告出具</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对外劳务合作经营资格审批</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67</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单用途商业预付卡规模发卡企业备案财务审计报告出具</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单用途商业预付卡发卡企业备案</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68</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设立拍卖企业分支机构的年度财务会计报表编制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从事拍卖业务许可</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990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left="-42" w:leftChars="-20" w:right="-42" w:rightChars="-20"/>
              <w:jc w:val="center"/>
              <w:rPr>
                <w:rFonts w:hint="eastAsia" w:ascii="宋体" w:hAnsi="宋体" w:cs="宋体"/>
                <w:kern w:val="0"/>
                <w:sz w:val="23"/>
                <w:szCs w:val="21"/>
                <w:highlight w:val="none"/>
              </w:rPr>
            </w:pPr>
            <w:r>
              <w:rPr>
                <w:rFonts w:hint="eastAsia" w:ascii="宋体" w:hAnsi="宋体" w:cs="宋体"/>
                <w:b/>
                <w:kern w:val="0"/>
                <w:sz w:val="23"/>
                <w:szCs w:val="21"/>
                <w:highlight w:val="none"/>
              </w:rPr>
              <w:t>十六、市卫健委（市中医药局</w:t>
            </w:r>
            <w:r>
              <w:rPr>
                <w:rFonts w:hint="eastAsia" w:ascii="宋体" w:hAnsi="宋体" w:cs="宋体"/>
                <w:b/>
                <w:kern w:val="0"/>
                <w:sz w:val="23"/>
                <w:szCs w:val="21"/>
                <w:highlight w:val="none"/>
                <w:lang w:eastAsia="zh-CN"/>
              </w:rPr>
              <w:t>、市疾控局</w:t>
            </w:r>
            <w:bookmarkStart w:id="0" w:name="_GoBack"/>
            <w:bookmarkEnd w:id="0"/>
            <w:r>
              <w:rPr>
                <w:rFonts w:hint="eastAsia" w:ascii="宋体" w:hAnsi="宋体" w:cs="宋体"/>
                <w:b/>
                <w:kern w:val="0"/>
                <w:sz w:val="23"/>
                <w:szCs w:val="21"/>
                <w:highlight w:val="none"/>
              </w:rPr>
              <w:t>）</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kern w:val="0"/>
                <w:sz w:val="23"/>
                <w:szCs w:val="21"/>
                <w:highlight w:val="none"/>
                <w:lang w:val="en-US" w:eastAsia="zh-CN"/>
              </w:rPr>
            </w:pPr>
            <w:r>
              <w:rPr>
                <w:rFonts w:hint="eastAsia" w:ascii="宋体" w:hAnsi="宋体" w:cs="宋体"/>
                <w:kern w:val="0"/>
                <w:sz w:val="23"/>
                <w:szCs w:val="21"/>
                <w:highlight w:val="none"/>
                <w:lang w:val="en-US" w:eastAsia="zh-CN"/>
              </w:rPr>
              <w:t>69</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医疗机构建设项目放射性职业病危害预评价报告编制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医疗机构建设项目放射性职业病危害预评价报告审核</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kern w:val="0"/>
                <w:sz w:val="23"/>
                <w:szCs w:val="21"/>
                <w:highlight w:val="none"/>
                <w:lang w:val="en-US" w:eastAsia="zh-CN"/>
              </w:rPr>
            </w:pPr>
            <w:r>
              <w:rPr>
                <w:rFonts w:hint="eastAsia" w:ascii="宋体" w:hAnsi="宋体" w:cs="宋体"/>
                <w:kern w:val="0"/>
                <w:sz w:val="23"/>
                <w:szCs w:val="21"/>
                <w:highlight w:val="none"/>
                <w:lang w:val="en-US" w:eastAsia="zh-CN"/>
              </w:rPr>
              <w:t>70</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医疗机构建设项目放射性职业病危害控制效果评价报告编制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职业卫生、放射卫生技术服务机构资质认可；医疗机构建设项目放射性职业病防护设施竣工验收</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kern w:val="0"/>
                <w:sz w:val="23"/>
                <w:szCs w:val="21"/>
                <w:highlight w:val="none"/>
                <w:lang w:val="en-US" w:eastAsia="zh-CN"/>
              </w:rPr>
            </w:pPr>
            <w:r>
              <w:rPr>
                <w:rFonts w:hint="eastAsia" w:ascii="宋体" w:hAnsi="宋体" w:cs="宋体"/>
                <w:kern w:val="0"/>
                <w:sz w:val="23"/>
                <w:szCs w:val="21"/>
                <w:highlight w:val="none"/>
                <w:lang w:val="en-US" w:eastAsia="zh-CN"/>
              </w:rPr>
              <w:t>71</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放射工作人员上岗职业健康体检</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放射源诊疗技术和医用辐射机构许可</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kern w:val="0"/>
                <w:sz w:val="23"/>
                <w:szCs w:val="21"/>
                <w:highlight w:val="none"/>
                <w:lang w:val="en-US" w:eastAsia="zh-CN"/>
              </w:rPr>
            </w:pPr>
            <w:r>
              <w:rPr>
                <w:rFonts w:hint="eastAsia" w:ascii="宋体" w:hAnsi="宋体" w:cs="宋体"/>
                <w:kern w:val="0"/>
                <w:sz w:val="23"/>
                <w:szCs w:val="21"/>
                <w:highlight w:val="none"/>
                <w:lang w:val="en-US" w:eastAsia="zh-CN"/>
              </w:rPr>
              <w:t>72</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医疗机构资产评估报告编制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医疗机构执业登记</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kern w:val="0"/>
                <w:sz w:val="23"/>
                <w:szCs w:val="21"/>
                <w:highlight w:val="none"/>
                <w:lang w:val="en-US" w:eastAsia="zh-CN"/>
              </w:rPr>
            </w:pPr>
            <w:r>
              <w:rPr>
                <w:rFonts w:hint="eastAsia" w:ascii="宋体" w:hAnsi="宋体" w:cs="宋体"/>
                <w:kern w:val="0"/>
                <w:sz w:val="23"/>
                <w:szCs w:val="21"/>
                <w:highlight w:val="none"/>
                <w:lang w:val="en-US" w:eastAsia="zh-CN"/>
              </w:rPr>
              <w:t>73</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对饮用水、涉及饮用水安全产品、消毒产品、血液制品等卫生健康综合执法监督抽检进行检测</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卫生健康部门涉及卫生健康综合执法的行政权力事项</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kern w:val="0"/>
                <w:sz w:val="23"/>
                <w:szCs w:val="21"/>
                <w:highlight w:val="none"/>
                <w:lang w:val="en-US" w:eastAsia="zh-CN"/>
              </w:rPr>
            </w:pPr>
            <w:r>
              <w:rPr>
                <w:rFonts w:hint="eastAsia" w:ascii="宋体" w:hAnsi="宋体" w:cs="宋体"/>
                <w:kern w:val="0"/>
                <w:sz w:val="23"/>
                <w:szCs w:val="21"/>
                <w:highlight w:val="none"/>
                <w:lang w:val="en-US" w:eastAsia="zh-CN"/>
              </w:rPr>
              <w:t>74</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饮用水供水单位水质检验</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饮用水供水单位卫生许可</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9904" w:type="dxa"/>
            <w:gridSpan w:val="4"/>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3"/>
                <w:szCs w:val="21"/>
                <w:highlight w:val="none"/>
              </w:rPr>
            </w:pPr>
            <w:r>
              <w:rPr>
                <w:rFonts w:hint="eastAsia" w:ascii="宋体" w:hAnsi="宋体" w:cs="宋体"/>
                <w:b/>
                <w:kern w:val="0"/>
                <w:sz w:val="23"/>
                <w:szCs w:val="21"/>
                <w:highlight w:val="none"/>
              </w:rPr>
              <w:t>十七、市应急局</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75</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非煤矿矿山建设项目安全预评价</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矿山建设项目安全设施设计审查</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76</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烟花爆竹经营（批发）许可安全评价</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1.烟花爆竹经营许可</w:t>
            </w:r>
            <w:r>
              <w:rPr>
                <w:rFonts w:hint="eastAsia" w:ascii="宋体" w:hAnsi="宋体" w:cs="宋体"/>
                <w:sz w:val="23"/>
                <w:szCs w:val="21"/>
                <w:highlight w:val="none"/>
                <w:lang w:val="en-US" w:eastAsia="zh-CN"/>
              </w:rPr>
              <w:br w:type="textWrapping"/>
            </w:r>
            <w:r>
              <w:rPr>
                <w:rFonts w:hint="eastAsia" w:ascii="宋体" w:hAnsi="宋体" w:cs="宋体"/>
                <w:sz w:val="23"/>
                <w:szCs w:val="21"/>
                <w:highlight w:val="none"/>
                <w:lang w:val="en-US" w:eastAsia="zh-CN"/>
              </w:rPr>
              <w:br w:type="textWrapping"/>
            </w:r>
            <w:r>
              <w:rPr>
                <w:rFonts w:hint="eastAsia" w:ascii="宋体" w:hAnsi="宋体" w:cs="宋体"/>
                <w:sz w:val="23"/>
                <w:szCs w:val="21"/>
                <w:highlight w:val="none"/>
                <w:lang w:val="en-US" w:eastAsia="zh-CN"/>
              </w:rPr>
              <w:t>2.生产、储存烟花爆竹建设项目安全设施设计审查</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77</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非煤矿山、危险化学品、冶金等工贸行业安全标准化评审报告编制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安全生产标准化企业确认（三级标准化企业确认）</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78</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危险化学品经营许可安全评价</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危险化学品经营许可</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79</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危险化学品使用许可安全评价</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危险化学品安全使用许可</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80</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危险化学品建设项目安全条件评价</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生产、储存危险化学品建设项目安全条件审查</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81</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危险化学品建设项目安全验收评价</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 xml:space="preserve"> </w:t>
            </w:r>
            <w:r>
              <w:rPr>
                <w:rFonts w:hint="eastAsia" w:ascii="宋体" w:hAnsi="宋体" w:cs="宋体"/>
                <w:sz w:val="23"/>
                <w:szCs w:val="21"/>
                <w:highlight w:val="none"/>
                <w:lang w:val="en-US" w:eastAsia="zh-CN"/>
              </w:rPr>
              <w:br w:type="textWrapping"/>
            </w:r>
            <w:r>
              <w:rPr>
                <w:rFonts w:hint="eastAsia" w:ascii="宋体" w:hAnsi="宋体" w:cs="宋体"/>
                <w:sz w:val="23"/>
                <w:szCs w:val="21"/>
                <w:highlight w:val="none"/>
                <w:lang w:val="en-US" w:eastAsia="zh-CN"/>
              </w:rPr>
              <w:t>1.危险化学品</w:t>
            </w:r>
            <w:r>
              <w:rPr>
                <w:rFonts w:hint="eastAsia" w:ascii="宋体" w:hAnsi="宋体" w:cs="宋体"/>
                <w:sz w:val="23"/>
                <w:szCs w:val="21"/>
                <w:highlight w:val="none"/>
                <w:lang w:val="en-US" w:eastAsia="zh-CN"/>
              </w:rPr>
              <w:br w:type="textWrapping"/>
            </w:r>
            <w:r>
              <w:rPr>
                <w:rFonts w:hint="eastAsia" w:ascii="宋体" w:hAnsi="宋体" w:cs="宋体"/>
                <w:sz w:val="23"/>
                <w:szCs w:val="21"/>
                <w:highlight w:val="none"/>
                <w:lang w:val="en-US" w:eastAsia="zh-CN"/>
              </w:rPr>
              <w:t>经营许可</w:t>
            </w:r>
            <w:r>
              <w:rPr>
                <w:rFonts w:hint="eastAsia" w:ascii="宋体" w:hAnsi="宋体" w:cs="宋体"/>
                <w:sz w:val="23"/>
                <w:szCs w:val="21"/>
                <w:highlight w:val="none"/>
                <w:lang w:val="en-US" w:eastAsia="zh-CN"/>
              </w:rPr>
              <w:br w:type="textWrapping"/>
            </w:r>
            <w:r>
              <w:rPr>
                <w:rFonts w:hint="eastAsia" w:ascii="宋体" w:hAnsi="宋体" w:cs="宋体"/>
                <w:sz w:val="23"/>
                <w:szCs w:val="21"/>
                <w:highlight w:val="none"/>
                <w:lang w:val="en-US" w:eastAsia="zh-CN"/>
              </w:rPr>
              <w:br w:type="textWrapping"/>
            </w:r>
            <w:r>
              <w:rPr>
                <w:rFonts w:hint="eastAsia" w:ascii="宋体" w:hAnsi="宋体" w:cs="宋体"/>
                <w:sz w:val="23"/>
                <w:szCs w:val="21"/>
                <w:highlight w:val="none"/>
                <w:lang w:val="en-US" w:eastAsia="zh-CN"/>
              </w:rPr>
              <w:t>2.危险化学品安全使用许可</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82</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非煤矿矿山建设项目安全设施设计编制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矿山建设项目安全设施设计审查</w:t>
            </w:r>
          </w:p>
        </w:tc>
        <w:tc>
          <w:tcPr>
            <w:tcW w:w="1462" w:type="dxa"/>
            <w:tcBorders>
              <w:top w:val="nil"/>
              <w:left w:val="nil"/>
              <w:bottom w:val="single" w:color="auto" w:sz="4" w:space="0"/>
              <w:right w:val="single" w:color="auto" w:sz="4" w:space="0"/>
            </w:tcBorders>
            <w:noWrap w:val="0"/>
            <w:vAlign w:val="top"/>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83</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危险化学品建设项目安全设施设计专篇编制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生产、储存危险化学品建设项目安全设施设计审查</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84</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金属冶炼建设项目安全设施设计编制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金属冶炼建设项目安全设施设计审查</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85</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烟花爆竹建设项目安全设施设计专篇编制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生产、储存烟花爆竹建设项目安全设施设计审查</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990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left="-42" w:leftChars="-20" w:right="-42" w:rightChars="-20"/>
              <w:jc w:val="center"/>
              <w:rPr>
                <w:rFonts w:hint="eastAsia" w:ascii="宋体" w:hAnsi="宋体" w:cs="宋体"/>
                <w:kern w:val="0"/>
                <w:sz w:val="23"/>
                <w:szCs w:val="21"/>
                <w:highlight w:val="none"/>
              </w:rPr>
            </w:pPr>
            <w:r>
              <w:rPr>
                <w:rFonts w:hint="eastAsia" w:ascii="宋体" w:hAnsi="宋体" w:cs="宋体"/>
                <w:b/>
                <w:kern w:val="0"/>
                <w:sz w:val="23"/>
                <w:szCs w:val="21"/>
                <w:highlight w:val="none"/>
              </w:rPr>
              <w:t>十八、市市场监管局（市知识产权局）</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kern w:val="0"/>
                <w:sz w:val="23"/>
                <w:szCs w:val="21"/>
                <w:highlight w:val="none"/>
                <w:lang w:val="en-US" w:eastAsia="zh-CN" w:bidi="ar"/>
              </w:rPr>
              <w:t>86</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募集设立的股份有限公司提交依法设立的验资机构出具的验资证明</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企业登记注册</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kern w:val="0"/>
                <w:sz w:val="23"/>
                <w:szCs w:val="21"/>
                <w:highlight w:val="none"/>
                <w:lang w:val="en-US" w:eastAsia="zh-CN" w:bidi="ar"/>
              </w:rPr>
              <w:t>87</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特种设备充装单位鉴定评审</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移动式压力容器、气瓶充装许可（受省市场监管局委托开展气瓶充装许可）</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kern w:val="0"/>
                <w:sz w:val="23"/>
                <w:szCs w:val="21"/>
                <w:highlight w:val="none"/>
                <w:lang w:val="en-US" w:eastAsia="zh-CN" w:bidi="ar"/>
              </w:rPr>
              <w:t>88</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市场监管执法委托检测、检验、检疫、鉴定</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市场监管部门涉及监管执法的行政权力事项</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990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left="-42" w:leftChars="-20" w:right="-42" w:rightChars="-20"/>
              <w:jc w:val="center"/>
              <w:rPr>
                <w:rFonts w:hint="eastAsia" w:ascii="宋体" w:hAnsi="宋体" w:cs="宋体"/>
                <w:kern w:val="0"/>
                <w:sz w:val="23"/>
                <w:szCs w:val="21"/>
                <w:highlight w:val="none"/>
              </w:rPr>
            </w:pPr>
            <w:r>
              <w:rPr>
                <w:rFonts w:hint="eastAsia" w:ascii="宋体" w:hAnsi="宋体" w:cs="宋体"/>
                <w:b/>
                <w:kern w:val="0"/>
                <w:sz w:val="23"/>
                <w:szCs w:val="21"/>
                <w:highlight w:val="none"/>
              </w:rPr>
              <w:t>十九、市城管局</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89</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燃气经营安全评价</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 xml:space="preserve">燃气经营许可证核发 </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kern w:val="0"/>
                <w:sz w:val="23"/>
                <w:szCs w:val="21"/>
                <w:highlight w:val="none"/>
                <w:lang w:val="en-US" w:eastAsia="zh-CN" w:bidi="ar"/>
              </w:rPr>
              <w:t>90</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城管执法委托检测、检验、鉴定、评估</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城市管理领域涉及需要检测、检验、鉴定及评估的行政执法事项</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9904" w:type="dxa"/>
            <w:gridSpan w:val="4"/>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cs="宋体"/>
                <w:kern w:val="0"/>
                <w:sz w:val="23"/>
                <w:szCs w:val="21"/>
                <w:highlight w:val="none"/>
                <w:lang w:bidi="ar"/>
              </w:rPr>
            </w:pPr>
            <w:r>
              <w:rPr>
                <w:rFonts w:hint="eastAsia" w:ascii="宋体" w:hAnsi="宋体" w:cs="宋体"/>
                <w:b/>
                <w:kern w:val="0"/>
                <w:sz w:val="23"/>
                <w:szCs w:val="21"/>
                <w:highlight w:val="none"/>
              </w:rPr>
              <w:t>二十、市金融监管局（市金融办）</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宋体"/>
                <w:sz w:val="23"/>
                <w:szCs w:val="21"/>
                <w:highlight w:val="none"/>
                <w:lang w:val="en-US" w:eastAsia="zh-CN"/>
              </w:rPr>
            </w:pPr>
            <w:r>
              <w:rPr>
                <w:rFonts w:hint="eastAsia" w:ascii="宋体" w:hAnsi="宋体" w:cs="宋体"/>
                <w:sz w:val="23"/>
                <w:szCs w:val="21"/>
                <w:highlight w:val="none"/>
                <w:lang w:val="en-US" w:eastAsia="zh-CN"/>
              </w:rPr>
              <w:t>91</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fldChar w:fldCharType="begin"/>
            </w:r>
            <w:r>
              <w:rPr>
                <w:rFonts w:hint="eastAsia" w:ascii="宋体" w:hAnsi="宋体" w:cs="宋体"/>
                <w:sz w:val="23"/>
                <w:szCs w:val="21"/>
                <w:highlight w:val="none"/>
                <w:lang w:val="en-US" w:eastAsia="zh-CN"/>
              </w:rPr>
              <w:instrText xml:space="preserve"> HYPERLINK "http://www.ahjr.gov.cn/" </w:instrText>
            </w:r>
            <w:r>
              <w:rPr>
                <w:rFonts w:hint="eastAsia" w:ascii="宋体" w:hAnsi="宋体" w:cs="宋体"/>
                <w:sz w:val="23"/>
                <w:szCs w:val="21"/>
                <w:highlight w:val="none"/>
                <w:lang w:val="en-US" w:eastAsia="zh-CN"/>
              </w:rPr>
              <w:fldChar w:fldCharType="separate"/>
            </w:r>
            <w:r>
              <w:rPr>
                <w:rFonts w:hint="eastAsia" w:ascii="宋体" w:hAnsi="宋体" w:cs="宋体"/>
                <w:sz w:val="23"/>
                <w:szCs w:val="21"/>
                <w:highlight w:val="none"/>
                <w:lang w:val="en-US" w:eastAsia="zh-CN"/>
              </w:rPr>
              <w:t xml:space="preserve">典当行年度审计 </w:t>
            </w:r>
            <w:r>
              <w:rPr>
                <w:rFonts w:hint="eastAsia" w:ascii="宋体" w:hAnsi="宋体" w:cs="宋体"/>
                <w:sz w:val="23"/>
                <w:szCs w:val="21"/>
                <w:highlight w:val="none"/>
                <w:lang w:val="en-US" w:eastAsia="zh-CN"/>
              </w:rPr>
              <w:fldChar w:fldCharType="end"/>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典当年审</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fldChar w:fldCharType="begin"/>
            </w:r>
            <w:r>
              <w:rPr>
                <w:rFonts w:hint="eastAsia" w:ascii="宋体" w:hAnsi="宋体" w:cs="宋体"/>
                <w:sz w:val="23"/>
                <w:szCs w:val="21"/>
                <w:highlight w:val="none"/>
                <w:lang w:val="en-US" w:eastAsia="zh-CN"/>
              </w:rPr>
              <w:instrText xml:space="preserve"> HYPERLINK "http://www.ahjr.gov.cn/" </w:instrText>
            </w:r>
            <w:r>
              <w:rPr>
                <w:rFonts w:hint="eastAsia" w:ascii="宋体" w:hAnsi="宋体" w:cs="宋体"/>
                <w:sz w:val="23"/>
                <w:szCs w:val="21"/>
                <w:highlight w:val="none"/>
                <w:lang w:val="en-US" w:eastAsia="zh-CN"/>
              </w:rPr>
              <w:fldChar w:fldCharType="separate"/>
            </w:r>
            <w:r>
              <w:rPr>
                <w:rFonts w:hint="eastAsia" w:ascii="宋体" w:hAnsi="宋体" w:cs="宋体"/>
                <w:sz w:val="23"/>
                <w:szCs w:val="21"/>
                <w:highlight w:val="none"/>
                <w:lang w:val="en-US" w:eastAsia="zh-CN"/>
              </w:rPr>
              <w:t>行政相对人</w:t>
            </w:r>
            <w:r>
              <w:rPr>
                <w:rFonts w:hint="eastAsia" w:ascii="宋体" w:hAnsi="宋体" w:cs="宋体"/>
                <w:sz w:val="23"/>
                <w:szCs w:val="21"/>
                <w:highlight w:val="none"/>
                <w:lang w:val="en-US" w:eastAsia="zh-CN"/>
              </w:rPr>
              <w:fldChar w:fldCharType="end"/>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宋体"/>
                <w:sz w:val="23"/>
                <w:szCs w:val="21"/>
                <w:highlight w:val="none"/>
                <w:lang w:val="en-US" w:eastAsia="zh-CN"/>
              </w:rPr>
            </w:pPr>
            <w:r>
              <w:rPr>
                <w:rFonts w:hint="eastAsia" w:ascii="宋体" w:hAnsi="宋体" w:cs="宋体"/>
                <w:sz w:val="23"/>
                <w:szCs w:val="21"/>
                <w:highlight w:val="none"/>
                <w:lang w:val="en-US" w:eastAsia="zh-CN"/>
              </w:rPr>
              <w:t>92</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出具小额贷款公司验资报告</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小额贷款公司设立与变更备案（设立、变更、取消试点资格）</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fldChar w:fldCharType="begin"/>
            </w:r>
            <w:r>
              <w:rPr>
                <w:rFonts w:hint="eastAsia" w:ascii="宋体" w:hAnsi="宋体" w:cs="宋体"/>
                <w:sz w:val="23"/>
                <w:szCs w:val="21"/>
                <w:highlight w:val="none"/>
                <w:lang w:val="en-US" w:eastAsia="zh-CN"/>
              </w:rPr>
              <w:instrText xml:space="preserve"> HYPERLINK "http://www.ahjr.gov.cn/" \o "http://www.ahjr.gov.cn/" </w:instrText>
            </w:r>
            <w:r>
              <w:rPr>
                <w:rFonts w:hint="eastAsia" w:ascii="宋体" w:hAnsi="宋体" w:cs="宋体"/>
                <w:sz w:val="23"/>
                <w:szCs w:val="21"/>
                <w:highlight w:val="none"/>
                <w:lang w:val="en-US" w:eastAsia="zh-CN"/>
              </w:rPr>
              <w:fldChar w:fldCharType="separate"/>
            </w:r>
            <w:r>
              <w:rPr>
                <w:rFonts w:hint="eastAsia" w:ascii="宋体" w:hAnsi="宋体" w:cs="宋体"/>
                <w:sz w:val="23"/>
                <w:szCs w:val="21"/>
                <w:highlight w:val="none"/>
                <w:lang w:val="en-US" w:eastAsia="zh-CN"/>
              </w:rPr>
              <w:t>行政相对人</w:t>
            </w:r>
            <w:r>
              <w:rPr>
                <w:rFonts w:hint="eastAsia" w:ascii="宋体" w:hAnsi="宋体" w:cs="宋体"/>
                <w:sz w:val="23"/>
                <w:szCs w:val="21"/>
                <w:highlight w:val="none"/>
                <w:lang w:val="en-US" w:eastAsia="zh-CN"/>
              </w:rPr>
              <w:fldChar w:fldCharType="end"/>
            </w:r>
          </w:p>
        </w:tc>
      </w:tr>
      <w:tr>
        <w:tblPrEx>
          <w:tblCellMar>
            <w:top w:w="0" w:type="dxa"/>
            <w:left w:w="108" w:type="dxa"/>
            <w:bottom w:w="0" w:type="dxa"/>
            <w:right w:w="108" w:type="dxa"/>
          </w:tblCellMar>
        </w:tblPrEx>
        <w:trPr>
          <w:trHeight w:val="680" w:hRule="atLeast"/>
          <w:jc w:val="center"/>
        </w:trPr>
        <w:tc>
          <w:tcPr>
            <w:tcW w:w="990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left="-42" w:leftChars="-20" w:right="-42" w:rightChars="-20"/>
              <w:jc w:val="center"/>
              <w:rPr>
                <w:rFonts w:hint="eastAsia" w:ascii="宋体" w:hAnsi="宋体" w:cs="宋体"/>
                <w:kern w:val="0"/>
                <w:sz w:val="23"/>
                <w:szCs w:val="21"/>
                <w:highlight w:val="none"/>
              </w:rPr>
            </w:pPr>
            <w:r>
              <w:rPr>
                <w:rFonts w:hint="eastAsia" w:ascii="宋体" w:hAnsi="宋体" w:cs="宋体"/>
                <w:b/>
                <w:kern w:val="0"/>
                <w:sz w:val="23"/>
                <w:szCs w:val="21"/>
                <w:highlight w:val="none"/>
              </w:rPr>
              <w:t>二十一、市人防办</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93</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人防工程施工图设计文件及平战转换预案编制</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应建防空地下室的民用建筑项目报建审批</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94</w:t>
            </w:r>
          </w:p>
        </w:tc>
        <w:tc>
          <w:tcPr>
            <w:tcW w:w="347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人防工程施工图设计文件审查</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应建防空地下室的民用建筑项目报建审批</w:t>
            </w:r>
          </w:p>
        </w:tc>
        <w:tc>
          <w:tcPr>
            <w:tcW w:w="146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95</w:t>
            </w:r>
          </w:p>
        </w:tc>
        <w:tc>
          <w:tcPr>
            <w:tcW w:w="347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人防工程面积测绘</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人民防空工程竣工验收备案</w:t>
            </w:r>
          </w:p>
        </w:tc>
        <w:tc>
          <w:tcPr>
            <w:tcW w:w="1462"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CellMar>
            <w:top w:w="0" w:type="dxa"/>
            <w:left w:w="108" w:type="dxa"/>
            <w:bottom w:w="0" w:type="dxa"/>
            <w:right w:w="108" w:type="dxa"/>
          </w:tblCellMar>
        </w:tblPrEx>
        <w:trPr>
          <w:trHeight w:val="680" w:hRule="atLeast"/>
          <w:jc w:val="center"/>
        </w:trPr>
        <w:tc>
          <w:tcPr>
            <w:tcW w:w="990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left="-42" w:leftChars="-20" w:right="-42" w:rightChars="-20"/>
              <w:jc w:val="center"/>
              <w:rPr>
                <w:rFonts w:hint="eastAsia" w:ascii="宋体" w:hAnsi="宋体" w:cs="宋体"/>
                <w:kern w:val="0"/>
                <w:sz w:val="23"/>
                <w:szCs w:val="21"/>
                <w:highlight w:val="none"/>
              </w:rPr>
            </w:pPr>
            <w:r>
              <w:rPr>
                <w:rFonts w:hint="eastAsia" w:ascii="宋体" w:hAnsi="宋体" w:cs="宋体"/>
                <w:b/>
                <w:kern w:val="0"/>
                <w:sz w:val="23"/>
                <w:szCs w:val="21"/>
                <w:highlight w:val="none"/>
              </w:rPr>
              <w:t>二十</w:t>
            </w:r>
            <w:r>
              <w:rPr>
                <w:rFonts w:hint="eastAsia" w:ascii="宋体" w:hAnsi="宋体" w:cs="宋体"/>
                <w:b/>
                <w:kern w:val="0"/>
                <w:sz w:val="23"/>
                <w:szCs w:val="21"/>
                <w:highlight w:val="none"/>
                <w:lang w:val="en-US" w:eastAsia="zh-CN"/>
              </w:rPr>
              <w:t>二</w:t>
            </w:r>
            <w:r>
              <w:rPr>
                <w:rFonts w:hint="eastAsia" w:ascii="宋体" w:hAnsi="宋体" w:cs="宋体"/>
                <w:b/>
                <w:kern w:val="0"/>
                <w:sz w:val="23"/>
                <w:szCs w:val="21"/>
                <w:highlight w:val="none"/>
              </w:rPr>
              <w:t>、</w:t>
            </w:r>
            <w:r>
              <w:rPr>
                <w:rFonts w:hint="eastAsia" w:ascii="宋体" w:hAnsi="宋体" w:cs="宋体"/>
                <w:b/>
                <w:kern w:val="0"/>
                <w:sz w:val="23"/>
                <w:szCs w:val="21"/>
                <w:highlight w:val="none"/>
                <w:lang w:eastAsia="zh-CN"/>
              </w:rPr>
              <w:t>六安</w:t>
            </w:r>
            <w:r>
              <w:rPr>
                <w:rFonts w:hint="eastAsia" w:ascii="宋体" w:hAnsi="宋体" w:cs="宋体"/>
                <w:b/>
                <w:kern w:val="0"/>
                <w:sz w:val="23"/>
                <w:szCs w:val="21"/>
                <w:highlight w:val="none"/>
              </w:rPr>
              <w:t>消防救援支队</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96</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火灾物证鉴定</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火灾事故认定、复核</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97</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火灾直接财产损失鉴定</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火灾事故认定、复核</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CellMar>
            <w:top w:w="0" w:type="dxa"/>
            <w:left w:w="108" w:type="dxa"/>
            <w:bottom w:w="0" w:type="dxa"/>
            <w:right w:w="108" w:type="dxa"/>
          </w:tblCellMar>
        </w:tblPrEx>
        <w:trPr>
          <w:trHeight w:val="680" w:hRule="atLeast"/>
          <w:jc w:val="center"/>
        </w:trPr>
        <w:tc>
          <w:tcPr>
            <w:tcW w:w="63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98</w:t>
            </w:r>
          </w:p>
        </w:tc>
        <w:tc>
          <w:tcPr>
            <w:tcW w:w="347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消防产品质量检测</w:t>
            </w:r>
          </w:p>
        </w:tc>
        <w:tc>
          <w:tcPr>
            <w:tcW w:w="4338"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消防部门涉及消防产品质量监管的行政权力事项</w:t>
            </w:r>
          </w:p>
        </w:tc>
        <w:tc>
          <w:tcPr>
            <w:tcW w:w="146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bl>
    <w:p>
      <w:pPr>
        <w:spacing w:line="590" w:lineRule="exact"/>
        <w:jc w:val="center"/>
        <w:rPr>
          <w:rFonts w:eastAsia="方正小标宋_GBK"/>
          <w:sz w:val="44"/>
          <w:szCs w:val="44"/>
          <w:highlight w:val="none"/>
        </w:rPr>
      </w:pPr>
    </w:p>
    <w:p>
      <w:pPr>
        <w:rPr>
          <w:highlight w:val="none"/>
        </w:rPr>
      </w:pPr>
    </w:p>
    <w:p>
      <w:pPr>
        <w:rPr>
          <w:szCs w:val="21"/>
          <w:highlight w:val="none"/>
        </w:rPr>
      </w:pPr>
    </w:p>
    <w:p>
      <w:pPr>
        <w:spacing w:line="590" w:lineRule="exact"/>
        <w:jc w:val="center"/>
        <w:rPr>
          <w:rFonts w:hint="eastAsia" w:eastAsia="方正小标宋_GBK"/>
          <w:sz w:val="36"/>
          <w:szCs w:val="36"/>
          <w:highlight w:val="none"/>
        </w:rPr>
      </w:pPr>
      <w:r>
        <w:rPr>
          <w:rFonts w:eastAsia="方正小标宋_GBK"/>
          <w:sz w:val="44"/>
          <w:szCs w:val="44"/>
          <w:highlight w:val="none"/>
        </w:rPr>
        <w:br w:type="page"/>
      </w:r>
      <w:r>
        <w:rPr>
          <w:rFonts w:hint="eastAsia" w:eastAsia="方正小标宋_GBK"/>
          <w:sz w:val="36"/>
          <w:szCs w:val="36"/>
          <w:highlight w:val="none"/>
        </w:rPr>
        <w:t>规范事项</w:t>
      </w:r>
    </w:p>
    <w:p>
      <w:pPr>
        <w:spacing w:line="590" w:lineRule="exact"/>
        <w:jc w:val="center"/>
        <w:rPr>
          <w:rFonts w:hint="eastAsia" w:eastAsia="方正小标宋_GBK"/>
          <w:sz w:val="36"/>
          <w:szCs w:val="36"/>
          <w:highlight w:val="none"/>
        </w:rPr>
      </w:pPr>
    </w:p>
    <w:tbl>
      <w:tblPr>
        <w:tblStyle w:val="3"/>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376"/>
        <w:gridCol w:w="2517"/>
        <w:gridCol w:w="4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734" w:type="dxa"/>
            <w:noWrap w:val="0"/>
            <w:vAlign w:val="center"/>
          </w:tcPr>
          <w:p>
            <w:pPr>
              <w:widowControl/>
              <w:spacing w:line="320" w:lineRule="exact"/>
              <w:ind w:left="-42" w:leftChars="-20" w:right="-42" w:rightChars="-20"/>
              <w:jc w:val="center"/>
              <w:rPr>
                <w:rFonts w:hint="eastAsia" w:ascii="宋体" w:hAnsi="宋体" w:cs="宋体"/>
                <w:b/>
                <w:bCs/>
                <w:kern w:val="0"/>
                <w:sz w:val="23"/>
                <w:szCs w:val="21"/>
                <w:highlight w:val="none"/>
              </w:rPr>
            </w:pPr>
            <w:r>
              <w:rPr>
                <w:rFonts w:hint="eastAsia" w:ascii="宋体" w:hAnsi="宋体" w:cs="宋体"/>
                <w:b/>
                <w:bCs/>
                <w:kern w:val="0"/>
                <w:sz w:val="23"/>
                <w:szCs w:val="21"/>
                <w:highlight w:val="none"/>
              </w:rPr>
              <w:t>序号</w:t>
            </w:r>
          </w:p>
        </w:tc>
        <w:tc>
          <w:tcPr>
            <w:tcW w:w="2376" w:type="dxa"/>
            <w:noWrap w:val="0"/>
            <w:vAlign w:val="center"/>
          </w:tcPr>
          <w:p>
            <w:pPr>
              <w:widowControl/>
              <w:spacing w:line="320" w:lineRule="exact"/>
              <w:ind w:left="-42" w:leftChars="-20" w:right="-42" w:rightChars="-20"/>
              <w:jc w:val="center"/>
              <w:rPr>
                <w:rFonts w:hint="eastAsia" w:ascii="宋体" w:hAnsi="宋体" w:cs="宋体"/>
                <w:b/>
                <w:bCs/>
                <w:kern w:val="0"/>
                <w:sz w:val="23"/>
                <w:szCs w:val="21"/>
                <w:highlight w:val="none"/>
              </w:rPr>
            </w:pPr>
            <w:r>
              <w:rPr>
                <w:rFonts w:hint="eastAsia" w:ascii="宋体" w:hAnsi="宋体" w:cs="宋体"/>
                <w:b/>
                <w:bCs/>
                <w:kern w:val="0"/>
                <w:sz w:val="23"/>
                <w:szCs w:val="21"/>
                <w:highlight w:val="none"/>
              </w:rPr>
              <w:t>事项名称</w:t>
            </w:r>
          </w:p>
        </w:tc>
        <w:tc>
          <w:tcPr>
            <w:tcW w:w="2517" w:type="dxa"/>
            <w:noWrap w:val="0"/>
            <w:vAlign w:val="center"/>
          </w:tcPr>
          <w:p>
            <w:pPr>
              <w:widowControl/>
              <w:spacing w:line="320" w:lineRule="exact"/>
              <w:ind w:left="-42" w:leftChars="-20" w:right="-42" w:rightChars="-20"/>
              <w:jc w:val="center"/>
              <w:rPr>
                <w:rFonts w:hint="eastAsia" w:ascii="宋体" w:hAnsi="宋体" w:cs="宋体"/>
                <w:b/>
                <w:bCs/>
                <w:kern w:val="0"/>
                <w:sz w:val="23"/>
                <w:szCs w:val="21"/>
                <w:highlight w:val="none"/>
              </w:rPr>
            </w:pPr>
            <w:r>
              <w:rPr>
                <w:rFonts w:hint="eastAsia" w:ascii="宋体" w:hAnsi="宋体" w:cs="宋体"/>
                <w:b/>
                <w:bCs/>
                <w:kern w:val="0"/>
                <w:sz w:val="23"/>
                <w:szCs w:val="21"/>
                <w:highlight w:val="none"/>
              </w:rPr>
              <w:t>对应行政权力名称</w:t>
            </w:r>
          </w:p>
        </w:tc>
        <w:tc>
          <w:tcPr>
            <w:tcW w:w="4154" w:type="dxa"/>
            <w:noWrap w:val="0"/>
            <w:vAlign w:val="center"/>
          </w:tcPr>
          <w:p>
            <w:pPr>
              <w:widowControl/>
              <w:spacing w:line="320" w:lineRule="exact"/>
              <w:ind w:left="-42" w:leftChars="-20" w:right="-42" w:rightChars="-20"/>
              <w:jc w:val="center"/>
              <w:rPr>
                <w:rFonts w:hint="eastAsia" w:ascii="宋体" w:hAnsi="宋体" w:cs="宋体"/>
                <w:b/>
                <w:bCs/>
                <w:kern w:val="0"/>
                <w:sz w:val="23"/>
                <w:szCs w:val="21"/>
                <w:highlight w:val="none"/>
              </w:rPr>
            </w:pPr>
            <w:r>
              <w:rPr>
                <w:rFonts w:hint="eastAsia" w:ascii="宋体" w:hAnsi="宋体" w:cs="宋体"/>
                <w:b/>
                <w:bCs/>
                <w:kern w:val="0"/>
                <w:sz w:val="23"/>
                <w:szCs w:val="21"/>
                <w:highlight w:val="none"/>
              </w:rPr>
              <w:t>规范内容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81" w:type="dxa"/>
            <w:gridSpan w:val="4"/>
            <w:noWrap w:val="0"/>
            <w:vAlign w:val="center"/>
          </w:tcPr>
          <w:p>
            <w:pPr>
              <w:widowControl/>
              <w:spacing w:line="320" w:lineRule="exact"/>
              <w:ind w:left="-42" w:leftChars="-20" w:right="-42" w:rightChars="-20"/>
              <w:jc w:val="center"/>
              <w:rPr>
                <w:rFonts w:hint="eastAsia" w:ascii="宋体" w:hAnsi="宋体" w:cs="宋体"/>
                <w:b/>
                <w:kern w:val="0"/>
                <w:sz w:val="23"/>
                <w:szCs w:val="21"/>
                <w:highlight w:val="none"/>
              </w:rPr>
            </w:pPr>
            <w:r>
              <w:rPr>
                <w:rFonts w:hint="eastAsia" w:ascii="宋体" w:hAnsi="宋体" w:cs="宋体"/>
                <w:b/>
                <w:kern w:val="0"/>
                <w:sz w:val="23"/>
                <w:szCs w:val="21"/>
                <w:highlight w:val="none"/>
              </w:rPr>
              <w:t>一、市发改委（市粮食物资局）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bidi="ar"/>
              </w:rPr>
              <w:t>1</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固定资产投资项目申请报告编制</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固定资产投资项目（含国发〔2016〕72号文件规定的外商投资项目）核准</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申请人可按要求自行编制项目申请报告，也可委托有关机构编制，审批部门不得以任何形式要求申请人必须委托特定中介机构提供服务；保留审批部门现有的项目申请报告技术评估、评审。</w:t>
            </w:r>
            <w:r>
              <w:rPr>
                <w:rFonts w:hint="eastAsia" w:ascii="宋体" w:hAnsi="宋体" w:cs="宋体"/>
                <w:kern w:val="0"/>
                <w:sz w:val="23"/>
                <w:szCs w:val="21"/>
                <w:highlight w:val="none"/>
                <w:lang w:val="en-US" w:eastAsia="zh-CN" w:bidi="ar"/>
              </w:rPr>
              <w:br w:type="textWrapping"/>
            </w:r>
            <w:r>
              <w:rPr>
                <w:rFonts w:hint="eastAsia" w:ascii="宋体" w:hAnsi="宋体" w:cs="宋体"/>
                <w:kern w:val="0"/>
                <w:sz w:val="23"/>
                <w:szCs w:val="21"/>
                <w:highlight w:val="none"/>
                <w:lang w:val="en-US" w:eastAsia="zh-CN" w:bidi="ar"/>
              </w:rPr>
              <w:t xml:space="preserve">主要理由：根据《国务院关于第一批清理规范89项国务院部门行政审批中介服务事项的决定》（国发〔2015〕58号）附件第1项。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bidi="ar"/>
              </w:rPr>
              <w:t>2</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固定资产投资项目节能报告编制</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 xml:space="preserve">固定资产投资项目节能审查 </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val="en-US" w:eastAsia="zh-CN" w:bidi="ar"/>
              </w:rPr>
              <w:t xml:space="preserve">申请人可按要求自行编制节能评估文件，也可委托有关机构编制，审批部门不得以任何形式要求申请人必须委托特定中介机构提供服务；保留审批部门现有的固定资产投资项目节能评估文件技术评估、评审。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81" w:type="dxa"/>
            <w:gridSpan w:val="4"/>
            <w:noWrap w:val="0"/>
            <w:vAlign w:val="center"/>
          </w:tcPr>
          <w:p>
            <w:pPr>
              <w:widowControl/>
              <w:spacing w:line="300" w:lineRule="exact"/>
              <w:ind w:left="-42" w:right="-42" w:firstLine="4156"/>
              <w:rPr>
                <w:rFonts w:hint="eastAsia" w:ascii="宋体" w:hAnsi="宋体" w:cs="宋体"/>
                <w:kern w:val="0"/>
                <w:sz w:val="23"/>
                <w:szCs w:val="21"/>
                <w:highlight w:val="none"/>
              </w:rPr>
            </w:pPr>
            <w:r>
              <w:rPr>
                <w:rFonts w:hint="eastAsia" w:ascii="宋体" w:hAnsi="宋体" w:cs="宋体"/>
                <w:b/>
                <w:kern w:val="0"/>
                <w:sz w:val="23"/>
                <w:szCs w:val="21"/>
                <w:highlight w:val="none"/>
              </w:rPr>
              <w:t>二、市公安局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3</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金融机构营业场所、金库安全防范设施建设工程设计方案或任务书编制</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金融机构营业场所和金库安全防范设施建设方案审批</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申请人可按要求自行编制安全防范设施建设工程设计方案或任务书，也可委托有关机构编制，审批部门不得以任何形式要求申请人必须委托特定中介机构提供服务；保留审批部门现有的技术评估、评审。</w:t>
            </w:r>
          </w:p>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主要理由：设定依据未明确建设项目工程设计方案或任务书必须委托中介服务机构编制。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81" w:type="dxa"/>
            <w:gridSpan w:val="4"/>
            <w:noWrap w:val="0"/>
            <w:vAlign w:val="center"/>
          </w:tcPr>
          <w:p>
            <w:pPr>
              <w:widowControl/>
              <w:spacing w:line="300" w:lineRule="exact"/>
              <w:ind w:firstLine="4156"/>
              <w:jc w:val="left"/>
              <w:textAlignment w:val="center"/>
              <w:rPr>
                <w:rFonts w:hint="eastAsia" w:ascii="宋体" w:hAnsi="宋体" w:cs="宋体"/>
                <w:sz w:val="23"/>
                <w:szCs w:val="21"/>
                <w:highlight w:val="none"/>
              </w:rPr>
            </w:pPr>
            <w:r>
              <w:rPr>
                <w:rFonts w:hint="eastAsia" w:ascii="宋体" w:hAnsi="宋体" w:cs="宋体"/>
                <w:b/>
                <w:kern w:val="0"/>
                <w:sz w:val="23"/>
                <w:szCs w:val="21"/>
                <w:highlight w:val="none"/>
              </w:rPr>
              <w:t>三、市自然资源局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spacing w:line="320" w:lineRule="exact"/>
              <w:jc w:val="center"/>
              <w:rPr>
                <w:rFonts w:hint="eastAsia" w:eastAsia="方正黑体_GBK" w:cs="宋体"/>
                <w:sz w:val="23"/>
                <w:highlight w:val="none"/>
              </w:rPr>
            </w:pPr>
            <w:r>
              <w:rPr>
                <w:rFonts w:hint="eastAsia" w:eastAsia="方正黑体_GBK" w:cs="宋体"/>
                <w:sz w:val="23"/>
                <w:highlight w:val="none"/>
              </w:rPr>
              <w:t>4</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矿山地质环境保护与土地复垦方案编制</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矿山地质环境保护与土地复垦方案审查</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申请人可按要求自行编制矿山地质环境保护与综合治理方案，也可委托有关机构编制，审批部门不得以任何形式要求申请人必须委托特定中介机构提供服务。</w:t>
            </w:r>
            <w:r>
              <w:rPr>
                <w:rFonts w:hint="eastAsia" w:ascii="宋体" w:hAnsi="宋体" w:cs="宋体"/>
                <w:kern w:val="0"/>
                <w:sz w:val="23"/>
                <w:szCs w:val="21"/>
                <w:highlight w:val="none"/>
                <w:lang w:val="en-US" w:eastAsia="zh-CN" w:bidi="ar"/>
              </w:rPr>
              <w:br w:type="textWrapping"/>
            </w:r>
            <w:r>
              <w:rPr>
                <w:rFonts w:hint="eastAsia" w:ascii="宋体" w:hAnsi="宋体" w:cs="宋体"/>
                <w:kern w:val="0"/>
                <w:sz w:val="23"/>
                <w:szCs w:val="21"/>
                <w:highlight w:val="none"/>
                <w:lang w:val="en-US" w:eastAsia="zh-CN" w:bidi="ar"/>
              </w:rPr>
              <w:t>主要理由：根据《国务院关于第一批清理规范89项国务院部门行政审批中介服务事项的决定》（国发〔2015〕58号）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spacing w:line="320" w:lineRule="exact"/>
              <w:jc w:val="center"/>
              <w:rPr>
                <w:rFonts w:hint="eastAsia" w:eastAsia="方正黑体_GBK" w:cs="宋体"/>
                <w:sz w:val="23"/>
                <w:highlight w:val="none"/>
              </w:rPr>
            </w:pPr>
            <w:r>
              <w:rPr>
                <w:rFonts w:hint="eastAsia" w:eastAsia="方正黑体_GBK" w:cs="宋体"/>
                <w:sz w:val="23"/>
                <w:highlight w:val="none"/>
              </w:rPr>
              <w:t>5</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土地复垦方案编制</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土地复垦方案审查</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申请人可按要求自行编制土地复垦方案，也可委托有关机构编制，部门不得以任何形式要求申请人必须委托特定中介机构提供服务。</w:t>
            </w:r>
            <w:r>
              <w:rPr>
                <w:rFonts w:hint="eastAsia" w:ascii="宋体" w:hAnsi="宋体" w:cs="宋体"/>
                <w:kern w:val="0"/>
                <w:sz w:val="23"/>
                <w:szCs w:val="21"/>
                <w:highlight w:val="none"/>
                <w:lang w:val="en-US" w:eastAsia="zh-CN" w:bidi="ar"/>
              </w:rPr>
              <w:br w:type="textWrapping"/>
            </w:r>
            <w:r>
              <w:rPr>
                <w:rFonts w:hint="eastAsia" w:ascii="宋体" w:hAnsi="宋体" w:cs="宋体"/>
                <w:kern w:val="0"/>
                <w:sz w:val="23"/>
                <w:szCs w:val="21"/>
                <w:highlight w:val="none"/>
                <w:lang w:val="en-US" w:eastAsia="zh-CN" w:bidi="ar"/>
              </w:rPr>
              <w:t>主要理由：根据《国务院关于第一批清理规范89项国务院部门行政审批中介服务事项的决定》（国发〔2015〕58号）附件目录第12项。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spacing w:line="320" w:lineRule="exact"/>
              <w:jc w:val="center"/>
              <w:rPr>
                <w:rFonts w:hint="eastAsia" w:eastAsia="方正黑体_GBK" w:cs="宋体"/>
                <w:sz w:val="23"/>
                <w:highlight w:val="none"/>
              </w:rPr>
            </w:pPr>
            <w:r>
              <w:rPr>
                <w:rFonts w:hint="eastAsia" w:eastAsia="方正黑体_GBK" w:cs="宋体"/>
                <w:sz w:val="23"/>
                <w:highlight w:val="none"/>
              </w:rPr>
              <w:t>6</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矿产资源储量核实</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勘查矿产资源审批，开采矿产资源审批</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申请人可按要求自行编制矿产资源储量核实报告，也可委托有关机构编制，审批部门不得以任何形式要求申请人必须委托特定中介机构提供服务；保留审批部门现有的矿产资源储量核实报告技术评估、评审。</w:t>
            </w:r>
            <w:r>
              <w:rPr>
                <w:rFonts w:hint="eastAsia" w:ascii="宋体" w:hAnsi="宋体" w:cs="宋体"/>
                <w:kern w:val="0"/>
                <w:sz w:val="23"/>
                <w:szCs w:val="21"/>
                <w:highlight w:val="none"/>
                <w:lang w:val="en-US" w:eastAsia="zh-CN" w:bidi="ar"/>
              </w:rPr>
              <w:br w:type="textWrapping"/>
            </w:r>
            <w:r>
              <w:rPr>
                <w:rFonts w:hint="eastAsia" w:ascii="宋体" w:hAnsi="宋体" w:cs="宋体"/>
                <w:kern w:val="0"/>
                <w:sz w:val="23"/>
                <w:szCs w:val="21"/>
                <w:highlight w:val="none"/>
                <w:lang w:val="en-US" w:eastAsia="zh-CN" w:bidi="ar"/>
              </w:rPr>
              <w:t>主要理由：根据《安徽省人民政府关于贯彻落实国务院第一批清理规范行政审批中介服务事项的通知》（皖政〔2015〕135号）附件目录第12项。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spacing w:line="320" w:lineRule="exact"/>
              <w:jc w:val="center"/>
              <w:rPr>
                <w:rFonts w:hint="eastAsia" w:eastAsia="方正黑体_GBK" w:cs="宋体"/>
                <w:sz w:val="23"/>
                <w:highlight w:val="none"/>
              </w:rPr>
            </w:pPr>
            <w:r>
              <w:rPr>
                <w:rFonts w:hint="eastAsia" w:eastAsia="方正黑体_GBK" w:cs="宋体"/>
                <w:sz w:val="23"/>
                <w:highlight w:val="none"/>
              </w:rPr>
              <w:t>7</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矿山储量年报编制</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矿产资源统计</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申请人可按要求自行编制矿山储量年报，也可委托有关机构编制，部门不得以任何形式要求申请人必须委托特定中介机构提供服务；保留部门现有的矿山储量年报技术评估、评审。</w:t>
            </w:r>
            <w:r>
              <w:rPr>
                <w:rFonts w:hint="eastAsia" w:ascii="宋体" w:hAnsi="宋体" w:cs="宋体"/>
                <w:kern w:val="0"/>
                <w:sz w:val="23"/>
                <w:szCs w:val="21"/>
                <w:highlight w:val="none"/>
                <w:lang w:val="en-US" w:eastAsia="zh-CN" w:bidi="ar"/>
              </w:rPr>
              <w:br w:type="textWrapping"/>
            </w:r>
            <w:r>
              <w:rPr>
                <w:rFonts w:hint="eastAsia" w:ascii="宋体" w:hAnsi="宋体" w:cs="宋体"/>
                <w:kern w:val="0"/>
                <w:sz w:val="23"/>
                <w:szCs w:val="21"/>
                <w:highlight w:val="none"/>
                <w:lang w:val="en-US" w:eastAsia="zh-CN" w:bidi="ar"/>
              </w:rPr>
              <w:t>主要理由：根据《安徽省人民政府关于贯彻落实国务院第一批清理规范行政审批中介服务事项的通知》（皖政〔2015〕135号）附件目录第13项。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spacing w:line="320" w:lineRule="exact"/>
              <w:jc w:val="center"/>
              <w:rPr>
                <w:rFonts w:eastAsia="方正黑体_GBK" w:cs="宋体"/>
                <w:sz w:val="23"/>
                <w:highlight w:val="none"/>
                <w:lang w:val="en"/>
              </w:rPr>
            </w:pPr>
            <w:r>
              <w:rPr>
                <w:rFonts w:eastAsia="方正黑体_GBK" w:cs="宋体"/>
                <w:sz w:val="23"/>
                <w:highlight w:val="none"/>
                <w:lang w:val="en"/>
              </w:rPr>
              <w:t>8</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矿产资源开采地质报告编制</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开采矿产资源审批</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 w:eastAsia="zh-CN" w:bidi="ar"/>
              </w:rPr>
            </w:pPr>
            <w:r>
              <w:rPr>
                <w:rFonts w:hint="eastAsia" w:ascii="宋体" w:hAnsi="宋体" w:cs="宋体"/>
                <w:kern w:val="0"/>
                <w:sz w:val="23"/>
                <w:szCs w:val="21"/>
                <w:highlight w:val="none"/>
                <w:lang w:val="en-US" w:eastAsia="zh-CN" w:bidi="ar"/>
              </w:rPr>
              <w:t>申请人可按要求自行编制矿产资源开采地质报告，也可委托有关机构编制，审批部门不得以任何形式要求申请人必须委托特定中介机构提供服务；保留审批部门现有的地质报告技术评估、评审和备案。</w:t>
            </w:r>
            <w:r>
              <w:rPr>
                <w:rFonts w:hint="eastAsia" w:ascii="宋体" w:hAnsi="宋体" w:cs="宋体"/>
                <w:kern w:val="0"/>
                <w:sz w:val="23"/>
                <w:szCs w:val="21"/>
                <w:highlight w:val="none"/>
                <w:lang w:val="en-US" w:eastAsia="zh-CN" w:bidi="ar"/>
              </w:rPr>
              <w:br w:type="textWrapping"/>
            </w:r>
            <w:r>
              <w:rPr>
                <w:rFonts w:hint="eastAsia" w:ascii="宋体" w:hAnsi="宋体" w:cs="宋体"/>
                <w:kern w:val="0"/>
                <w:sz w:val="23"/>
                <w:szCs w:val="21"/>
                <w:highlight w:val="none"/>
                <w:lang w:val="en-US" w:eastAsia="zh-CN" w:bidi="ar"/>
              </w:rPr>
              <w:t>主要理由：根据《安徽省人民政府关于贯彻落实国务院第二批清理规范行政审批中介服务事项的通知》（皖政〔2016〕65号）附件目录第10项。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81" w:type="dxa"/>
            <w:gridSpan w:val="4"/>
            <w:noWrap w:val="0"/>
            <w:vAlign w:val="center"/>
          </w:tcPr>
          <w:p>
            <w:pPr>
              <w:widowControl/>
              <w:spacing w:line="300" w:lineRule="exact"/>
              <w:ind w:left="-42" w:right="-42"/>
              <w:jc w:val="center"/>
              <w:rPr>
                <w:rFonts w:hint="eastAsia" w:ascii="宋体" w:hAnsi="宋体" w:cs="宋体"/>
                <w:kern w:val="0"/>
                <w:sz w:val="23"/>
                <w:szCs w:val="21"/>
                <w:highlight w:val="none"/>
              </w:rPr>
            </w:pPr>
            <w:r>
              <w:rPr>
                <w:rFonts w:hint="eastAsia" w:ascii="宋体" w:hAnsi="宋体" w:cs="宋体"/>
                <w:b/>
                <w:kern w:val="0"/>
                <w:sz w:val="23"/>
                <w:szCs w:val="21"/>
                <w:highlight w:val="none"/>
              </w:rPr>
              <w:t>四、市生态环境局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spacing w:line="320" w:lineRule="exact"/>
              <w:jc w:val="center"/>
              <w:rPr>
                <w:rFonts w:ascii="宋体" w:hAnsi="宋体" w:cs="宋体"/>
                <w:sz w:val="23"/>
                <w:szCs w:val="21"/>
                <w:highlight w:val="none"/>
                <w:lang w:val="en"/>
              </w:rPr>
            </w:pPr>
            <w:r>
              <w:rPr>
                <w:rFonts w:ascii="宋体" w:hAnsi="宋体" w:cs="宋体"/>
                <w:sz w:val="23"/>
                <w:szCs w:val="21"/>
                <w:highlight w:val="none"/>
                <w:lang w:val="en"/>
              </w:rPr>
              <w:t>9</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辐射工作场所监测、个人剂量监测报告编制</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辐射安全许可</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有辐射监测能力的申请人可按国家环境监测规范，对相关场所开展辐射监测，并形成数据真实可靠的监测报告，申请人也可委托有关环境监测机构进行监测。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spacing w:line="320" w:lineRule="exact"/>
              <w:jc w:val="center"/>
              <w:rPr>
                <w:rFonts w:ascii="宋体" w:hAnsi="宋体" w:cs="宋体"/>
                <w:sz w:val="23"/>
                <w:szCs w:val="21"/>
                <w:highlight w:val="none"/>
                <w:lang w:val="en"/>
              </w:rPr>
            </w:pPr>
            <w:r>
              <w:rPr>
                <w:rFonts w:ascii="宋体" w:hAnsi="宋体" w:cs="宋体"/>
                <w:sz w:val="23"/>
                <w:szCs w:val="21"/>
                <w:highlight w:val="none"/>
                <w:lang w:val="en"/>
              </w:rPr>
              <w:t>10</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入河排污口设置论证</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在江河湖泊新建、改建、扩建排污口审批</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申请人可按要求自行编制入河排污口设置论证报告，也可以委托有关机构编制，审批部门不得以任何形式要求申请人必须委托特定中介机构提供服务；保留审批部门现有的排污口设置论证报告技术评估、评审。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spacing w:line="320" w:lineRule="exact"/>
              <w:jc w:val="center"/>
              <w:rPr>
                <w:rFonts w:ascii="宋体" w:hAnsi="宋体" w:cs="宋体"/>
                <w:sz w:val="23"/>
                <w:szCs w:val="21"/>
                <w:highlight w:val="none"/>
                <w:lang w:val="en"/>
              </w:rPr>
            </w:pPr>
            <w:r>
              <w:rPr>
                <w:rFonts w:ascii="宋体" w:hAnsi="宋体" w:cs="宋体"/>
                <w:sz w:val="23"/>
                <w:szCs w:val="21"/>
                <w:highlight w:val="none"/>
                <w:lang w:val="en"/>
              </w:rPr>
              <w:t>11</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建设项目环境影响报告书（表）编制</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一般建设项目环境影响评价审批、核与辐射类项目环境影响评价审批</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建设单位可以委托技术单位编制建设项目环境影响报告书、环境影响报告表，也可以自行编制，审批部门不得以任何形式要求申请人必须委托特定中介机构提供服务。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81" w:type="dxa"/>
            <w:gridSpan w:val="4"/>
            <w:noWrap w:val="0"/>
            <w:vAlign w:val="center"/>
          </w:tcPr>
          <w:p>
            <w:pPr>
              <w:spacing w:line="320" w:lineRule="exact"/>
              <w:ind w:firstLine="3925" w:firstLineChars="1700"/>
              <w:rPr>
                <w:rFonts w:hint="eastAsia" w:ascii="宋体" w:hAnsi="宋体" w:cs="宋体"/>
                <w:sz w:val="23"/>
                <w:szCs w:val="21"/>
                <w:highlight w:val="none"/>
              </w:rPr>
            </w:pPr>
            <w:r>
              <w:rPr>
                <w:rFonts w:hint="eastAsia" w:ascii="宋体" w:hAnsi="宋体" w:cs="宋体"/>
                <w:b/>
                <w:bCs/>
                <w:sz w:val="23"/>
                <w:szCs w:val="21"/>
                <w:highlight w:val="none"/>
              </w:rPr>
              <w:t>五、</w:t>
            </w:r>
            <w:r>
              <w:rPr>
                <w:rFonts w:hint="eastAsia" w:ascii="宋体" w:hAnsi="宋体" w:cs="宋体"/>
                <w:b/>
                <w:bCs/>
                <w:sz w:val="23"/>
                <w:szCs w:val="21"/>
                <w:highlight w:val="none"/>
                <w:lang w:eastAsia="zh-CN"/>
              </w:rPr>
              <w:t>市</w:t>
            </w:r>
            <w:r>
              <w:rPr>
                <w:rFonts w:hint="eastAsia" w:ascii="宋体" w:hAnsi="宋体" w:cs="宋体"/>
                <w:b/>
                <w:bCs/>
                <w:sz w:val="23"/>
                <w:szCs w:val="21"/>
                <w:highlight w:val="none"/>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spacing w:line="320" w:lineRule="exact"/>
              <w:jc w:val="center"/>
              <w:rPr>
                <w:rFonts w:ascii="宋体" w:hAnsi="宋体" w:cs="宋体"/>
                <w:sz w:val="23"/>
                <w:szCs w:val="21"/>
                <w:highlight w:val="none"/>
                <w:lang w:val="en"/>
              </w:rPr>
            </w:pPr>
            <w:r>
              <w:rPr>
                <w:rFonts w:ascii="宋体" w:hAnsi="宋体" w:cs="宋体"/>
                <w:sz w:val="23"/>
                <w:szCs w:val="21"/>
                <w:highlight w:val="none"/>
                <w:lang w:val="en"/>
              </w:rPr>
              <w:t>12</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保障公路、公路附属设施质量和安全的技术评价</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涉路施工许可</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申请人可按要求自行编制保障公路、公路附属设施质量和安全的技术评价报告，审批部门不得以任何形式要求申请人必须委托特定中介机构提供服务。</w:t>
            </w:r>
            <w:r>
              <w:rPr>
                <w:rFonts w:hint="eastAsia" w:ascii="宋体" w:hAnsi="宋体" w:cs="宋体"/>
                <w:kern w:val="0"/>
                <w:sz w:val="23"/>
                <w:szCs w:val="21"/>
                <w:highlight w:val="none"/>
                <w:lang w:val="en-US" w:eastAsia="zh-CN" w:bidi="ar"/>
              </w:rPr>
              <w:br w:type="textWrapping"/>
            </w:r>
            <w:r>
              <w:rPr>
                <w:rFonts w:hint="eastAsia" w:ascii="宋体" w:hAnsi="宋体" w:cs="宋体"/>
                <w:kern w:val="0"/>
                <w:sz w:val="23"/>
                <w:szCs w:val="21"/>
                <w:highlight w:val="none"/>
                <w:lang w:val="en-US" w:eastAsia="zh-CN" w:bidi="ar"/>
              </w:rPr>
              <w:t>主要理由：设定依据未明确要求须由中介机构编制保障公路、公路附属设施质量和安全的技术评价报告。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spacing w:line="320" w:lineRule="exact"/>
              <w:jc w:val="center"/>
              <w:rPr>
                <w:rFonts w:ascii="宋体" w:hAnsi="宋体" w:cs="宋体"/>
                <w:sz w:val="23"/>
                <w:szCs w:val="21"/>
                <w:highlight w:val="none"/>
                <w:lang w:val="en"/>
              </w:rPr>
            </w:pPr>
            <w:r>
              <w:rPr>
                <w:rFonts w:ascii="宋体" w:hAnsi="宋体" w:cs="宋体"/>
                <w:sz w:val="23"/>
                <w:szCs w:val="21"/>
                <w:highlight w:val="none"/>
                <w:lang w:val="en"/>
              </w:rPr>
              <w:t>13</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港口工程可行性研究报告编制</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港口岸线使用审批</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申请人可按要求自行编制可行性研究报告，也可委托有关机构编制，审批部门不得以任何形式要求申请人必须委托特定中介机构提供服务。</w:t>
            </w:r>
            <w:r>
              <w:rPr>
                <w:rFonts w:hint="eastAsia" w:ascii="宋体" w:hAnsi="宋体" w:cs="宋体"/>
                <w:kern w:val="0"/>
                <w:sz w:val="23"/>
                <w:szCs w:val="21"/>
                <w:highlight w:val="none"/>
                <w:lang w:val="en-US" w:eastAsia="zh-CN" w:bidi="ar"/>
              </w:rPr>
              <w:br w:type="textWrapping"/>
            </w:r>
            <w:r>
              <w:rPr>
                <w:rFonts w:hint="eastAsia" w:ascii="宋体" w:hAnsi="宋体" w:cs="宋体"/>
                <w:kern w:val="0"/>
                <w:sz w:val="23"/>
                <w:szCs w:val="21"/>
                <w:highlight w:val="none"/>
                <w:lang w:val="en-US" w:eastAsia="zh-CN" w:bidi="ar"/>
              </w:rPr>
              <w:t>主要理由：设定依据未明确建设项目可行性研究报告必须委托中介服务机构编制。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spacing w:line="320" w:lineRule="exact"/>
              <w:jc w:val="center"/>
              <w:rPr>
                <w:rFonts w:ascii="宋体" w:hAnsi="宋体" w:cs="宋体"/>
                <w:sz w:val="23"/>
                <w:szCs w:val="21"/>
                <w:highlight w:val="none"/>
                <w:lang w:val="en"/>
              </w:rPr>
            </w:pPr>
            <w:r>
              <w:rPr>
                <w:rFonts w:ascii="宋体" w:hAnsi="宋体" w:cs="宋体"/>
                <w:sz w:val="23"/>
                <w:szCs w:val="21"/>
                <w:highlight w:val="none"/>
                <w:lang w:val="en"/>
              </w:rPr>
              <w:t>14</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航道通航条件影响评价</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航道通航条件影响评价审核</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建设单位可自行编制，也可委托具有相应经验、技术条件和能力，信誉良好的机构编制。审核部门不得以任何形式要求建设单位委托特定机构编制航评报告。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jc w:val="center"/>
        </w:trPr>
        <w:tc>
          <w:tcPr>
            <w:tcW w:w="734" w:type="dxa"/>
            <w:noWrap w:val="0"/>
            <w:vAlign w:val="center"/>
          </w:tcPr>
          <w:p>
            <w:pPr>
              <w:spacing w:line="320" w:lineRule="exact"/>
              <w:jc w:val="center"/>
              <w:rPr>
                <w:rFonts w:ascii="宋体" w:hAnsi="宋体" w:cs="宋体"/>
                <w:sz w:val="23"/>
                <w:szCs w:val="21"/>
                <w:highlight w:val="none"/>
                <w:lang w:val="en"/>
              </w:rPr>
            </w:pPr>
            <w:r>
              <w:rPr>
                <w:rFonts w:ascii="宋体" w:hAnsi="宋体" w:cs="宋体"/>
                <w:sz w:val="23"/>
                <w:szCs w:val="21"/>
                <w:highlight w:val="none"/>
                <w:lang w:val="en"/>
              </w:rPr>
              <w:t>15</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公路建设项目施工图设计文件审查咨询</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公路建设项目设计文件审批</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公路建设项目法人可自行组织有关专家或者委托有相应工程咨询或者设计资质的单位，对施工图设计文件进行审查，部门不得以任何形式要求申请人必须委托特定中介机构提供服务。</w:t>
            </w:r>
            <w:r>
              <w:rPr>
                <w:rFonts w:hint="eastAsia" w:ascii="宋体" w:hAnsi="宋体" w:cs="宋体"/>
                <w:kern w:val="0"/>
                <w:sz w:val="23"/>
                <w:szCs w:val="21"/>
                <w:highlight w:val="none"/>
                <w:lang w:val="en-US" w:eastAsia="zh-CN" w:bidi="ar"/>
              </w:rPr>
              <w:br w:type="textWrapping"/>
            </w:r>
            <w:r>
              <w:rPr>
                <w:rFonts w:hint="eastAsia" w:ascii="宋体" w:hAnsi="宋体" w:cs="宋体"/>
                <w:kern w:val="0"/>
                <w:sz w:val="23"/>
                <w:szCs w:val="21"/>
                <w:highlight w:val="none"/>
                <w:lang w:val="en-US" w:eastAsia="zh-CN" w:bidi="ar"/>
              </w:rPr>
              <w:t>主要理由：根据设定依据“公路建设项目法人负责组织有关专家或者委托有相应工程咨询或者设计资质的单位，对施工图设计文件进行审查”。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spacing w:line="320" w:lineRule="exact"/>
              <w:jc w:val="center"/>
              <w:rPr>
                <w:rFonts w:ascii="宋体" w:hAnsi="宋体" w:cs="宋体"/>
                <w:sz w:val="23"/>
                <w:szCs w:val="21"/>
                <w:highlight w:val="none"/>
                <w:lang w:val="en"/>
              </w:rPr>
            </w:pPr>
            <w:r>
              <w:rPr>
                <w:rFonts w:ascii="宋体" w:hAnsi="宋体" w:cs="宋体"/>
                <w:sz w:val="23"/>
                <w:szCs w:val="21"/>
                <w:highlight w:val="none"/>
                <w:lang w:val="en"/>
              </w:rPr>
              <w:t>16</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涉路设计施工活动设计和施工方案编制</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涉路施工审批</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公路安全保护条例》（国务院令第593号）未明确要求必须由中介机构编制评价报告，申请人可按要求自行编制保障公路、公路附属设施质量和安全的技术评价报告，也可委托有关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81" w:type="dxa"/>
            <w:gridSpan w:val="4"/>
            <w:noWrap w:val="0"/>
            <w:vAlign w:val="center"/>
          </w:tcPr>
          <w:p>
            <w:pPr>
              <w:widowControl/>
              <w:spacing w:line="320" w:lineRule="exact"/>
              <w:ind w:left="-42" w:leftChars="-20" w:right="-42" w:rightChars="-20"/>
              <w:jc w:val="center"/>
              <w:rPr>
                <w:rFonts w:hint="eastAsia" w:ascii="宋体" w:hAnsi="宋体" w:cs="宋体"/>
                <w:kern w:val="0"/>
                <w:sz w:val="23"/>
                <w:szCs w:val="21"/>
                <w:highlight w:val="none"/>
              </w:rPr>
            </w:pPr>
            <w:r>
              <w:rPr>
                <w:rFonts w:hint="eastAsia" w:ascii="宋体" w:hAnsi="宋体" w:cs="宋体"/>
                <w:b/>
                <w:kern w:val="0"/>
                <w:sz w:val="23"/>
                <w:szCs w:val="21"/>
                <w:highlight w:val="none"/>
              </w:rPr>
              <w:t>六、市水利局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spacing w:line="320" w:lineRule="exact"/>
              <w:jc w:val="center"/>
              <w:rPr>
                <w:rFonts w:ascii="宋体" w:hAnsi="宋体" w:cs="宋体"/>
                <w:sz w:val="23"/>
                <w:szCs w:val="21"/>
                <w:highlight w:val="none"/>
                <w:lang w:val="en"/>
              </w:rPr>
            </w:pPr>
            <w:r>
              <w:rPr>
                <w:rFonts w:ascii="宋体" w:hAnsi="宋体" w:cs="宋体"/>
                <w:sz w:val="23"/>
                <w:szCs w:val="21"/>
                <w:highlight w:val="none"/>
                <w:lang w:val="en"/>
              </w:rPr>
              <w:t>17</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河道管理范围内的建设项目防洪评价</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河道管理范围内特定活动审批</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申请人可按要求自行编制防洪评价报告，也可以委托有关机构编制，审批部门不得以任何形式要求申请人必须委托特定中介机构提供服务；保留审批部门现有的防洪评价报告技术评估、评审。</w:t>
            </w:r>
            <w:r>
              <w:rPr>
                <w:rFonts w:hint="eastAsia" w:ascii="宋体" w:hAnsi="宋体" w:cs="宋体"/>
                <w:kern w:val="0"/>
                <w:sz w:val="23"/>
                <w:szCs w:val="21"/>
                <w:highlight w:val="none"/>
                <w:lang w:val="en-US" w:eastAsia="zh-CN" w:bidi="ar"/>
              </w:rPr>
              <w:br w:type="textWrapping"/>
            </w:r>
            <w:r>
              <w:rPr>
                <w:rFonts w:hint="eastAsia" w:ascii="宋体" w:hAnsi="宋体" w:cs="宋体"/>
                <w:kern w:val="0"/>
                <w:sz w:val="23"/>
                <w:szCs w:val="21"/>
                <w:highlight w:val="none"/>
                <w:lang w:val="en-US" w:eastAsia="zh-CN" w:bidi="ar"/>
              </w:rPr>
              <w:t>主要理由：《安徽省人民政府关于贯彻落实国务院第一批清理规范行政审批中介服务事项的通知》（皖政〔2015〕135号）附件目录第35项。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734" w:type="dxa"/>
            <w:noWrap w:val="0"/>
            <w:vAlign w:val="center"/>
          </w:tcPr>
          <w:p>
            <w:pPr>
              <w:spacing w:line="320" w:lineRule="exact"/>
              <w:jc w:val="center"/>
              <w:rPr>
                <w:rFonts w:ascii="宋体" w:hAnsi="宋体" w:cs="宋体"/>
                <w:sz w:val="23"/>
                <w:szCs w:val="21"/>
                <w:highlight w:val="none"/>
                <w:lang w:val="en"/>
              </w:rPr>
            </w:pPr>
            <w:r>
              <w:rPr>
                <w:rFonts w:ascii="宋体" w:hAnsi="宋体" w:cs="宋体"/>
                <w:sz w:val="23"/>
                <w:szCs w:val="21"/>
                <w:highlight w:val="none"/>
                <w:lang w:val="en"/>
              </w:rPr>
              <w:t>18</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生产建设项目水土保持方案编制</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生产建设项目水土保持方案审批</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申请人可按要求自行编制水土保持方案，也可委托有关机构编制，审批部门不得以任何形式要求申请人必须委托特定中介机构提供服务；保留审批部门现有的水土保持方案技术评估、评审。</w:t>
            </w:r>
            <w:r>
              <w:rPr>
                <w:rFonts w:hint="eastAsia" w:ascii="宋体" w:hAnsi="宋体" w:cs="宋体"/>
                <w:kern w:val="0"/>
                <w:sz w:val="23"/>
                <w:szCs w:val="21"/>
                <w:highlight w:val="none"/>
                <w:lang w:val="en-US" w:eastAsia="zh-CN" w:bidi="ar"/>
              </w:rPr>
              <w:br w:type="textWrapping"/>
            </w:r>
            <w:r>
              <w:rPr>
                <w:rFonts w:hint="eastAsia" w:ascii="宋体" w:hAnsi="宋体" w:cs="宋体"/>
                <w:kern w:val="0"/>
                <w:sz w:val="23"/>
                <w:szCs w:val="21"/>
                <w:highlight w:val="none"/>
                <w:lang w:val="en-US" w:eastAsia="zh-CN" w:bidi="ar"/>
              </w:rPr>
              <w:t>主要理由：《安徽省人民政府关于贯彻落实国务院第一批清理规范行政审批中介服务事项的通知》（皖政〔2015〕135号）附件目录第30项。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jc w:val="center"/>
        </w:trPr>
        <w:tc>
          <w:tcPr>
            <w:tcW w:w="734" w:type="dxa"/>
            <w:noWrap w:val="0"/>
            <w:vAlign w:val="center"/>
          </w:tcPr>
          <w:p>
            <w:pPr>
              <w:spacing w:line="320" w:lineRule="exact"/>
              <w:jc w:val="center"/>
              <w:rPr>
                <w:rFonts w:ascii="宋体" w:hAnsi="宋体" w:cs="宋体"/>
                <w:sz w:val="23"/>
                <w:szCs w:val="21"/>
                <w:highlight w:val="none"/>
                <w:lang w:val="en"/>
              </w:rPr>
            </w:pPr>
            <w:r>
              <w:rPr>
                <w:rFonts w:ascii="宋体" w:hAnsi="宋体" w:cs="宋体"/>
                <w:sz w:val="23"/>
                <w:szCs w:val="21"/>
                <w:highlight w:val="none"/>
                <w:lang w:val="en"/>
              </w:rPr>
              <w:t>19</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水工程是否符合流域治理、开发、保护要求或者防洪要求专题论证</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洪水影响评价类审批</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申请人可按要求自行编制水工程是否符合流域治理、开发、保护要求或者防洪要求专题论证报告，也可委托有关机构编制，审批部门不得以任何形式要求申请人必须委托特定中介机构提供服务；保留审批部门现有的专题论证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734" w:type="dxa"/>
            <w:noWrap w:val="0"/>
            <w:vAlign w:val="center"/>
          </w:tcPr>
          <w:p>
            <w:pPr>
              <w:spacing w:line="320" w:lineRule="exact"/>
              <w:jc w:val="center"/>
              <w:rPr>
                <w:rFonts w:ascii="宋体" w:hAnsi="宋体" w:cs="宋体"/>
                <w:sz w:val="23"/>
                <w:szCs w:val="21"/>
                <w:highlight w:val="none"/>
                <w:lang w:val="en"/>
              </w:rPr>
            </w:pPr>
            <w:r>
              <w:rPr>
                <w:rFonts w:ascii="宋体" w:hAnsi="宋体" w:cs="宋体"/>
                <w:sz w:val="23"/>
                <w:szCs w:val="21"/>
                <w:highlight w:val="none"/>
                <w:lang w:val="en"/>
              </w:rPr>
              <w:t>20</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建设项目水资源论证</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取水许可</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申请人可按要求自行编制建设项目水资源论证报告书，也可委托有关机构编制，审批部门不得以任何形式要求申请人必须委托特定中介机构提供服务；保留审批部门现有的水资源论证报告书技术评估、评审。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81" w:type="dxa"/>
            <w:gridSpan w:val="4"/>
            <w:noWrap w:val="0"/>
            <w:vAlign w:val="center"/>
          </w:tcPr>
          <w:p>
            <w:pPr>
              <w:widowControl/>
              <w:spacing w:line="320" w:lineRule="exact"/>
              <w:ind w:left="-42" w:leftChars="-20" w:right="-42" w:rightChars="-20"/>
              <w:jc w:val="center"/>
              <w:rPr>
                <w:rFonts w:hint="eastAsia" w:ascii="宋体" w:hAnsi="宋体" w:cs="宋体"/>
                <w:kern w:val="0"/>
                <w:sz w:val="23"/>
                <w:szCs w:val="21"/>
                <w:highlight w:val="none"/>
              </w:rPr>
            </w:pPr>
            <w:r>
              <w:rPr>
                <w:rFonts w:hint="eastAsia" w:ascii="宋体" w:hAnsi="宋体" w:cs="宋体"/>
                <w:b/>
                <w:kern w:val="0"/>
                <w:sz w:val="23"/>
                <w:szCs w:val="21"/>
                <w:highlight w:val="none"/>
              </w:rPr>
              <w:t>七、市文旅局（市广电新闻局）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734" w:type="dxa"/>
            <w:noWrap w:val="0"/>
            <w:vAlign w:val="center"/>
          </w:tcPr>
          <w:p>
            <w:pPr>
              <w:spacing w:line="320" w:lineRule="exact"/>
              <w:jc w:val="center"/>
              <w:rPr>
                <w:rFonts w:hint="eastAsia" w:ascii="宋体" w:hAnsi="宋体" w:eastAsia="宋体" w:cs="宋体"/>
                <w:sz w:val="23"/>
                <w:szCs w:val="21"/>
                <w:highlight w:val="none"/>
                <w:lang w:val="en-US" w:eastAsia="zh-CN"/>
              </w:rPr>
            </w:pPr>
            <w:r>
              <w:rPr>
                <w:rFonts w:ascii="宋体" w:hAnsi="宋体" w:cs="宋体"/>
                <w:sz w:val="23"/>
                <w:szCs w:val="21"/>
                <w:highlight w:val="none"/>
                <w:lang w:val="en"/>
              </w:rPr>
              <w:t>2</w:t>
            </w:r>
            <w:r>
              <w:rPr>
                <w:rFonts w:hint="eastAsia" w:ascii="宋体" w:hAnsi="宋体" w:cs="宋体"/>
                <w:sz w:val="23"/>
                <w:szCs w:val="21"/>
                <w:highlight w:val="none"/>
                <w:lang w:val="en-US" w:eastAsia="zh-CN"/>
              </w:rPr>
              <w:t>1</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文物保护单位修缮方案编制</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不可移动文物修缮审批</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申请人可按要求自行编制市级、县级文物保护单位修缮方案，也可委托有关机构编制，审批部门不得以任何形式要求申请人必须委托特定中介机构提供服务；保留审批部门现有的修缮方案技术评估、评审。</w:t>
            </w:r>
            <w:r>
              <w:rPr>
                <w:rFonts w:hint="eastAsia" w:ascii="宋体" w:hAnsi="宋体" w:cs="宋体"/>
                <w:kern w:val="0"/>
                <w:sz w:val="23"/>
                <w:szCs w:val="21"/>
                <w:highlight w:val="none"/>
                <w:lang w:val="en-US" w:eastAsia="zh-CN" w:bidi="ar"/>
              </w:rPr>
              <w:br w:type="textWrapping"/>
            </w:r>
            <w:r>
              <w:rPr>
                <w:rFonts w:hint="eastAsia" w:ascii="宋体" w:hAnsi="宋体" w:cs="宋体"/>
                <w:kern w:val="0"/>
                <w:sz w:val="23"/>
                <w:szCs w:val="21"/>
                <w:highlight w:val="none"/>
                <w:lang w:val="en-US" w:eastAsia="zh-CN" w:bidi="ar"/>
              </w:rPr>
              <w:t>主要理由：根据《国务院关于第二批清理规范192项国务院部门行政审批中介服务事项的决定》（国发〔2016〕11号）附件目录第159项。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734" w:type="dxa"/>
            <w:noWrap w:val="0"/>
            <w:vAlign w:val="center"/>
          </w:tcPr>
          <w:p>
            <w:pPr>
              <w:spacing w:line="320" w:lineRule="exact"/>
              <w:jc w:val="center"/>
              <w:rPr>
                <w:rFonts w:hint="eastAsia" w:ascii="宋体" w:hAnsi="宋体" w:eastAsia="宋体" w:cs="宋体"/>
                <w:sz w:val="23"/>
                <w:szCs w:val="21"/>
                <w:highlight w:val="none"/>
                <w:lang w:val="en-US" w:eastAsia="zh-CN"/>
              </w:rPr>
            </w:pPr>
            <w:r>
              <w:rPr>
                <w:rFonts w:ascii="宋体" w:hAnsi="宋体" w:cs="宋体"/>
                <w:sz w:val="23"/>
                <w:szCs w:val="21"/>
                <w:highlight w:val="none"/>
                <w:lang w:val="en"/>
              </w:rPr>
              <w:t>2</w:t>
            </w:r>
            <w:r>
              <w:rPr>
                <w:rFonts w:hint="eastAsia" w:ascii="宋体" w:hAnsi="宋体" w:cs="宋体"/>
                <w:sz w:val="23"/>
                <w:szCs w:val="21"/>
                <w:highlight w:val="none"/>
                <w:lang w:val="en-US" w:eastAsia="zh-CN"/>
              </w:rPr>
              <w:t>2</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广播电视专用频段频率使用许可所需的技术评估报告编制</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广播电视专用频段频率使用许可</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申请人可按要求自行编制技术评估报告，也可委托有关机构编制，部门不得以任何形式要求申请人必须委托特定中介机构提供服务。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81" w:type="dxa"/>
            <w:gridSpan w:val="4"/>
            <w:noWrap w:val="0"/>
            <w:vAlign w:val="center"/>
          </w:tcPr>
          <w:p>
            <w:pPr>
              <w:widowControl/>
              <w:spacing w:line="320" w:lineRule="exact"/>
              <w:ind w:left="-42" w:leftChars="-20" w:right="-42" w:rightChars="-20"/>
              <w:jc w:val="center"/>
              <w:rPr>
                <w:rFonts w:hint="eastAsia" w:ascii="宋体" w:hAnsi="宋体" w:cs="宋体"/>
                <w:kern w:val="0"/>
                <w:sz w:val="23"/>
                <w:szCs w:val="21"/>
                <w:highlight w:val="none"/>
              </w:rPr>
            </w:pPr>
            <w:r>
              <w:rPr>
                <w:rFonts w:hint="eastAsia" w:ascii="宋体" w:hAnsi="宋体" w:cs="宋体"/>
                <w:b/>
                <w:kern w:val="0"/>
                <w:sz w:val="23"/>
                <w:szCs w:val="21"/>
                <w:highlight w:val="none"/>
              </w:rPr>
              <w:t>八、市卫健委（市中医药局）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eastAsia" w:ascii="宋体" w:hAnsi="宋体" w:eastAsia="宋体" w:cs="宋体"/>
                <w:kern w:val="0"/>
                <w:sz w:val="23"/>
                <w:szCs w:val="21"/>
                <w:highlight w:val="none"/>
                <w:lang w:val="en-US" w:eastAsia="zh-CN"/>
              </w:rPr>
            </w:pPr>
            <w:r>
              <w:rPr>
                <w:rFonts w:ascii="宋体" w:hAnsi="宋体" w:cs="宋体"/>
                <w:kern w:val="0"/>
                <w:sz w:val="23"/>
                <w:szCs w:val="21"/>
                <w:highlight w:val="none"/>
                <w:lang w:val="en"/>
              </w:rPr>
              <w:t>2</w:t>
            </w:r>
            <w:r>
              <w:rPr>
                <w:rFonts w:hint="eastAsia" w:ascii="宋体" w:hAnsi="宋体" w:cs="宋体"/>
                <w:kern w:val="0"/>
                <w:sz w:val="23"/>
                <w:szCs w:val="21"/>
                <w:highlight w:val="none"/>
                <w:lang w:val="en-US" w:eastAsia="zh-CN"/>
              </w:rPr>
              <w:t>3</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公共场所卫生检测</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公共场所卫生许可</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申请人可自行检测，也可以委托有关机构检测，审批部门不得以任何形式要求申请人必须委托特定中介机构提供服务。</w:t>
            </w:r>
            <w:r>
              <w:rPr>
                <w:rFonts w:hint="eastAsia" w:ascii="宋体" w:hAnsi="宋体" w:cs="宋体"/>
                <w:kern w:val="0"/>
                <w:sz w:val="23"/>
                <w:szCs w:val="21"/>
                <w:highlight w:val="none"/>
                <w:lang w:val="en-US" w:eastAsia="zh-CN" w:bidi="ar"/>
              </w:rPr>
              <w:br w:type="textWrapping"/>
            </w:r>
            <w:r>
              <w:rPr>
                <w:rFonts w:hint="eastAsia" w:ascii="宋体" w:hAnsi="宋体" w:cs="宋体"/>
                <w:kern w:val="0"/>
                <w:sz w:val="23"/>
                <w:szCs w:val="21"/>
                <w:highlight w:val="none"/>
                <w:lang w:val="en-US" w:eastAsia="zh-CN" w:bidi="ar"/>
              </w:rPr>
              <w:t>主要理由：根据《公共场所卫生管理条例实施细则》第十九条：公共场所经营者不具备检测能力的，可以委托检测。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81" w:type="dxa"/>
            <w:gridSpan w:val="4"/>
            <w:noWrap w:val="0"/>
            <w:vAlign w:val="center"/>
          </w:tcPr>
          <w:p>
            <w:pPr>
              <w:widowControl/>
              <w:spacing w:line="320" w:lineRule="exact"/>
              <w:ind w:firstLine="3925" w:firstLineChars="1700"/>
              <w:jc w:val="left"/>
              <w:textAlignment w:val="center"/>
              <w:rPr>
                <w:rFonts w:hint="eastAsia" w:ascii="宋体" w:hAnsi="宋体" w:cs="宋体"/>
                <w:kern w:val="0"/>
                <w:sz w:val="23"/>
                <w:szCs w:val="21"/>
                <w:highlight w:val="none"/>
              </w:rPr>
            </w:pPr>
            <w:r>
              <w:rPr>
                <w:rFonts w:hint="eastAsia" w:ascii="宋体" w:hAnsi="宋体" w:cs="宋体"/>
                <w:b/>
                <w:kern w:val="0"/>
                <w:sz w:val="23"/>
                <w:szCs w:val="21"/>
                <w:highlight w:val="none"/>
              </w:rPr>
              <w:t>九、市应急局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eastAsia" w:ascii="宋体" w:hAnsi="宋体" w:eastAsia="宋体" w:cs="宋体"/>
                <w:sz w:val="23"/>
                <w:szCs w:val="21"/>
                <w:highlight w:val="none"/>
                <w:lang w:val="en-US" w:eastAsia="zh-CN"/>
              </w:rPr>
            </w:pPr>
            <w:r>
              <w:rPr>
                <w:rFonts w:ascii="宋体" w:hAnsi="宋体" w:cs="宋体"/>
                <w:kern w:val="0"/>
                <w:sz w:val="23"/>
                <w:szCs w:val="21"/>
                <w:highlight w:val="none"/>
                <w:lang w:val="en" w:bidi="ar"/>
              </w:rPr>
              <w:t>2</w:t>
            </w:r>
            <w:r>
              <w:rPr>
                <w:rFonts w:hint="eastAsia" w:ascii="宋体" w:hAnsi="宋体" w:cs="宋体"/>
                <w:kern w:val="0"/>
                <w:sz w:val="23"/>
                <w:szCs w:val="21"/>
                <w:highlight w:val="none"/>
                <w:lang w:val="en-US" w:eastAsia="zh-CN" w:bidi="ar"/>
              </w:rPr>
              <w:t>4</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金属冶炼建设项目安全预评价报告编制</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金属冶炼建设项目安全设施设计审查</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规范。国务院关于第三批清理规范国务院部门行政审批中介服务事项的决定（国发﹝2017﹞8号）第11项：申请人可按要求自行编制安全预评价报告，也可以委托有关机构编制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81" w:type="dxa"/>
            <w:gridSpan w:val="4"/>
            <w:noWrap w:val="0"/>
            <w:vAlign w:val="center"/>
          </w:tcPr>
          <w:p>
            <w:pPr>
              <w:widowControl/>
              <w:spacing w:line="320" w:lineRule="exact"/>
              <w:ind w:left="-42" w:leftChars="-20" w:right="-42" w:rightChars="-20"/>
              <w:jc w:val="center"/>
              <w:rPr>
                <w:rFonts w:hint="eastAsia" w:ascii="宋体" w:hAnsi="宋体" w:cs="宋体"/>
                <w:kern w:val="0"/>
                <w:sz w:val="23"/>
                <w:szCs w:val="21"/>
                <w:highlight w:val="none"/>
              </w:rPr>
            </w:pPr>
            <w:r>
              <w:rPr>
                <w:rFonts w:hint="eastAsia" w:ascii="宋体" w:hAnsi="宋体" w:cs="宋体"/>
                <w:b/>
                <w:kern w:val="0"/>
                <w:sz w:val="23"/>
                <w:szCs w:val="21"/>
                <w:highlight w:val="none"/>
              </w:rPr>
              <w:t xml:space="preserve"> 十、市市场监管局（市知识产权局）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eastAsia" w:ascii="宋体" w:hAnsi="宋体" w:eastAsia="宋体" w:cs="宋体"/>
                <w:sz w:val="23"/>
                <w:szCs w:val="21"/>
                <w:highlight w:val="none"/>
                <w:lang w:val="en-US" w:eastAsia="zh-CN"/>
              </w:rPr>
            </w:pPr>
            <w:r>
              <w:rPr>
                <w:rFonts w:ascii="宋体" w:hAnsi="宋体" w:cs="宋体"/>
                <w:kern w:val="0"/>
                <w:sz w:val="23"/>
                <w:szCs w:val="21"/>
                <w:highlight w:val="none"/>
                <w:lang w:val="en" w:bidi="ar"/>
              </w:rPr>
              <w:t>2</w:t>
            </w:r>
            <w:r>
              <w:rPr>
                <w:rFonts w:hint="eastAsia" w:ascii="宋体" w:hAnsi="宋体" w:cs="宋体"/>
                <w:kern w:val="0"/>
                <w:sz w:val="23"/>
                <w:szCs w:val="21"/>
                <w:highlight w:val="none"/>
                <w:lang w:val="en-US" w:eastAsia="zh-CN" w:bidi="ar"/>
              </w:rPr>
              <w:t>5</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食品生产许可试制食品检验报告编制（首次申请许可或申请增加食品类别）</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食品生产许可</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试制食品检验可以由生产者自行检验，或者委托有资质的食品检验机构检验。</w:t>
            </w:r>
            <w:r>
              <w:rPr>
                <w:rFonts w:hint="eastAsia" w:ascii="宋体" w:hAnsi="宋体" w:cs="宋体"/>
                <w:kern w:val="0"/>
                <w:sz w:val="23"/>
                <w:szCs w:val="21"/>
                <w:highlight w:val="none"/>
                <w:lang w:val="en-US" w:eastAsia="zh-CN" w:bidi="ar"/>
              </w:rPr>
              <w:br w:type="textWrapping"/>
            </w:r>
            <w:r>
              <w:rPr>
                <w:rFonts w:hint="eastAsia" w:ascii="宋体" w:hAnsi="宋体" w:cs="宋体"/>
                <w:kern w:val="0"/>
                <w:sz w:val="23"/>
                <w:szCs w:val="21"/>
                <w:highlight w:val="none"/>
                <w:lang w:val="en-US" w:eastAsia="zh-CN" w:bidi="ar"/>
              </w:rPr>
              <w:t>主要理由：《食品生产许可管理办法》（市场监管总局令第24号）明确规定。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eastAsia" w:ascii="宋体" w:hAnsi="宋体" w:eastAsia="宋体" w:cs="宋体"/>
                <w:sz w:val="23"/>
                <w:szCs w:val="21"/>
                <w:highlight w:val="none"/>
                <w:lang w:val="en-US" w:eastAsia="zh-CN"/>
              </w:rPr>
            </w:pPr>
            <w:r>
              <w:rPr>
                <w:rFonts w:ascii="宋体" w:hAnsi="宋体" w:cs="宋体"/>
                <w:kern w:val="0"/>
                <w:sz w:val="23"/>
                <w:szCs w:val="21"/>
                <w:highlight w:val="none"/>
                <w:lang w:val="en" w:bidi="ar"/>
              </w:rPr>
              <w:t>2</w:t>
            </w:r>
            <w:r>
              <w:rPr>
                <w:rFonts w:hint="eastAsia" w:ascii="宋体" w:hAnsi="宋体" w:cs="宋体"/>
                <w:kern w:val="0"/>
                <w:sz w:val="23"/>
                <w:szCs w:val="21"/>
                <w:highlight w:val="none"/>
                <w:lang w:val="en-US" w:eastAsia="zh-CN" w:bidi="ar"/>
              </w:rPr>
              <w:t>6</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餐饮服务自酿酒安全性检验合格报告编制</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食品经营许可</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对申请食品经营许可的，申请人可按要求自行编制自酿酒成品安全检验合格报告，也可以委托有关机构开展，地方食品药品监管部门不得以任何形式要求申请人必须委托中介机构提供服务。</w:t>
            </w:r>
            <w:r>
              <w:rPr>
                <w:rFonts w:hint="eastAsia" w:ascii="宋体" w:hAnsi="宋体" w:cs="宋体"/>
                <w:kern w:val="0"/>
                <w:sz w:val="23"/>
                <w:szCs w:val="21"/>
                <w:highlight w:val="none"/>
                <w:lang w:val="en-US" w:eastAsia="zh-CN" w:bidi="ar"/>
              </w:rPr>
              <w:br w:type="textWrapping"/>
            </w:r>
            <w:r>
              <w:rPr>
                <w:rFonts w:hint="eastAsia" w:ascii="宋体" w:hAnsi="宋体" w:cs="宋体"/>
                <w:kern w:val="0"/>
                <w:sz w:val="23"/>
                <w:szCs w:val="21"/>
                <w:highlight w:val="none"/>
                <w:lang w:val="en-US" w:eastAsia="zh-CN" w:bidi="ar"/>
              </w:rPr>
              <w:t>主要理由：根据《国务院审改办等十一部门关于取消27项中央指定地方实施行政审批中介服务和证明材料的通知》（审改办发〔2017〕4号）附件第4项。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81" w:type="dxa"/>
            <w:gridSpan w:val="4"/>
            <w:noWrap w:val="0"/>
            <w:vAlign w:val="center"/>
          </w:tcPr>
          <w:p>
            <w:pPr>
              <w:widowControl/>
              <w:spacing w:line="320" w:lineRule="exact"/>
              <w:ind w:left="-42" w:leftChars="-20" w:right="-42" w:rightChars="-20" w:firstLine="4156" w:firstLineChars="1800"/>
              <w:rPr>
                <w:rFonts w:hint="eastAsia" w:ascii="宋体" w:hAnsi="宋体" w:cs="宋体"/>
                <w:kern w:val="0"/>
                <w:sz w:val="23"/>
                <w:szCs w:val="21"/>
                <w:highlight w:val="none"/>
              </w:rPr>
            </w:pPr>
            <w:r>
              <w:rPr>
                <w:rFonts w:hint="eastAsia" w:ascii="宋体" w:hAnsi="宋体" w:cs="宋体"/>
                <w:b/>
                <w:kern w:val="0"/>
                <w:sz w:val="23"/>
                <w:szCs w:val="21"/>
                <w:highlight w:val="none"/>
              </w:rPr>
              <w:t>十一、市林业局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default" w:ascii="宋体" w:hAnsi="宋体" w:cs="宋体"/>
                <w:kern w:val="0"/>
                <w:sz w:val="23"/>
                <w:szCs w:val="21"/>
                <w:highlight w:val="none"/>
                <w:lang w:val="en-US" w:eastAsia="zh-CN" w:bidi="ar"/>
              </w:rPr>
            </w:pPr>
            <w:r>
              <w:rPr>
                <w:rFonts w:hint="eastAsia" w:ascii="宋体" w:hAnsi="宋体" w:cs="宋体"/>
                <w:kern w:val="0"/>
                <w:sz w:val="23"/>
                <w:szCs w:val="21"/>
                <w:highlight w:val="none"/>
                <w:lang w:val="en" w:eastAsia="zh-CN" w:bidi="ar"/>
              </w:rPr>
              <w:t>2</w:t>
            </w:r>
            <w:r>
              <w:rPr>
                <w:rFonts w:hint="eastAsia" w:ascii="宋体" w:hAnsi="宋体" w:cs="宋体"/>
                <w:kern w:val="0"/>
                <w:sz w:val="23"/>
                <w:szCs w:val="21"/>
                <w:highlight w:val="none"/>
                <w:lang w:val="en-US" w:eastAsia="zh-CN" w:bidi="ar"/>
              </w:rPr>
              <w:t>7</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建设项目使用林地可行性报告编制</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建设项目使用林地及在森林和野生动物类型国家级自然保护区建设审批</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申请人可按要求自行编制，也可委托有关机构编制，审批部门不得以任何形式要求申请人必须委托特定中介机构提供服务；保留审批部门现有的建设项目使用林地可行性报告技术评估、评审。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81" w:type="dxa"/>
            <w:gridSpan w:val="4"/>
            <w:noWrap w:val="0"/>
            <w:vAlign w:val="center"/>
          </w:tcPr>
          <w:p>
            <w:pPr>
              <w:widowControl/>
              <w:spacing w:line="320" w:lineRule="exact"/>
              <w:ind w:left="-42" w:leftChars="-20" w:right="-42" w:rightChars="-20" w:firstLine="4156" w:firstLineChars="1800"/>
              <w:rPr>
                <w:rFonts w:hint="eastAsia" w:ascii="宋体" w:hAnsi="宋体" w:cs="宋体"/>
                <w:kern w:val="0"/>
                <w:sz w:val="23"/>
                <w:szCs w:val="21"/>
                <w:highlight w:val="none"/>
              </w:rPr>
            </w:pPr>
            <w:r>
              <w:rPr>
                <w:rFonts w:hint="eastAsia" w:ascii="宋体" w:hAnsi="宋体" w:cs="宋体"/>
                <w:b/>
                <w:kern w:val="0"/>
                <w:sz w:val="23"/>
                <w:szCs w:val="21"/>
                <w:highlight w:val="none"/>
              </w:rPr>
              <w:t>十二、市人防办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autoSpaceDE w:val="0"/>
              <w:autoSpaceDN w:val="0"/>
              <w:adjustRightInd w:val="0"/>
              <w:spacing w:line="320" w:lineRule="exact"/>
              <w:jc w:val="center"/>
              <w:rPr>
                <w:rFonts w:hint="default" w:ascii="宋体" w:hAnsi="宋体" w:eastAsia="宋体" w:cs="宋体"/>
                <w:kern w:val="0"/>
                <w:sz w:val="23"/>
                <w:szCs w:val="21"/>
                <w:highlight w:val="none"/>
                <w:lang w:val="en-US" w:eastAsia="zh-CN"/>
              </w:rPr>
            </w:pPr>
            <w:r>
              <w:rPr>
                <w:rFonts w:hint="eastAsia" w:ascii="宋体" w:hAnsi="宋体" w:cs="宋体"/>
                <w:kern w:val="0"/>
                <w:sz w:val="23"/>
                <w:szCs w:val="21"/>
                <w:highlight w:val="none"/>
                <w:lang w:val="en-US" w:eastAsia="zh-CN"/>
              </w:rPr>
              <w:t>28</w:t>
            </w:r>
          </w:p>
        </w:tc>
        <w:tc>
          <w:tcPr>
            <w:tcW w:w="2376"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人防工程防护设备安装质量检测</w:t>
            </w:r>
          </w:p>
        </w:tc>
        <w:tc>
          <w:tcPr>
            <w:tcW w:w="2517"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人民防空（人防）工程竣工验收备案</w:t>
            </w:r>
          </w:p>
        </w:tc>
        <w:tc>
          <w:tcPr>
            <w:tcW w:w="4154" w:type="dxa"/>
            <w:noWrap w:val="0"/>
            <w:vAlign w:val="center"/>
          </w:tcPr>
          <w:p>
            <w:pPr>
              <w:widowControl/>
              <w:spacing w:line="320" w:lineRule="exact"/>
              <w:textAlignment w:val="center"/>
              <w:rPr>
                <w:rFonts w:hint="eastAsia"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工程竣工备案时，建设单位按照国家人防办制定的标准要求，可对人防设备自行组织检测，也可委托有关机构检测，检测资料纳入工程竣工验收报告。</w:t>
            </w:r>
            <w:r>
              <w:rPr>
                <w:rFonts w:hint="eastAsia" w:ascii="宋体" w:hAnsi="宋体" w:cs="宋体"/>
                <w:kern w:val="0"/>
                <w:sz w:val="23"/>
                <w:szCs w:val="21"/>
                <w:highlight w:val="none"/>
                <w:lang w:val="en-US" w:eastAsia="zh-CN" w:bidi="ar"/>
              </w:rPr>
              <w:br w:type="textWrapping"/>
            </w:r>
            <w:r>
              <w:rPr>
                <w:rFonts w:hint="eastAsia" w:ascii="宋体" w:hAnsi="宋体" w:cs="宋体"/>
                <w:kern w:val="0"/>
                <w:sz w:val="23"/>
                <w:szCs w:val="21"/>
                <w:highlight w:val="none"/>
                <w:lang w:val="en-US" w:eastAsia="zh-CN" w:bidi="ar"/>
              </w:rPr>
              <w:t>主要理由：根据《国务院审改办国土资源部文化部国家卫生计生委国家质检总局国家安全监管总局国家保密局 国家测绘地信局 国家人防办关于取消25项中央指定地方实施行政审批中介服务等事项的通知》（审改办发〔2017〕1号）附件第2项。</w:t>
            </w:r>
          </w:p>
        </w:tc>
      </w:tr>
    </w:tbl>
    <w:p>
      <w:pPr>
        <w:spacing w:line="590" w:lineRule="exact"/>
        <w:jc w:val="both"/>
        <w:rPr>
          <w:rFonts w:eastAsia="方正小标宋_GBK"/>
          <w:sz w:val="44"/>
          <w:szCs w:val="44"/>
          <w:highlight w:val="none"/>
        </w:rPr>
      </w:pPr>
    </w:p>
    <w:p>
      <w:pPr>
        <w:spacing w:line="590" w:lineRule="exact"/>
        <w:jc w:val="center"/>
        <w:rPr>
          <w:rFonts w:hint="eastAsia" w:eastAsia="方正小标宋_GBK" w:cs="方正小标宋_GBK"/>
          <w:sz w:val="36"/>
          <w:szCs w:val="36"/>
          <w:highlight w:val="none"/>
        </w:rPr>
      </w:pPr>
      <w:r>
        <w:rPr>
          <w:rFonts w:hint="eastAsia" w:eastAsia="方正小标宋_GBK" w:cs="方正小标宋_GBK"/>
          <w:sz w:val="36"/>
          <w:szCs w:val="36"/>
          <w:highlight w:val="none"/>
        </w:rPr>
        <w:t>取消事项</w:t>
      </w:r>
    </w:p>
    <w:tbl>
      <w:tblPr>
        <w:tblStyle w:val="3"/>
        <w:tblW w:w="9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3869"/>
        <w:gridCol w:w="3627"/>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734" w:type="dxa"/>
            <w:noWrap w:val="0"/>
            <w:vAlign w:val="center"/>
          </w:tcPr>
          <w:p>
            <w:pPr>
              <w:widowControl/>
              <w:spacing w:line="320" w:lineRule="exact"/>
              <w:ind w:left="-42" w:leftChars="-20" w:right="-42" w:rightChars="-20"/>
              <w:jc w:val="center"/>
              <w:rPr>
                <w:rFonts w:hint="eastAsia" w:ascii="宋体" w:hAnsi="宋体" w:cs="宋体"/>
                <w:b/>
                <w:bCs/>
                <w:kern w:val="0"/>
                <w:sz w:val="23"/>
                <w:szCs w:val="21"/>
                <w:highlight w:val="none"/>
              </w:rPr>
            </w:pPr>
            <w:r>
              <w:rPr>
                <w:rFonts w:hint="eastAsia" w:ascii="宋体" w:hAnsi="宋体" w:cs="宋体"/>
                <w:b/>
                <w:bCs/>
                <w:kern w:val="0"/>
                <w:sz w:val="23"/>
                <w:szCs w:val="21"/>
                <w:highlight w:val="none"/>
              </w:rPr>
              <w:t>序号</w:t>
            </w:r>
          </w:p>
        </w:tc>
        <w:tc>
          <w:tcPr>
            <w:tcW w:w="3869" w:type="dxa"/>
            <w:noWrap w:val="0"/>
            <w:vAlign w:val="center"/>
          </w:tcPr>
          <w:p>
            <w:pPr>
              <w:widowControl/>
              <w:spacing w:line="320" w:lineRule="exact"/>
              <w:ind w:left="-42" w:leftChars="-20" w:right="-42" w:rightChars="-20"/>
              <w:jc w:val="center"/>
              <w:rPr>
                <w:rFonts w:hint="eastAsia" w:ascii="宋体" w:hAnsi="宋体" w:cs="宋体"/>
                <w:b/>
                <w:bCs/>
                <w:kern w:val="0"/>
                <w:sz w:val="23"/>
                <w:szCs w:val="21"/>
                <w:highlight w:val="none"/>
              </w:rPr>
            </w:pPr>
            <w:r>
              <w:rPr>
                <w:rFonts w:hint="eastAsia" w:ascii="宋体" w:hAnsi="宋体" w:cs="宋体"/>
                <w:b/>
                <w:bCs/>
                <w:kern w:val="0"/>
                <w:sz w:val="23"/>
                <w:szCs w:val="21"/>
                <w:highlight w:val="none"/>
              </w:rPr>
              <w:t>事项名称</w:t>
            </w:r>
          </w:p>
        </w:tc>
        <w:tc>
          <w:tcPr>
            <w:tcW w:w="3627" w:type="dxa"/>
            <w:noWrap w:val="0"/>
            <w:vAlign w:val="center"/>
          </w:tcPr>
          <w:p>
            <w:pPr>
              <w:widowControl/>
              <w:spacing w:line="320" w:lineRule="exact"/>
              <w:ind w:left="-42" w:leftChars="-20" w:right="-42" w:rightChars="-20"/>
              <w:jc w:val="center"/>
              <w:rPr>
                <w:rFonts w:hint="eastAsia" w:ascii="宋体" w:hAnsi="宋体" w:cs="宋体"/>
                <w:b/>
                <w:bCs/>
                <w:kern w:val="0"/>
                <w:sz w:val="23"/>
                <w:szCs w:val="21"/>
                <w:highlight w:val="none"/>
              </w:rPr>
            </w:pPr>
            <w:r>
              <w:rPr>
                <w:rFonts w:hint="eastAsia" w:ascii="宋体" w:hAnsi="宋体" w:cs="宋体"/>
                <w:b/>
                <w:bCs/>
                <w:kern w:val="0"/>
                <w:sz w:val="23"/>
                <w:szCs w:val="21"/>
                <w:highlight w:val="none"/>
              </w:rPr>
              <w:t>对应行政权力名称</w:t>
            </w:r>
          </w:p>
        </w:tc>
        <w:tc>
          <w:tcPr>
            <w:tcW w:w="1537" w:type="dxa"/>
            <w:noWrap w:val="0"/>
            <w:vAlign w:val="center"/>
          </w:tcPr>
          <w:p>
            <w:pPr>
              <w:widowControl/>
              <w:spacing w:line="320" w:lineRule="exact"/>
              <w:ind w:left="-42" w:leftChars="-20" w:right="-42" w:rightChars="-20"/>
              <w:jc w:val="center"/>
              <w:rPr>
                <w:rFonts w:hint="eastAsia" w:ascii="宋体" w:hAnsi="宋体" w:cs="宋体"/>
                <w:b/>
                <w:bCs/>
                <w:kern w:val="0"/>
                <w:sz w:val="23"/>
                <w:szCs w:val="21"/>
                <w:highlight w:val="none"/>
              </w:rPr>
            </w:pPr>
            <w:r>
              <w:rPr>
                <w:rFonts w:hint="eastAsia" w:ascii="宋体" w:hAnsi="宋体" w:cs="宋体"/>
                <w:b/>
                <w:bCs/>
                <w:kern w:val="0"/>
                <w:sz w:val="23"/>
                <w:szCs w:val="21"/>
                <w:highlight w:val="none"/>
              </w:rPr>
              <w:t>委托主体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767" w:type="dxa"/>
            <w:gridSpan w:val="4"/>
            <w:noWrap w:val="0"/>
            <w:vAlign w:val="center"/>
          </w:tcPr>
          <w:p>
            <w:pPr>
              <w:widowControl/>
              <w:tabs>
                <w:tab w:val="left" w:pos="4139"/>
              </w:tabs>
              <w:spacing w:line="320" w:lineRule="exact"/>
              <w:jc w:val="left"/>
              <w:textAlignment w:val="center"/>
              <w:rPr>
                <w:rFonts w:hint="default" w:ascii="宋体" w:hAnsi="宋体" w:eastAsia="宋体" w:cs="宋体"/>
                <w:kern w:val="0"/>
                <w:sz w:val="23"/>
                <w:szCs w:val="21"/>
                <w:highlight w:val="none"/>
                <w:lang w:val="en-US" w:eastAsia="zh-CN" w:bidi="ar"/>
              </w:rPr>
            </w:pPr>
            <w:r>
              <w:rPr>
                <w:rFonts w:hint="eastAsia" w:ascii="宋体" w:hAnsi="宋体" w:cs="宋体"/>
                <w:kern w:val="0"/>
                <w:sz w:val="23"/>
                <w:szCs w:val="21"/>
                <w:highlight w:val="none"/>
                <w:lang w:bidi="ar"/>
              </w:rPr>
              <w:tab/>
            </w:r>
            <w:r>
              <w:rPr>
                <w:rFonts w:hint="eastAsia" w:ascii="宋体" w:hAnsi="宋体" w:eastAsia="宋体" w:cs="宋体"/>
                <w:b/>
                <w:kern w:val="0"/>
                <w:sz w:val="23"/>
                <w:szCs w:val="21"/>
                <w:highlight w:val="none"/>
              </w:rPr>
              <w:t>一</w:t>
            </w:r>
            <w:r>
              <w:rPr>
                <w:rFonts w:hint="eastAsia" w:ascii="宋体" w:hAnsi="宋体" w:cs="宋体"/>
                <w:b/>
                <w:kern w:val="0"/>
                <w:sz w:val="23"/>
                <w:szCs w:val="21"/>
                <w:highlight w:val="none"/>
              </w:rPr>
              <w:t>、市</w:t>
            </w:r>
            <w:r>
              <w:rPr>
                <w:rFonts w:hint="eastAsia" w:ascii="宋体" w:hAnsi="宋体" w:cs="宋体"/>
                <w:b/>
                <w:kern w:val="0"/>
                <w:sz w:val="23"/>
                <w:szCs w:val="21"/>
                <w:highlight w:val="none"/>
                <w:lang w:val="en-US" w:eastAsia="zh-CN"/>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34" w:type="dxa"/>
            <w:noWrap w:val="0"/>
            <w:vAlign w:val="center"/>
          </w:tcPr>
          <w:p>
            <w:pPr>
              <w:spacing w:line="320" w:lineRule="exact"/>
              <w:jc w:val="center"/>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1</w:t>
            </w:r>
          </w:p>
        </w:tc>
        <w:tc>
          <w:tcPr>
            <w:tcW w:w="3869" w:type="dxa"/>
            <w:noWrap w:val="0"/>
            <w:vAlign w:val="center"/>
          </w:tcPr>
          <w:p>
            <w:pPr>
              <w:spacing w:line="320" w:lineRule="exact"/>
              <w:jc w:val="left"/>
              <w:rPr>
                <w:rFonts w:hint="eastAsia" w:ascii="宋体" w:hAnsi="宋体" w:cs="宋体"/>
                <w:sz w:val="23"/>
                <w:szCs w:val="21"/>
                <w:highlight w:val="none"/>
              </w:rPr>
            </w:pPr>
            <w:r>
              <w:rPr>
                <w:rFonts w:hint="eastAsia" w:ascii="宋体" w:hAnsi="宋体" w:cs="宋体"/>
                <w:sz w:val="23"/>
                <w:szCs w:val="21"/>
                <w:highlight w:val="none"/>
                <w:lang w:val="en-US" w:eastAsia="zh-CN"/>
              </w:rPr>
              <w:t>外国人健康证明出具</w:t>
            </w:r>
          </w:p>
        </w:tc>
        <w:tc>
          <w:tcPr>
            <w:tcW w:w="362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外国人居留证件签发</w:t>
            </w:r>
          </w:p>
        </w:tc>
        <w:tc>
          <w:tcPr>
            <w:tcW w:w="153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eastAsia" w:ascii="宋体" w:hAnsi="宋体" w:eastAsia="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2</w:t>
            </w:r>
          </w:p>
        </w:tc>
        <w:tc>
          <w:tcPr>
            <w:tcW w:w="3869" w:type="dxa"/>
            <w:noWrap w:val="0"/>
            <w:vAlign w:val="center"/>
          </w:tcPr>
          <w:p>
            <w:pPr>
              <w:widowControl/>
              <w:spacing w:line="320" w:lineRule="exact"/>
              <w:jc w:val="lef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bidi="ar"/>
              </w:rPr>
              <w:t>计算机病毒以及其他有害数据的检验、鉴定</w:t>
            </w:r>
          </w:p>
        </w:tc>
        <w:tc>
          <w:tcPr>
            <w:tcW w:w="3627" w:type="dxa"/>
            <w:noWrap w:val="0"/>
            <w:vAlign w:val="center"/>
          </w:tcPr>
          <w:p>
            <w:pPr>
              <w:widowControl/>
              <w:spacing w:line="320" w:lineRule="exact"/>
              <w:jc w:val="left"/>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bidi="ar"/>
              </w:rPr>
              <w:t>对制作、传播计算机病毒行为的处罚</w:t>
            </w:r>
          </w:p>
        </w:tc>
        <w:tc>
          <w:tcPr>
            <w:tcW w:w="1537" w:type="dxa"/>
            <w:noWrap w:val="0"/>
            <w:vAlign w:val="center"/>
          </w:tcPr>
          <w:p>
            <w:pPr>
              <w:widowControl/>
              <w:spacing w:line="320" w:lineRule="exact"/>
              <w:jc w:val="center"/>
              <w:textAlignment w:val="center"/>
              <w:rPr>
                <w:rFonts w:hint="eastAsia" w:ascii="宋体" w:hAnsi="宋体" w:cs="宋体"/>
                <w:kern w:val="0"/>
                <w:sz w:val="23"/>
                <w:szCs w:val="21"/>
                <w:highlight w:val="none"/>
                <w:lang w:bidi="ar"/>
              </w:rPr>
            </w:pPr>
            <w:r>
              <w:rPr>
                <w:rFonts w:hint="eastAsia" w:ascii="宋体" w:hAnsi="宋体" w:cs="宋体"/>
                <w:kern w:val="0"/>
                <w:sz w:val="23"/>
                <w:szCs w:val="21"/>
                <w:highlight w:val="none"/>
                <w:lang w:bidi="ar"/>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67" w:type="dxa"/>
            <w:gridSpan w:val="4"/>
            <w:noWrap w:val="0"/>
            <w:vAlign w:val="center"/>
          </w:tcPr>
          <w:p>
            <w:pPr>
              <w:widowControl/>
              <w:tabs>
                <w:tab w:val="left" w:pos="4139"/>
              </w:tabs>
              <w:spacing w:line="320" w:lineRule="exact"/>
              <w:jc w:val="left"/>
              <w:textAlignment w:val="center"/>
              <w:rPr>
                <w:rFonts w:hint="default" w:ascii="宋体" w:hAnsi="宋体" w:eastAsia="宋体" w:cs="宋体"/>
                <w:kern w:val="0"/>
                <w:sz w:val="23"/>
                <w:szCs w:val="21"/>
                <w:highlight w:val="none"/>
                <w:lang w:val="en-US" w:eastAsia="zh-CN" w:bidi="ar"/>
              </w:rPr>
            </w:pPr>
            <w:r>
              <w:rPr>
                <w:rFonts w:hint="eastAsia" w:ascii="宋体" w:hAnsi="宋体" w:cs="宋体"/>
                <w:kern w:val="0"/>
                <w:sz w:val="23"/>
                <w:szCs w:val="21"/>
                <w:highlight w:val="none"/>
                <w:lang w:bidi="ar"/>
              </w:rPr>
              <w:tab/>
            </w:r>
            <w:r>
              <w:rPr>
                <w:rFonts w:hint="eastAsia" w:ascii="宋体" w:hAnsi="宋体" w:cs="宋体"/>
                <w:b/>
                <w:kern w:val="0"/>
                <w:sz w:val="23"/>
                <w:szCs w:val="21"/>
                <w:highlight w:val="none"/>
                <w:lang w:val="en-US" w:eastAsia="zh-CN"/>
              </w:rPr>
              <w:t>二、市民政局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spacing w:line="320" w:lineRule="exact"/>
              <w:jc w:val="center"/>
              <w:rPr>
                <w:rFonts w:hint="eastAsia" w:ascii="宋体" w:hAnsi="宋体" w:eastAsia="宋体" w:cs="宋体"/>
                <w:sz w:val="23"/>
                <w:szCs w:val="21"/>
                <w:highlight w:val="none"/>
                <w:lang w:val="en" w:eastAsia="zh-CN"/>
              </w:rPr>
            </w:pPr>
            <w:r>
              <w:rPr>
                <w:rFonts w:hint="eastAsia" w:ascii="宋体" w:hAnsi="宋体" w:cs="宋体"/>
                <w:sz w:val="23"/>
                <w:szCs w:val="21"/>
                <w:highlight w:val="none"/>
                <w:lang w:val="en-US" w:eastAsia="zh-CN"/>
              </w:rPr>
              <w:t>3</w:t>
            </w:r>
          </w:p>
        </w:tc>
        <w:tc>
          <w:tcPr>
            <w:tcW w:w="3869" w:type="dxa"/>
            <w:noWrap w:val="0"/>
            <w:vAlign w:val="center"/>
          </w:tcPr>
          <w:p>
            <w:pPr>
              <w:widowControl/>
              <w:spacing w:line="320" w:lineRule="exact"/>
              <w:textAlignment w:val="center"/>
              <w:rPr>
                <w:rFonts w:hint="eastAsia" w:ascii="宋体" w:hAnsi="宋体" w:cs="宋体"/>
                <w:sz w:val="23"/>
                <w:szCs w:val="21"/>
                <w:highlight w:val="none"/>
              </w:rPr>
            </w:pPr>
            <w:r>
              <w:rPr>
                <w:rFonts w:hint="eastAsia" w:ascii="宋体" w:hAnsi="宋体" w:cs="宋体"/>
                <w:kern w:val="0"/>
                <w:sz w:val="23"/>
                <w:szCs w:val="21"/>
                <w:highlight w:val="none"/>
                <w:lang w:bidi="ar"/>
              </w:rPr>
              <w:t>基金会法定代表人离任审计</w:t>
            </w:r>
          </w:p>
        </w:tc>
        <w:tc>
          <w:tcPr>
            <w:tcW w:w="3627" w:type="dxa"/>
            <w:noWrap w:val="0"/>
            <w:vAlign w:val="center"/>
          </w:tcPr>
          <w:p>
            <w:pPr>
              <w:widowControl/>
              <w:spacing w:line="320" w:lineRule="exact"/>
              <w:textAlignment w:val="center"/>
              <w:rPr>
                <w:rFonts w:hint="eastAsia" w:ascii="宋体" w:hAnsi="宋体" w:cs="宋体"/>
                <w:sz w:val="23"/>
                <w:szCs w:val="21"/>
                <w:highlight w:val="none"/>
              </w:rPr>
            </w:pPr>
            <w:r>
              <w:rPr>
                <w:rFonts w:hint="eastAsia" w:ascii="宋体" w:hAnsi="宋体" w:cs="宋体"/>
                <w:kern w:val="0"/>
                <w:sz w:val="23"/>
                <w:szCs w:val="21"/>
                <w:highlight w:val="none"/>
                <w:lang w:bidi="ar"/>
              </w:rPr>
              <w:t>基金会设立、变更、注销登记及修改章程核准</w:t>
            </w:r>
          </w:p>
        </w:tc>
        <w:tc>
          <w:tcPr>
            <w:tcW w:w="1537" w:type="dxa"/>
            <w:noWrap w:val="0"/>
            <w:vAlign w:val="center"/>
          </w:tcPr>
          <w:p>
            <w:pPr>
              <w:spacing w:line="320" w:lineRule="exact"/>
              <w:jc w:val="center"/>
              <w:rPr>
                <w:rFonts w:hint="eastAsia" w:ascii="宋体" w:hAnsi="宋体" w:cs="宋体"/>
                <w:sz w:val="23"/>
                <w:szCs w:val="21"/>
                <w:highlight w:val="none"/>
              </w:rPr>
            </w:pPr>
            <w:r>
              <w:rPr>
                <w:rFonts w:hint="eastAsia" w:ascii="宋体" w:hAnsi="宋体" w:cs="宋体"/>
                <w:sz w:val="23"/>
                <w:szCs w:val="21"/>
                <w:highlight w:val="none"/>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spacing w:line="320" w:lineRule="exact"/>
              <w:jc w:val="center"/>
              <w:rPr>
                <w:rFonts w:hint="eastAsia"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4</w:t>
            </w:r>
          </w:p>
        </w:tc>
        <w:tc>
          <w:tcPr>
            <w:tcW w:w="3869" w:type="dxa"/>
            <w:noWrap w:val="0"/>
            <w:vAlign w:val="center"/>
          </w:tcPr>
          <w:p>
            <w:pPr>
              <w:widowControl/>
              <w:spacing w:line="320" w:lineRule="exact"/>
              <w:textAlignment w:val="center"/>
              <w:rPr>
                <w:rFonts w:hint="eastAsia" w:ascii="宋体" w:hAnsi="宋体" w:cs="宋体"/>
                <w:sz w:val="23"/>
                <w:szCs w:val="21"/>
                <w:highlight w:val="none"/>
              </w:rPr>
            </w:pPr>
            <w:r>
              <w:rPr>
                <w:rFonts w:hint="eastAsia" w:ascii="宋体" w:hAnsi="宋体" w:cs="宋体"/>
                <w:kern w:val="0"/>
                <w:sz w:val="23"/>
                <w:szCs w:val="21"/>
                <w:highlight w:val="none"/>
                <w:lang w:bidi="ar"/>
              </w:rPr>
              <w:t>基金会设立验资</w:t>
            </w:r>
          </w:p>
        </w:tc>
        <w:tc>
          <w:tcPr>
            <w:tcW w:w="3627" w:type="dxa"/>
            <w:noWrap w:val="0"/>
            <w:vAlign w:val="center"/>
          </w:tcPr>
          <w:p>
            <w:pPr>
              <w:widowControl/>
              <w:spacing w:line="320" w:lineRule="exact"/>
              <w:textAlignment w:val="center"/>
              <w:rPr>
                <w:rFonts w:hint="eastAsia" w:ascii="宋体" w:hAnsi="宋体" w:cs="宋体"/>
                <w:sz w:val="23"/>
                <w:szCs w:val="21"/>
                <w:highlight w:val="none"/>
              </w:rPr>
            </w:pPr>
            <w:r>
              <w:rPr>
                <w:rFonts w:hint="eastAsia" w:ascii="宋体" w:hAnsi="宋体" w:cs="宋体"/>
                <w:kern w:val="0"/>
                <w:sz w:val="23"/>
                <w:szCs w:val="21"/>
                <w:highlight w:val="none"/>
                <w:lang w:bidi="ar"/>
              </w:rPr>
              <w:t>基金会设立、变更、注销登记及修改章程核准</w:t>
            </w:r>
          </w:p>
        </w:tc>
        <w:tc>
          <w:tcPr>
            <w:tcW w:w="1537" w:type="dxa"/>
            <w:noWrap w:val="0"/>
            <w:vAlign w:val="center"/>
          </w:tcPr>
          <w:p>
            <w:pPr>
              <w:spacing w:line="320" w:lineRule="exact"/>
              <w:jc w:val="center"/>
              <w:rPr>
                <w:rFonts w:hint="eastAsia" w:ascii="宋体" w:hAnsi="宋体" w:cs="宋体"/>
                <w:sz w:val="23"/>
                <w:szCs w:val="21"/>
                <w:highlight w:val="none"/>
              </w:rPr>
            </w:pPr>
            <w:r>
              <w:rPr>
                <w:rFonts w:hint="eastAsia" w:ascii="宋体" w:hAnsi="宋体" w:cs="宋体"/>
                <w:sz w:val="23"/>
                <w:szCs w:val="21"/>
                <w:highlight w:val="none"/>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spacing w:line="320" w:lineRule="exact"/>
              <w:jc w:val="center"/>
              <w:rPr>
                <w:rFonts w:hint="eastAsia" w:ascii="宋体" w:hAnsi="宋体" w:eastAsia="宋体" w:cs="宋体"/>
                <w:sz w:val="23"/>
                <w:szCs w:val="21"/>
                <w:highlight w:val="none"/>
                <w:lang w:val="en-US" w:eastAsia="zh-CN"/>
              </w:rPr>
            </w:pPr>
            <w:r>
              <w:rPr>
                <w:rFonts w:hint="eastAsia" w:ascii="宋体" w:hAnsi="宋体" w:cs="宋体"/>
                <w:sz w:val="23"/>
                <w:szCs w:val="21"/>
                <w:highlight w:val="none"/>
                <w:lang w:val="en-US" w:eastAsia="zh-CN"/>
              </w:rPr>
              <w:t>5</w:t>
            </w:r>
          </w:p>
        </w:tc>
        <w:tc>
          <w:tcPr>
            <w:tcW w:w="3869" w:type="dxa"/>
            <w:noWrap w:val="0"/>
            <w:vAlign w:val="center"/>
          </w:tcPr>
          <w:p>
            <w:pPr>
              <w:widowControl/>
              <w:spacing w:line="320" w:lineRule="exact"/>
              <w:textAlignment w:val="center"/>
              <w:rPr>
                <w:rFonts w:hint="eastAsia" w:ascii="宋体" w:hAnsi="宋体" w:cs="宋体"/>
                <w:sz w:val="23"/>
                <w:szCs w:val="21"/>
                <w:highlight w:val="none"/>
              </w:rPr>
            </w:pPr>
            <w:r>
              <w:rPr>
                <w:rFonts w:hint="eastAsia" w:ascii="宋体" w:hAnsi="宋体" w:cs="宋体"/>
                <w:kern w:val="0"/>
                <w:sz w:val="23"/>
                <w:szCs w:val="21"/>
                <w:highlight w:val="none"/>
                <w:lang w:bidi="ar"/>
              </w:rPr>
              <w:t>社会团体换届审计</w:t>
            </w:r>
          </w:p>
        </w:tc>
        <w:tc>
          <w:tcPr>
            <w:tcW w:w="3627" w:type="dxa"/>
            <w:noWrap w:val="0"/>
            <w:vAlign w:val="center"/>
          </w:tcPr>
          <w:p>
            <w:pPr>
              <w:widowControl/>
              <w:spacing w:line="320" w:lineRule="exact"/>
              <w:textAlignment w:val="center"/>
              <w:rPr>
                <w:rFonts w:hint="eastAsia" w:ascii="宋体" w:hAnsi="宋体" w:cs="宋体"/>
                <w:sz w:val="23"/>
                <w:szCs w:val="21"/>
                <w:highlight w:val="none"/>
              </w:rPr>
            </w:pPr>
            <w:r>
              <w:rPr>
                <w:rFonts w:hint="eastAsia" w:ascii="宋体" w:hAnsi="宋体" w:cs="宋体"/>
                <w:kern w:val="0"/>
                <w:sz w:val="23"/>
                <w:szCs w:val="21"/>
                <w:highlight w:val="none"/>
                <w:lang w:bidi="ar"/>
              </w:rPr>
              <w:t>社会团体成立、变更、注销登记及修改章程核准</w:t>
            </w:r>
          </w:p>
        </w:tc>
        <w:tc>
          <w:tcPr>
            <w:tcW w:w="1537" w:type="dxa"/>
            <w:noWrap w:val="0"/>
            <w:vAlign w:val="center"/>
          </w:tcPr>
          <w:p>
            <w:pPr>
              <w:spacing w:line="320" w:lineRule="exact"/>
              <w:jc w:val="center"/>
              <w:rPr>
                <w:rFonts w:hint="eastAsia" w:ascii="宋体" w:hAnsi="宋体" w:cs="宋体"/>
                <w:sz w:val="23"/>
                <w:szCs w:val="21"/>
                <w:highlight w:val="none"/>
              </w:rPr>
            </w:pPr>
            <w:r>
              <w:rPr>
                <w:rFonts w:hint="eastAsia" w:ascii="宋体" w:hAnsi="宋体" w:cs="宋体"/>
                <w:sz w:val="23"/>
                <w:szCs w:val="21"/>
                <w:highlight w:val="none"/>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67" w:type="dxa"/>
            <w:gridSpan w:val="4"/>
            <w:noWrap w:val="0"/>
            <w:vAlign w:val="center"/>
          </w:tcPr>
          <w:p>
            <w:pPr>
              <w:spacing w:line="320" w:lineRule="exact"/>
              <w:jc w:val="center"/>
              <w:rPr>
                <w:rFonts w:hint="default" w:ascii="宋体" w:hAnsi="宋体" w:eastAsia="宋体" w:cs="宋体"/>
                <w:sz w:val="23"/>
                <w:szCs w:val="21"/>
                <w:highlight w:val="none"/>
                <w:lang w:val="en-US" w:eastAsia="zh-CN"/>
              </w:rPr>
            </w:pPr>
            <w:r>
              <w:rPr>
                <w:rFonts w:hint="eastAsia" w:ascii="宋体" w:hAnsi="宋体" w:cs="宋体"/>
                <w:b/>
                <w:bCs/>
                <w:sz w:val="23"/>
                <w:szCs w:val="21"/>
                <w:highlight w:val="none"/>
                <w:lang w:val="en-US" w:eastAsia="zh-CN"/>
              </w:rPr>
              <w:t>三、市生态环境局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spacing w:line="320" w:lineRule="exact"/>
              <w:jc w:val="center"/>
              <w:rPr>
                <w:rFonts w:hint="eastAsia" w:ascii="宋体" w:hAnsi="宋体" w:eastAsia="宋体" w:cs="宋体"/>
                <w:sz w:val="23"/>
                <w:szCs w:val="21"/>
                <w:highlight w:val="none"/>
                <w:lang w:val="en" w:eastAsia="zh-CN"/>
              </w:rPr>
            </w:pPr>
            <w:r>
              <w:rPr>
                <w:rFonts w:hint="eastAsia" w:ascii="宋体" w:hAnsi="宋体" w:cs="宋体"/>
                <w:sz w:val="23"/>
                <w:szCs w:val="21"/>
                <w:highlight w:val="none"/>
                <w:lang w:val="en-US" w:eastAsia="zh-CN"/>
              </w:rPr>
              <w:t>6</w:t>
            </w:r>
          </w:p>
        </w:tc>
        <w:tc>
          <w:tcPr>
            <w:tcW w:w="3869" w:type="dxa"/>
            <w:noWrap w:val="0"/>
            <w:vAlign w:val="center"/>
          </w:tcPr>
          <w:p>
            <w:pPr>
              <w:spacing w:line="320" w:lineRule="exact"/>
              <w:rPr>
                <w:rFonts w:hint="eastAsia" w:ascii="宋体" w:hAnsi="宋体" w:cs="宋体"/>
                <w:sz w:val="23"/>
                <w:szCs w:val="21"/>
                <w:highlight w:val="none"/>
              </w:rPr>
            </w:pPr>
            <w:r>
              <w:rPr>
                <w:rFonts w:hint="eastAsia" w:ascii="宋体" w:hAnsi="宋体" w:cs="宋体"/>
                <w:sz w:val="23"/>
                <w:szCs w:val="21"/>
                <w:highlight w:val="none"/>
              </w:rPr>
              <w:t>应急处置阶段直接经济损失评估</w:t>
            </w:r>
          </w:p>
        </w:tc>
        <w:tc>
          <w:tcPr>
            <w:tcW w:w="3627" w:type="dxa"/>
            <w:noWrap w:val="0"/>
            <w:vAlign w:val="center"/>
          </w:tcPr>
          <w:p>
            <w:pPr>
              <w:spacing w:line="320" w:lineRule="exact"/>
              <w:rPr>
                <w:rFonts w:hint="eastAsia" w:ascii="宋体" w:hAnsi="宋体" w:cs="宋体"/>
                <w:kern w:val="0"/>
                <w:sz w:val="23"/>
                <w:szCs w:val="21"/>
                <w:highlight w:val="none"/>
                <w:lang w:bidi="ar"/>
              </w:rPr>
            </w:pPr>
            <w:r>
              <w:rPr>
                <w:rFonts w:hint="eastAsia" w:ascii="宋体" w:hAnsi="宋体" w:cs="宋体"/>
                <w:kern w:val="0"/>
                <w:sz w:val="23"/>
                <w:szCs w:val="21"/>
                <w:highlight w:val="none"/>
                <w:lang w:bidi="ar"/>
              </w:rPr>
              <w:t>1.对造成水污染事故的处罚</w:t>
            </w:r>
          </w:p>
          <w:p>
            <w:pPr>
              <w:spacing w:line="320" w:lineRule="exact"/>
              <w:rPr>
                <w:rFonts w:hint="eastAsia" w:ascii="宋体" w:hAnsi="宋体" w:cs="宋体"/>
                <w:kern w:val="0"/>
                <w:sz w:val="23"/>
                <w:szCs w:val="21"/>
                <w:highlight w:val="none"/>
                <w:lang w:bidi="ar"/>
              </w:rPr>
            </w:pPr>
            <w:r>
              <w:rPr>
                <w:rFonts w:hint="eastAsia" w:ascii="宋体" w:hAnsi="宋体" w:cs="宋体"/>
                <w:kern w:val="0"/>
                <w:sz w:val="23"/>
                <w:szCs w:val="21"/>
                <w:highlight w:val="none"/>
                <w:lang w:bidi="ar"/>
              </w:rPr>
              <w:t>2.对造成大气污染事故的处罚</w:t>
            </w:r>
          </w:p>
          <w:p>
            <w:pPr>
              <w:spacing w:line="320" w:lineRule="exact"/>
              <w:rPr>
                <w:rFonts w:hint="eastAsia" w:ascii="宋体" w:hAnsi="宋体" w:cs="宋体"/>
                <w:sz w:val="23"/>
                <w:szCs w:val="21"/>
                <w:highlight w:val="none"/>
              </w:rPr>
            </w:pPr>
            <w:r>
              <w:rPr>
                <w:rFonts w:hint="eastAsia" w:ascii="宋体" w:hAnsi="宋体" w:cs="宋体"/>
                <w:kern w:val="0"/>
                <w:sz w:val="23"/>
                <w:szCs w:val="21"/>
                <w:highlight w:val="none"/>
                <w:lang w:bidi="ar"/>
              </w:rPr>
              <w:t>3.对造成固体废物污染环境事故的行政处罚</w:t>
            </w:r>
          </w:p>
        </w:tc>
        <w:tc>
          <w:tcPr>
            <w:tcW w:w="1537" w:type="dxa"/>
            <w:noWrap w:val="0"/>
            <w:vAlign w:val="center"/>
          </w:tcPr>
          <w:p>
            <w:pPr>
              <w:spacing w:line="320" w:lineRule="exact"/>
              <w:jc w:val="center"/>
              <w:rPr>
                <w:rFonts w:hint="eastAsia" w:ascii="宋体" w:hAnsi="宋体" w:cs="宋体"/>
                <w:sz w:val="23"/>
                <w:szCs w:val="21"/>
                <w:highlight w:val="none"/>
              </w:rPr>
            </w:pPr>
            <w:r>
              <w:rPr>
                <w:rFonts w:hint="eastAsia" w:ascii="宋体" w:hAnsi="宋体" w:cs="宋体"/>
                <w:sz w:val="23"/>
                <w:szCs w:val="21"/>
                <w:highlight w:val="none"/>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67" w:type="dxa"/>
            <w:gridSpan w:val="4"/>
            <w:noWrap w:val="0"/>
            <w:vAlign w:val="center"/>
          </w:tcPr>
          <w:p>
            <w:pPr>
              <w:widowControl/>
              <w:spacing w:line="320" w:lineRule="exact"/>
              <w:ind w:left="-42" w:leftChars="-20" w:right="-42" w:rightChars="-20"/>
              <w:jc w:val="center"/>
              <w:rPr>
                <w:rFonts w:hint="default" w:ascii="宋体" w:hAnsi="宋体" w:eastAsia="宋体" w:cs="宋体"/>
                <w:kern w:val="0"/>
                <w:sz w:val="23"/>
                <w:szCs w:val="21"/>
                <w:highlight w:val="none"/>
                <w:lang w:val="en-US" w:eastAsia="zh-CN"/>
              </w:rPr>
            </w:pPr>
            <w:r>
              <w:rPr>
                <w:rFonts w:hint="eastAsia" w:ascii="宋体" w:hAnsi="宋体" w:cs="宋体"/>
                <w:b/>
                <w:bCs/>
                <w:sz w:val="23"/>
                <w:szCs w:val="21"/>
                <w:highlight w:val="none"/>
                <w:lang w:val="en-US" w:eastAsia="zh-CN"/>
              </w:rPr>
              <w:t>四、市住建局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eastAsia" w:ascii="宋体" w:hAnsi="宋体" w:eastAsia="宋体" w:cs="宋体"/>
                <w:kern w:val="0"/>
                <w:sz w:val="23"/>
                <w:szCs w:val="21"/>
                <w:highlight w:val="none"/>
                <w:lang w:val="en" w:eastAsia="zh-CN"/>
              </w:rPr>
            </w:pPr>
            <w:r>
              <w:rPr>
                <w:rFonts w:hint="eastAsia" w:ascii="宋体" w:hAnsi="宋体" w:cs="宋体"/>
                <w:kern w:val="0"/>
                <w:sz w:val="23"/>
                <w:szCs w:val="21"/>
                <w:highlight w:val="none"/>
                <w:lang w:val="en-US" w:eastAsia="zh-CN"/>
              </w:rPr>
              <w:t>7</w:t>
            </w:r>
          </w:p>
        </w:tc>
        <w:tc>
          <w:tcPr>
            <w:tcW w:w="3869"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建设工程消防设计文件编制</w:t>
            </w:r>
          </w:p>
        </w:tc>
        <w:tc>
          <w:tcPr>
            <w:tcW w:w="362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建设工程消防设计审查</w:t>
            </w:r>
          </w:p>
        </w:tc>
        <w:tc>
          <w:tcPr>
            <w:tcW w:w="153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具有建设工程勘察和设计资质的单位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default" w:ascii="宋体" w:hAnsi="宋体" w:cs="宋体"/>
                <w:kern w:val="0"/>
                <w:sz w:val="23"/>
                <w:szCs w:val="21"/>
                <w:highlight w:val="none"/>
                <w:lang w:val="en-US" w:eastAsia="zh-CN"/>
              </w:rPr>
            </w:pPr>
            <w:r>
              <w:rPr>
                <w:rFonts w:hint="eastAsia" w:ascii="宋体" w:hAnsi="宋体" w:cs="宋体"/>
                <w:kern w:val="0"/>
                <w:sz w:val="23"/>
                <w:szCs w:val="21"/>
                <w:highlight w:val="none"/>
                <w:lang w:val="en-US" w:eastAsia="zh-CN"/>
              </w:rPr>
              <w:t>8</w:t>
            </w:r>
          </w:p>
        </w:tc>
        <w:tc>
          <w:tcPr>
            <w:tcW w:w="3869"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建筑起重机械检验</w:t>
            </w:r>
          </w:p>
        </w:tc>
        <w:tc>
          <w:tcPr>
            <w:tcW w:w="362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建筑起重机械使用登记</w:t>
            </w:r>
          </w:p>
        </w:tc>
        <w:tc>
          <w:tcPr>
            <w:tcW w:w="153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具备特种设备检验检测相应资质的机构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67" w:type="dxa"/>
            <w:gridSpan w:val="4"/>
            <w:noWrap w:val="0"/>
            <w:vAlign w:val="center"/>
          </w:tcPr>
          <w:p>
            <w:pPr>
              <w:widowControl/>
              <w:spacing w:line="320" w:lineRule="exact"/>
              <w:ind w:left="-42" w:leftChars="-20" w:right="-42" w:rightChars="-20"/>
              <w:jc w:val="center"/>
              <w:rPr>
                <w:rFonts w:hint="default" w:ascii="宋体" w:hAnsi="宋体" w:eastAsia="宋体" w:cs="宋体"/>
                <w:kern w:val="0"/>
                <w:sz w:val="23"/>
                <w:szCs w:val="21"/>
                <w:highlight w:val="none"/>
                <w:lang w:val="en-US" w:eastAsia="zh-CN"/>
              </w:rPr>
            </w:pPr>
            <w:r>
              <w:rPr>
                <w:rFonts w:hint="eastAsia" w:ascii="宋体" w:hAnsi="宋体" w:cs="宋体"/>
                <w:b/>
                <w:bCs/>
                <w:sz w:val="23"/>
                <w:szCs w:val="21"/>
                <w:highlight w:val="none"/>
                <w:lang w:val="en-US" w:eastAsia="zh-CN"/>
              </w:rPr>
              <w:t>五、市农业农村局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eastAsia" w:ascii="宋体" w:hAnsi="宋体" w:eastAsia="宋体" w:cs="宋体"/>
                <w:kern w:val="0"/>
                <w:sz w:val="23"/>
                <w:szCs w:val="21"/>
                <w:highlight w:val="none"/>
                <w:lang w:val="en" w:eastAsia="zh-CN"/>
              </w:rPr>
            </w:pPr>
            <w:r>
              <w:rPr>
                <w:rFonts w:hint="eastAsia" w:ascii="宋体" w:hAnsi="宋体" w:cs="宋体"/>
                <w:kern w:val="0"/>
                <w:sz w:val="23"/>
                <w:szCs w:val="21"/>
                <w:highlight w:val="none"/>
                <w:lang w:val="en-US" w:eastAsia="zh-CN" w:bidi="ar"/>
              </w:rPr>
              <w:t>9</w:t>
            </w:r>
          </w:p>
        </w:tc>
        <w:tc>
          <w:tcPr>
            <w:tcW w:w="3869"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农村能源产品质量检验</w:t>
            </w:r>
          </w:p>
        </w:tc>
        <w:tc>
          <w:tcPr>
            <w:tcW w:w="362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农村能源产品生产经营许可</w:t>
            </w:r>
          </w:p>
        </w:tc>
        <w:tc>
          <w:tcPr>
            <w:tcW w:w="153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67" w:type="dxa"/>
            <w:gridSpan w:val="4"/>
            <w:noWrap w:val="0"/>
            <w:vAlign w:val="center"/>
          </w:tcPr>
          <w:p>
            <w:pPr>
              <w:widowControl/>
              <w:spacing w:line="320" w:lineRule="exact"/>
              <w:jc w:val="center"/>
              <w:textAlignment w:val="center"/>
              <w:rPr>
                <w:rFonts w:hint="default" w:ascii="宋体" w:hAnsi="宋体" w:eastAsia="宋体" w:cs="宋体"/>
                <w:kern w:val="0"/>
                <w:sz w:val="23"/>
                <w:szCs w:val="21"/>
                <w:highlight w:val="none"/>
                <w:lang w:val="en-US" w:eastAsia="zh-CN" w:bidi="ar"/>
              </w:rPr>
            </w:pPr>
            <w:r>
              <w:rPr>
                <w:rFonts w:hint="eastAsia" w:ascii="宋体" w:hAnsi="宋体" w:cs="宋体"/>
                <w:b/>
                <w:bCs/>
                <w:sz w:val="23"/>
                <w:szCs w:val="21"/>
                <w:highlight w:val="none"/>
                <w:lang w:val="en-US" w:eastAsia="zh-CN"/>
              </w:rPr>
              <w:t>六、市水利局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default" w:ascii="宋体" w:hAnsi="宋体" w:eastAsia="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10</w:t>
            </w:r>
          </w:p>
        </w:tc>
        <w:tc>
          <w:tcPr>
            <w:tcW w:w="3869"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 xml:space="preserve"> 非防洪建设项目洪水影响评价报告编制</w:t>
            </w:r>
          </w:p>
        </w:tc>
        <w:tc>
          <w:tcPr>
            <w:tcW w:w="362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非防洪建设项目洪水影响评价报告审批</w:t>
            </w:r>
            <w:r>
              <w:rPr>
                <w:rFonts w:hint="eastAsia" w:ascii="宋体" w:hAnsi="宋体" w:cs="宋体"/>
                <w:sz w:val="23"/>
                <w:szCs w:val="21"/>
                <w:highlight w:val="none"/>
                <w:lang w:val="en-US" w:eastAsia="zh-CN"/>
              </w:rPr>
              <w:br w:type="textWrapping"/>
            </w:r>
            <w:r>
              <w:rPr>
                <w:rFonts w:hint="eastAsia" w:ascii="宋体" w:hAnsi="宋体" w:cs="宋体"/>
                <w:sz w:val="23"/>
                <w:szCs w:val="21"/>
                <w:highlight w:val="none"/>
                <w:lang w:val="en-US" w:eastAsia="zh-CN"/>
              </w:rPr>
              <w:t>（属于“洪水影响评价审批”子项）</w:t>
            </w:r>
          </w:p>
        </w:tc>
        <w:tc>
          <w:tcPr>
            <w:tcW w:w="1537" w:type="dxa"/>
            <w:noWrap w:val="0"/>
            <w:vAlign w:val="center"/>
          </w:tcPr>
          <w:p>
            <w:pPr>
              <w:spacing w:line="320" w:lineRule="exact"/>
              <w:jc w:val="left"/>
              <w:rPr>
                <w:rFonts w:hint="eastAsia" w:ascii="宋体" w:hAnsi="宋体" w:cs="宋体"/>
                <w:sz w:val="23"/>
                <w:szCs w:val="21"/>
                <w:highlight w:val="none"/>
                <w:lang w:val="en" w:eastAsia="zh-CN"/>
              </w:rPr>
            </w:pPr>
            <w:r>
              <w:rPr>
                <w:rFonts w:hint="eastAsia" w:ascii="宋体" w:hAnsi="宋体" w:cs="宋体"/>
                <w:sz w:val="23"/>
                <w:szCs w:val="21"/>
                <w:highlight w:val="none"/>
                <w:lang w:val="en-US" w:eastAsia="zh-CN"/>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default"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11</w:t>
            </w:r>
          </w:p>
        </w:tc>
        <w:tc>
          <w:tcPr>
            <w:tcW w:w="3869"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生产建设项目水土保持监测</w:t>
            </w:r>
          </w:p>
        </w:tc>
        <w:tc>
          <w:tcPr>
            <w:tcW w:w="362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生产建设项目水土保持方案审批</w:t>
            </w:r>
          </w:p>
        </w:tc>
        <w:tc>
          <w:tcPr>
            <w:tcW w:w="1537" w:type="dxa"/>
            <w:noWrap w:val="0"/>
            <w:vAlign w:val="center"/>
          </w:tcPr>
          <w:p>
            <w:pPr>
              <w:spacing w:line="320" w:lineRule="exact"/>
              <w:jc w:val="left"/>
              <w:rPr>
                <w:rFonts w:hint="eastAsia" w:ascii="宋体" w:hAnsi="宋体" w:cs="宋体"/>
                <w:sz w:val="23"/>
                <w:szCs w:val="21"/>
                <w:highlight w:val="none"/>
                <w:lang w:val="en" w:eastAsia="zh-CN"/>
              </w:rPr>
            </w:pPr>
            <w:r>
              <w:rPr>
                <w:rFonts w:hint="eastAsia" w:ascii="宋体" w:hAnsi="宋体" w:cs="宋体"/>
                <w:sz w:val="23"/>
                <w:szCs w:val="21"/>
                <w:highlight w:val="none"/>
                <w:lang w:val="en-US" w:eastAsia="zh-CN"/>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67" w:type="dxa"/>
            <w:gridSpan w:val="4"/>
            <w:noWrap w:val="0"/>
            <w:vAlign w:val="center"/>
          </w:tcPr>
          <w:p>
            <w:pPr>
              <w:spacing w:line="320" w:lineRule="exact"/>
              <w:jc w:val="center"/>
              <w:rPr>
                <w:rFonts w:hint="default" w:ascii="宋体" w:hAnsi="宋体" w:cs="宋体"/>
                <w:sz w:val="23"/>
                <w:szCs w:val="21"/>
                <w:highlight w:val="none"/>
                <w:lang w:val="en-US" w:eastAsia="zh-CN"/>
              </w:rPr>
            </w:pPr>
            <w:r>
              <w:rPr>
                <w:rFonts w:hint="eastAsia" w:ascii="宋体" w:hAnsi="宋体" w:cs="宋体"/>
                <w:b/>
                <w:bCs/>
                <w:sz w:val="23"/>
                <w:szCs w:val="21"/>
                <w:highlight w:val="none"/>
                <w:lang w:val="en-US" w:eastAsia="zh-CN"/>
              </w:rPr>
              <w:t>七、市商务局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default"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12</w:t>
            </w:r>
          </w:p>
        </w:tc>
        <w:tc>
          <w:tcPr>
            <w:tcW w:w="3869"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拍卖企业年审年度财务审计</w:t>
            </w:r>
          </w:p>
        </w:tc>
        <w:tc>
          <w:tcPr>
            <w:tcW w:w="362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拍卖企业年审初审转报</w:t>
            </w:r>
          </w:p>
        </w:tc>
        <w:tc>
          <w:tcPr>
            <w:tcW w:w="1537" w:type="dxa"/>
            <w:noWrap w:val="0"/>
            <w:vAlign w:val="center"/>
          </w:tcPr>
          <w:p>
            <w:pPr>
              <w:spacing w:line="320" w:lineRule="exact"/>
              <w:jc w:val="left"/>
              <w:rPr>
                <w:rFonts w:hint="default" w:ascii="宋体" w:hAnsi="宋体" w:cs="宋体"/>
                <w:sz w:val="23"/>
                <w:szCs w:val="21"/>
                <w:highlight w:val="none"/>
                <w:lang w:val="en-US" w:eastAsia="zh-CN"/>
              </w:rPr>
            </w:pPr>
            <w:r>
              <w:rPr>
                <w:rFonts w:hint="eastAsia" w:ascii="宋体" w:hAnsi="宋体" w:cs="宋体"/>
                <w:sz w:val="23"/>
                <w:szCs w:val="21"/>
                <w:highlight w:val="none"/>
                <w:lang w:val="en-US" w:eastAsia="zh-CN"/>
              </w:rPr>
              <w:t>行政主体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67" w:type="dxa"/>
            <w:gridSpan w:val="4"/>
            <w:noWrap w:val="0"/>
            <w:vAlign w:val="center"/>
          </w:tcPr>
          <w:p>
            <w:pPr>
              <w:spacing w:line="320" w:lineRule="exact"/>
              <w:jc w:val="center"/>
              <w:rPr>
                <w:rFonts w:hint="default" w:ascii="宋体" w:hAnsi="宋体" w:cs="宋体"/>
                <w:sz w:val="23"/>
                <w:szCs w:val="21"/>
                <w:highlight w:val="none"/>
                <w:lang w:val="en-US" w:eastAsia="zh-CN"/>
              </w:rPr>
            </w:pPr>
            <w:r>
              <w:rPr>
                <w:rFonts w:hint="eastAsia" w:ascii="宋体" w:hAnsi="宋体" w:cs="宋体"/>
                <w:b/>
                <w:bCs/>
                <w:sz w:val="23"/>
                <w:szCs w:val="21"/>
                <w:highlight w:val="none"/>
                <w:lang w:val="en-US" w:eastAsia="zh-CN"/>
              </w:rPr>
              <w:t>八、市文旅局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default"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13</w:t>
            </w:r>
          </w:p>
        </w:tc>
        <w:tc>
          <w:tcPr>
            <w:tcW w:w="3869"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放射工作人员个人剂量监测</w:t>
            </w:r>
          </w:p>
        </w:tc>
        <w:tc>
          <w:tcPr>
            <w:tcW w:w="362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职业卫生、放射卫生技术服务机构资质认可</w:t>
            </w:r>
          </w:p>
        </w:tc>
        <w:tc>
          <w:tcPr>
            <w:tcW w:w="153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34" w:type="dxa"/>
            <w:noWrap w:val="0"/>
            <w:vAlign w:val="center"/>
          </w:tcPr>
          <w:p>
            <w:pPr>
              <w:widowControl/>
              <w:spacing w:line="320" w:lineRule="exact"/>
              <w:jc w:val="center"/>
              <w:textAlignment w:val="center"/>
              <w:rPr>
                <w:rFonts w:hint="default"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14</w:t>
            </w:r>
          </w:p>
        </w:tc>
        <w:tc>
          <w:tcPr>
            <w:tcW w:w="3869"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集中式空调通风系统卫生学评价</w:t>
            </w:r>
          </w:p>
        </w:tc>
        <w:tc>
          <w:tcPr>
            <w:tcW w:w="362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 xml:space="preserve">公共场所卫生许可              </w:t>
            </w:r>
          </w:p>
        </w:tc>
        <w:tc>
          <w:tcPr>
            <w:tcW w:w="153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67" w:type="dxa"/>
            <w:gridSpan w:val="4"/>
            <w:noWrap w:val="0"/>
            <w:vAlign w:val="center"/>
          </w:tcPr>
          <w:p>
            <w:pPr>
              <w:spacing w:line="320" w:lineRule="exact"/>
              <w:jc w:val="center"/>
              <w:rPr>
                <w:rFonts w:hint="default" w:ascii="宋体" w:hAnsi="宋体" w:cs="宋体"/>
                <w:sz w:val="23"/>
                <w:szCs w:val="21"/>
                <w:highlight w:val="none"/>
                <w:lang w:val="en-US" w:eastAsia="zh-CN"/>
              </w:rPr>
            </w:pPr>
            <w:r>
              <w:rPr>
                <w:rFonts w:hint="eastAsia" w:ascii="宋体" w:hAnsi="宋体" w:cs="宋体"/>
                <w:b/>
                <w:bCs/>
                <w:sz w:val="23"/>
                <w:szCs w:val="21"/>
                <w:highlight w:val="none"/>
                <w:lang w:val="en-US" w:eastAsia="zh-CN"/>
              </w:rPr>
              <w:t>九、城管局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default"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15</w:t>
            </w:r>
          </w:p>
        </w:tc>
        <w:tc>
          <w:tcPr>
            <w:tcW w:w="3869"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大型户外广告设施安全检测</w:t>
            </w:r>
          </w:p>
        </w:tc>
        <w:tc>
          <w:tcPr>
            <w:tcW w:w="362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设置大型户外广告及在城市建筑物、设施上悬挂、张贴宣传品审批</w:t>
            </w:r>
          </w:p>
        </w:tc>
        <w:tc>
          <w:tcPr>
            <w:tcW w:w="153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default"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16</w:t>
            </w:r>
          </w:p>
        </w:tc>
        <w:tc>
          <w:tcPr>
            <w:tcW w:w="3869"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排水水质、水量检（预）测</w:t>
            </w:r>
          </w:p>
        </w:tc>
        <w:tc>
          <w:tcPr>
            <w:tcW w:w="362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城镇污水排入排水管网许可</w:t>
            </w:r>
          </w:p>
        </w:tc>
        <w:tc>
          <w:tcPr>
            <w:tcW w:w="153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67" w:type="dxa"/>
            <w:gridSpan w:val="4"/>
            <w:noWrap w:val="0"/>
            <w:vAlign w:val="center"/>
          </w:tcPr>
          <w:p>
            <w:pPr>
              <w:spacing w:line="320" w:lineRule="exact"/>
              <w:jc w:val="center"/>
              <w:rPr>
                <w:rFonts w:hint="default" w:ascii="宋体" w:hAnsi="宋体" w:cs="宋体"/>
                <w:sz w:val="23"/>
                <w:szCs w:val="21"/>
                <w:highlight w:val="none"/>
                <w:lang w:val="en-US" w:eastAsia="zh-CN"/>
              </w:rPr>
            </w:pPr>
            <w:r>
              <w:rPr>
                <w:rFonts w:hint="eastAsia" w:ascii="宋体" w:hAnsi="宋体" w:cs="宋体"/>
                <w:b/>
                <w:bCs/>
                <w:sz w:val="23"/>
                <w:szCs w:val="21"/>
                <w:highlight w:val="none"/>
                <w:lang w:val="en-US" w:eastAsia="zh-CN"/>
              </w:rPr>
              <w:t>十、市金融监管局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default"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17</w:t>
            </w:r>
          </w:p>
        </w:tc>
        <w:tc>
          <w:tcPr>
            <w:tcW w:w="3869"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典当行设立验资</w:t>
            </w:r>
          </w:p>
        </w:tc>
        <w:tc>
          <w:tcPr>
            <w:tcW w:w="362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设立典当行及分支机构审批初审转报</w:t>
            </w:r>
          </w:p>
        </w:tc>
        <w:tc>
          <w:tcPr>
            <w:tcW w:w="1537" w:type="dxa"/>
            <w:noWrap w:val="0"/>
            <w:vAlign w:val="center"/>
          </w:tcPr>
          <w:p>
            <w:pPr>
              <w:spacing w:line="320" w:lineRule="exact"/>
              <w:jc w:val="left"/>
              <w:rPr>
                <w:rFonts w:hint="eastAsia" w:ascii="宋体" w:hAnsi="宋体" w:cs="宋体"/>
                <w:sz w:val="23"/>
                <w:szCs w:val="21"/>
                <w:highlight w:val="none"/>
                <w:lang w:val="en-US" w:eastAsia="zh-CN"/>
              </w:rPr>
            </w:pPr>
            <w:r>
              <w:rPr>
                <w:rFonts w:hint="default" w:ascii="宋体" w:hAnsi="宋体" w:cs="宋体"/>
                <w:sz w:val="23"/>
                <w:szCs w:val="21"/>
                <w:highlight w:val="none"/>
                <w:lang w:val="en-US" w:eastAsia="zh-CN"/>
              </w:rPr>
              <w:t>行政相对人委托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default"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18</w:t>
            </w:r>
          </w:p>
        </w:tc>
        <w:tc>
          <w:tcPr>
            <w:tcW w:w="3869"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出具典当行财务会计报告</w:t>
            </w:r>
          </w:p>
        </w:tc>
        <w:tc>
          <w:tcPr>
            <w:tcW w:w="362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设立典当行及分支机构审批初审转报</w:t>
            </w:r>
          </w:p>
        </w:tc>
        <w:tc>
          <w:tcPr>
            <w:tcW w:w="1537" w:type="dxa"/>
            <w:noWrap w:val="0"/>
            <w:vAlign w:val="center"/>
          </w:tcPr>
          <w:p>
            <w:pPr>
              <w:spacing w:line="320" w:lineRule="exact"/>
              <w:jc w:val="left"/>
              <w:rPr>
                <w:rFonts w:hint="eastAsia" w:ascii="宋体" w:hAnsi="宋体" w:cs="宋体"/>
                <w:sz w:val="23"/>
                <w:szCs w:val="21"/>
                <w:highlight w:val="none"/>
                <w:lang w:val="en-US" w:eastAsia="zh-CN"/>
              </w:rPr>
            </w:pPr>
            <w:r>
              <w:rPr>
                <w:rFonts w:hint="default" w:ascii="宋体" w:hAnsi="宋体" w:cs="宋体"/>
                <w:sz w:val="23"/>
                <w:szCs w:val="21"/>
                <w:highlight w:val="none"/>
                <w:lang w:val="en-US" w:eastAsia="zh-CN"/>
              </w:rPr>
              <w:t>行政相对人委托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default"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19</w:t>
            </w:r>
          </w:p>
        </w:tc>
        <w:tc>
          <w:tcPr>
            <w:tcW w:w="3869"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典当行法人股东财务审计</w:t>
            </w:r>
          </w:p>
        </w:tc>
        <w:tc>
          <w:tcPr>
            <w:tcW w:w="362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设立典当行及分支机构审批初审转报</w:t>
            </w:r>
          </w:p>
        </w:tc>
        <w:tc>
          <w:tcPr>
            <w:tcW w:w="1537" w:type="dxa"/>
            <w:noWrap w:val="0"/>
            <w:vAlign w:val="center"/>
          </w:tcPr>
          <w:p>
            <w:pPr>
              <w:spacing w:line="320" w:lineRule="exact"/>
              <w:jc w:val="left"/>
              <w:rPr>
                <w:rFonts w:hint="eastAsia" w:ascii="宋体" w:hAnsi="宋体" w:cs="宋体"/>
                <w:sz w:val="23"/>
                <w:szCs w:val="21"/>
                <w:highlight w:val="none"/>
                <w:lang w:val="en-US" w:eastAsia="zh-CN"/>
              </w:rPr>
            </w:pPr>
            <w:r>
              <w:rPr>
                <w:rFonts w:hint="default" w:ascii="宋体" w:hAnsi="宋体" w:cs="宋体"/>
                <w:sz w:val="23"/>
                <w:szCs w:val="21"/>
                <w:highlight w:val="none"/>
                <w:lang w:val="en-US" w:eastAsia="zh-CN"/>
              </w:rPr>
              <w:t>行政相对人委托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default"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20</w:t>
            </w:r>
          </w:p>
        </w:tc>
        <w:tc>
          <w:tcPr>
            <w:tcW w:w="3869"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典当行法人股东出资能力证明</w:t>
            </w:r>
          </w:p>
        </w:tc>
        <w:tc>
          <w:tcPr>
            <w:tcW w:w="362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设立典当行及分支机构审批初审转报</w:t>
            </w:r>
          </w:p>
        </w:tc>
        <w:tc>
          <w:tcPr>
            <w:tcW w:w="1537" w:type="dxa"/>
            <w:noWrap w:val="0"/>
            <w:vAlign w:val="center"/>
          </w:tcPr>
          <w:p>
            <w:pPr>
              <w:spacing w:line="320" w:lineRule="exact"/>
              <w:jc w:val="left"/>
              <w:rPr>
                <w:rFonts w:hint="eastAsia" w:ascii="宋体" w:hAnsi="宋体" w:cs="宋体"/>
                <w:sz w:val="23"/>
                <w:szCs w:val="21"/>
                <w:highlight w:val="none"/>
                <w:lang w:val="en-US" w:eastAsia="zh-CN"/>
              </w:rPr>
            </w:pPr>
            <w:r>
              <w:rPr>
                <w:rFonts w:hint="default" w:ascii="宋体" w:hAnsi="宋体" w:cs="宋体"/>
                <w:sz w:val="23"/>
                <w:szCs w:val="21"/>
                <w:highlight w:val="none"/>
                <w:lang w:val="en-US" w:eastAsia="zh-CN"/>
              </w:rPr>
              <w:t>行政相对人委托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67" w:type="dxa"/>
            <w:gridSpan w:val="4"/>
            <w:noWrap w:val="0"/>
            <w:vAlign w:val="center"/>
          </w:tcPr>
          <w:p>
            <w:pPr>
              <w:spacing w:line="320" w:lineRule="exact"/>
              <w:jc w:val="center"/>
              <w:rPr>
                <w:rFonts w:hint="default" w:ascii="宋体" w:hAnsi="宋体" w:cs="宋体"/>
                <w:sz w:val="23"/>
                <w:szCs w:val="21"/>
                <w:highlight w:val="none"/>
                <w:lang w:val="en-US" w:eastAsia="zh-CN"/>
              </w:rPr>
            </w:pPr>
            <w:r>
              <w:rPr>
                <w:rFonts w:hint="eastAsia" w:ascii="宋体" w:hAnsi="宋体" w:cs="宋体"/>
                <w:b/>
                <w:bCs/>
                <w:sz w:val="23"/>
                <w:szCs w:val="21"/>
                <w:highlight w:val="none"/>
                <w:lang w:val="en-US" w:eastAsia="zh-CN"/>
              </w:rPr>
              <w:t>十一、人防办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default"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21</w:t>
            </w:r>
          </w:p>
        </w:tc>
        <w:tc>
          <w:tcPr>
            <w:tcW w:w="3869"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人防工程平战转换预案编制</w:t>
            </w:r>
          </w:p>
        </w:tc>
        <w:tc>
          <w:tcPr>
            <w:tcW w:w="362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人民防空工程竣工验收备案</w:t>
            </w:r>
          </w:p>
        </w:tc>
        <w:tc>
          <w:tcPr>
            <w:tcW w:w="153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67" w:type="dxa"/>
            <w:gridSpan w:val="4"/>
            <w:noWrap w:val="0"/>
            <w:vAlign w:val="center"/>
          </w:tcPr>
          <w:p>
            <w:pPr>
              <w:spacing w:line="320" w:lineRule="exact"/>
              <w:jc w:val="center"/>
              <w:rPr>
                <w:rFonts w:hint="default" w:ascii="宋体" w:hAnsi="宋体" w:cs="宋体"/>
                <w:sz w:val="23"/>
                <w:szCs w:val="21"/>
                <w:highlight w:val="none"/>
                <w:lang w:val="en-US" w:eastAsia="zh-CN"/>
              </w:rPr>
            </w:pPr>
            <w:r>
              <w:rPr>
                <w:rFonts w:hint="eastAsia" w:ascii="宋体" w:hAnsi="宋体" w:cs="宋体"/>
                <w:b/>
                <w:bCs/>
                <w:sz w:val="23"/>
                <w:szCs w:val="21"/>
                <w:highlight w:val="none"/>
                <w:lang w:val="en-US" w:eastAsia="zh-CN"/>
              </w:rPr>
              <w:t>十二、市气象局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default"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22</w:t>
            </w:r>
          </w:p>
        </w:tc>
        <w:tc>
          <w:tcPr>
            <w:tcW w:w="3869"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新建、改建、扩建建（构）筑物雷电防护装置检测(不含房屋建筑工程和市政基础设施工程及公路、水路、铁路、民航、水利、电力、核电、通信等专业建设工程)</w:t>
            </w:r>
          </w:p>
        </w:tc>
        <w:tc>
          <w:tcPr>
            <w:tcW w:w="362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雷电防护装置竣工验收</w:t>
            </w:r>
          </w:p>
        </w:tc>
        <w:tc>
          <w:tcPr>
            <w:tcW w:w="153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0"/>
            <w:vAlign w:val="center"/>
          </w:tcPr>
          <w:p>
            <w:pPr>
              <w:widowControl/>
              <w:spacing w:line="320" w:lineRule="exact"/>
              <w:jc w:val="center"/>
              <w:textAlignment w:val="center"/>
              <w:rPr>
                <w:rFonts w:hint="default" w:ascii="宋体" w:hAnsi="宋体" w:cs="宋体"/>
                <w:kern w:val="0"/>
                <w:sz w:val="23"/>
                <w:szCs w:val="21"/>
                <w:highlight w:val="none"/>
                <w:lang w:val="en-US" w:eastAsia="zh-CN" w:bidi="ar"/>
              </w:rPr>
            </w:pPr>
            <w:r>
              <w:rPr>
                <w:rFonts w:hint="eastAsia" w:ascii="宋体" w:hAnsi="宋体" w:cs="宋体"/>
                <w:kern w:val="0"/>
                <w:sz w:val="23"/>
                <w:szCs w:val="21"/>
                <w:highlight w:val="none"/>
                <w:lang w:val="en-US" w:eastAsia="zh-CN" w:bidi="ar"/>
              </w:rPr>
              <w:t>23</w:t>
            </w:r>
          </w:p>
        </w:tc>
        <w:tc>
          <w:tcPr>
            <w:tcW w:w="3869"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雷电防护装置设计技术评价(不含房屋建筑工程和市政基础设施工程及公路、水路、铁路、民航、水利、电力、核电、通信等专业建设工程)</w:t>
            </w:r>
          </w:p>
        </w:tc>
        <w:tc>
          <w:tcPr>
            <w:tcW w:w="362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雷电防护装置设计审核</w:t>
            </w:r>
          </w:p>
        </w:tc>
        <w:tc>
          <w:tcPr>
            <w:tcW w:w="1537" w:type="dxa"/>
            <w:noWrap w:val="0"/>
            <w:vAlign w:val="center"/>
          </w:tcPr>
          <w:p>
            <w:pPr>
              <w:spacing w:line="320" w:lineRule="exact"/>
              <w:jc w:val="left"/>
              <w:rPr>
                <w:rFonts w:hint="eastAsia" w:ascii="宋体" w:hAnsi="宋体" w:cs="宋体"/>
                <w:sz w:val="23"/>
                <w:szCs w:val="21"/>
                <w:highlight w:val="none"/>
                <w:lang w:val="en-US" w:eastAsia="zh-CN"/>
              </w:rPr>
            </w:pPr>
            <w:r>
              <w:rPr>
                <w:rFonts w:hint="eastAsia" w:ascii="宋体" w:hAnsi="宋体" w:cs="宋体"/>
                <w:sz w:val="23"/>
                <w:szCs w:val="21"/>
                <w:highlight w:val="none"/>
                <w:lang w:val="en-US" w:eastAsia="zh-CN"/>
              </w:rPr>
              <w:t>行政机关</w:t>
            </w:r>
          </w:p>
        </w:tc>
      </w:tr>
    </w:tbl>
    <w:p>
      <w:pPr>
        <w:spacing w:line="590" w:lineRule="exact"/>
        <w:jc w:val="center"/>
        <w:rPr>
          <w:rFonts w:hint="eastAsia" w:eastAsia="方正小标宋_GBK" w:cs="方正小标宋_GBK"/>
          <w:sz w:val="36"/>
          <w:szCs w:val="36"/>
          <w:highlight w:val="none"/>
        </w:rPr>
      </w:pPr>
    </w:p>
    <w:p>
      <w:pPr>
        <w:spacing w:line="320" w:lineRule="exact"/>
        <w:jc w:val="left"/>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MzEyNDEzNjZmYTAyN2ZlOWVmNjMxNGFlNDMyMDUifQ=="/>
  </w:docVars>
  <w:rsids>
    <w:rsidRoot w:val="6B616FF6"/>
    <w:rsid w:val="13074410"/>
    <w:rsid w:val="13D31C91"/>
    <w:rsid w:val="16044D90"/>
    <w:rsid w:val="1A91517D"/>
    <w:rsid w:val="1D911EEE"/>
    <w:rsid w:val="3A0A11EF"/>
    <w:rsid w:val="42941E82"/>
    <w:rsid w:val="583D4C70"/>
    <w:rsid w:val="634400E3"/>
    <w:rsid w:val="66071A26"/>
    <w:rsid w:val="6A1027A6"/>
    <w:rsid w:val="6B616FF6"/>
    <w:rsid w:val="6DA83195"/>
    <w:rsid w:val="77F52BAF"/>
    <w:rsid w:val="B9B7F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character" w:styleId="5">
    <w:name w:val="Hyperlink"/>
    <w:basedOn w:val="4"/>
    <w:qFormat/>
    <w:uiPriority w:val="0"/>
    <w:rPr>
      <w:color w:val="0000FF"/>
      <w:u w:val="single"/>
    </w:rPr>
  </w:style>
  <w:style w:type="character" w:customStyle="1" w:styleId="6">
    <w:name w:val="font11"/>
    <w:basedOn w:val="4"/>
    <w:uiPriority w:val="0"/>
    <w:rPr>
      <w:rFonts w:hint="eastAsia" w:ascii="宋体" w:hAnsi="宋体" w:eastAsia="宋体" w:cs="宋体"/>
      <w:color w:val="E54C5E"/>
      <w:sz w:val="16"/>
      <w:szCs w:val="16"/>
      <w:u w:val="none"/>
    </w:rPr>
  </w:style>
  <w:style w:type="character" w:customStyle="1" w:styleId="7">
    <w:name w:val="font21"/>
    <w:basedOn w:val="4"/>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2023-11-10T23:32:00Z</dcterms:created>
  <dc:creator>Lenovo</dc:creator>
  <cp:lastModifiedBy>administrator</cp:lastModifiedBy>
  <dcterms:modified xsi:type="dcterms:W3CDTF">2023-12-01T15:36:31Z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AC70CF29540D4D299F355D8A620AD876_11</vt:lpwstr>
  </property>
</Properties>
</file>