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bidi w:val="0"/>
        <w:adjustRightInd/>
        <w:snapToGrid w:val="0"/>
        <w:spacing w:line="572" w:lineRule="exact"/>
        <w:jc w:val="both"/>
        <w:textAlignment w:val="auto"/>
        <w:rPr>
          <w:rFonts w:hint="eastAsia" w:ascii="仿宋_GB2312" w:hAnsi="仿宋_GB2312" w:eastAsia="仿宋_GB2312" w:cs="仿宋_GB2312"/>
          <w:spacing w:val="-17"/>
          <w:sz w:val="32"/>
          <w:szCs w:val="32"/>
          <w:lang w:eastAsia="zh-CN"/>
        </w:rPr>
      </w:pPr>
    </w:p>
    <w:p>
      <w:pPr>
        <w:pStyle w:val="8"/>
        <w:keepNext w:val="0"/>
        <w:keepLines w:val="0"/>
        <w:pageBreakBefore w:val="0"/>
        <w:widowControl/>
        <w:kinsoku/>
        <w:wordWrap/>
        <w:overflowPunct/>
        <w:topLinePunct w:val="0"/>
        <w:autoSpaceDN/>
        <w:bidi w:val="0"/>
        <w:adjustRightInd/>
        <w:spacing w:before="0" w:beforeAutospacing="0" w:after="0" w:afterAutospacing="0" w:line="572" w:lineRule="exact"/>
        <w:jc w:val="both"/>
        <w:textAlignment w:val="auto"/>
        <w:rPr>
          <w:rFonts w:hint="eastAsia" w:ascii="仿宋_GB2312" w:hAnsi="仿宋_GB2312" w:eastAsia="仿宋_GB2312" w:cs="仿宋_GB2312"/>
          <w:snapToGrid w:val="0"/>
          <w:kern w:val="0"/>
          <w:sz w:val="32"/>
          <w:szCs w:val="32"/>
          <w:lang w:bidi="ar"/>
        </w:rPr>
      </w:pPr>
    </w:p>
    <w:p>
      <w:pPr>
        <w:pStyle w:val="8"/>
        <w:keepNext w:val="0"/>
        <w:keepLines w:val="0"/>
        <w:pageBreakBefore w:val="0"/>
        <w:widowControl/>
        <w:kinsoku/>
        <w:wordWrap/>
        <w:overflowPunct/>
        <w:topLinePunct w:val="0"/>
        <w:autoSpaceDN/>
        <w:bidi w:val="0"/>
        <w:adjustRightInd/>
        <w:spacing w:before="0" w:beforeAutospacing="0" w:after="0" w:afterAutospacing="0" w:line="572" w:lineRule="exact"/>
        <w:jc w:val="both"/>
        <w:textAlignment w:val="auto"/>
        <w:rPr>
          <w:rFonts w:hint="eastAsia" w:ascii="仿宋_GB2312" w:hAnsi="仿宋_GB2312" w:eastAsia="仿宋_GB2312" w:cs="仿宋_GB2312"/>
          <w:snapToGrid w:val="0"/>
          <w:kern w:val="0"/>
          <w:sz w:val="32"/>
          <w:szCs w:val="32"/>
          <w:lang w:bidi="ar"/>
        </w:rPr>
      </w:pPr>
    </w:p>
    <w:p>
      <w:pPr>
        <w:pStyle w:val="8"/>
        <w:keepNext w:val="0"/>
        <w:keepLines w:val="0"/>
        <w:pageBreakBefore w:val="0"/>
        <w:widowControl/>
        <w:kinsoku/>
        <w:wordWrap/>
        <w:overflowPunct/>
        <w:topLinePunct w:val="0"/>
        <w:autoSpaceDE/>
        <w:autoSpaceDN/>
        <w:bidi w:val="0"/>
        <w:adjustRightInd/>
        <w:spacing w:before="0" w:beforeAutospacing="0" w:after="0" w:afterAutospacing="0" w:line="680" w:lineRule="exact"/>
        <w:jc w:val="both"/>
        <w:textAlignment w:val="auto"/>
        <w:rPr>
          <w:rFonts w:hint="eastAsia" w:ascii="仿宋_GB2312" w:hAnsi="仿宋_GB2312" w:eastAsia="仿宋_GB2312" w:cs="仿宋_GB2312"/>
          <w:snapToGrid w:val="0"/>
          <w:kern w:val="0"/>
          <w:sz w:val="32"/>
          <w:szCs w:val="32"/>
          <w:lang w:bidi="ar"/>
        </w:rPr>
      </w:pPr>
    </w:p>
    <w:p>
      <w:pPr>
        <w:pStyle w:val="8"/>
        <w:keepNext w:val="0"/>
        <w:keepLines w:val="0"/>
        <w:pageBreakBefore w:val="0"/>
        <w:widowControl/>
        <w:kinsoku/>
        <w:wordWrap/>
        <w:overflowPunct/>
        <w:topLinePunct w:val="0"/>
        <w:autoSpaceDE/>
        <w:autoSpaceDN/>
        <w:bidi w:val="0"/>
        <w:adjustRightInd/>
        <w:spacing w:before="0" w:beforeAutospacing="0" w:after="0" w:afterAutospacing="0" w:line="680" w:lineRule="exact"/>
        <w:jc w:val="center"/>
        <w:textAlignment w:val="auto"/>
        <w:rPr>
          <w:rFonts w:hint="eastAsia" w:ascii="方正小标宋简体" w:hAnsi="方正小标宋简体" w:eastAsia="方正小标宋简体" w:cs="方正小标宋简体"/>
          <w:snapToGrid w:val="0"/>
          <w:kern w:val="0"/>
          <w:sz w:val="44"/>
          <w:szCs w:val="44"/>
          <w:lang w:bidi="ar"/>
        </w:rPr>
      </w:pPr>
      <w:r>
        <w:rPr>
          <w:rFonts w:hint="eastAsia" w:ascii="方正小标宋简体" w:hAnsi="方正小标宋简体" w:eastAsia="方正小标宋简体" w:cs="方正小标宋简体"/>
          <w:snapToGrid w:val="0"/>
          <w:kern w:val="0"/>
          <w:sz w:val="44"/>
          <w:szCs w:val="44"/>
          <w:lang w:bidi="ar"/>
        </w:rPr>
        <w:t>关于印发贯彻落实《</w:t>
      </w:r>
      <w:r>
        <w:rPr>
          <w:rFonts w:hint="eastAsia" w:ascii="方正小标宋简体" w:hAnsi="方正小标宋简体" w:eastAsia="方正小标宋简体" w:cs="方正小标宋简体"/>
          <w:snapToGrid w:val="0"/>
          <w:kern w:val="0"/>
          <w:sz w:val="44"/>
          <w:szCs w:val="44"/>
          <w:lang w:val="en-US" w:eastAsia="zh-CN" w:bidi="ar"/>
        </w:rPr>
        <w:t>安徽省</w:t>
      </w:r>
      <w:r>
        <w:rPr>
          <w:rFonts w:hint="eastAsia" w:ascii="方正小标宋简体" w:hAnsi="方正小标宋简体" w:eastAsia="方正小标宋简体" w:cs="方正小标宋简体"/>
          <w:snapToGrid w:val="0"/>
          <w:kern w:val="0"/>
          <w:sz w:val="44"/>
          <w:szCs w:val="44"/>
          <w:lang w:bidi="ar"/>
        </w:rPr>
        <w:t>建设高标准市场</w:t>
      </w:r>
    </w:p>
    <w:p>
      <w:pPr>
        <w:pStyle w:val="8"/>
        <w:keepNext w:val="0"/>
        <w:keepLines w:val="0"/>
        <w:pageBreakBefore w:val="0"/>
        <w:widowControl/>
        <w:kinsoku/>
        <w:wordWrap/>
        <w:overflowPunct/>
        <w:topLinePunct w:val="0"/>
        <w:autoSpaceDE/>
        <w:autoSpaceDN/>
        <w:bidi w:val="0"/>
        <w:adjustRightInd/>
        <w:spacing w:before="0" w:beforeAutospacing="0" w:after="0" w:afterAutospacing="0" w:line="680" w:lineRule="exact"/>
        <w:jc w:val="center"/>
        <w:textAlignment w:val="auto"/>
        <w:rPr>
          <w:rFonts w:hint="eastAsia" w:ascii="方正小标宋简体" w:hAnsi="方正小标宋简体" w:eastAsia="方正小标宋简体" w:cs="方正小标宋简体"/>
          <w:snapToGrid w:val="0"/>
          <w:kern w:val="0"/>
          <w:sz w:val="44"/>
          <w:szCs w:val="44"/>
          <w:lang w:bidi="ar"/>
        </w:rPr>
      </w:pPr>
      <w:r>
        <w:rPr>
          <w:rFonts w:hint="eastAsia" w:ascii="方正小标宋简体" w:hAnsi="方正小标宋简体" w:eastAsia="方正小标宋简体" w:cs="方正小标宋简体"/>
          <w:snapToGrid w:val="0"/>
          <w:kern w:val="0"/>
          <w:sz w:val="44"/>
          <w:szCs w:val="44"/>
          <w:lang w:bidi="ar"/>
        </w:rPr>
        <w:t>体系行动</w:t>
      </w:r>
      <w:r>
        <w:rPr>
          <w:rFonts w:hint="eastAsia" w:ascii="方正小标宋简体" w:hAnsi="方正小标宋简体" w:eastAsia="方正小标宋简体" w:cs="方正小标宋简体"/>
          <w:snapToGrid w:val="0"/>
          <w:kern w:val="0"/>
          <w:sz w:val="44"/>
          <w:szCs w:val="44"/>
          <w:lang w:val="en-US" w:eastAsia="zh-CN" w:bidi="ar"/>
        </w:rPr>
        <w:t>实施</w:t>
      </w:r>
      <w:r>
        <w:rPr>
          <w:rFonts w:hint="eastAsia" w:ascii="方正小标宋简体" w:hAnsi="方正小标宋简体" w:eastAsia="方正小标宋简体" w:cs="方正小标宋简体"/>
          <w:snapToGrid w:val="0"/>
          <w:kern w:val="0"/>
          <w:sz w:val="44"/>
          <w:szCs w:val="44"/>
          <w:lang w:bidi="ar"/>
        </w:rPr>
        <w:t>方案》任务分工的通知</w:t>
      </w:r>
    </w:p>
    <w:p>
      <w:pPr>
        <w:pStyle w:val="5"/>
        <w:keepNext w:val="0"/>
        <w:keepLines w:val="0"/>
        <w:pageBreakBefore w:val="0"/>
        <w:kinsoku/>
        <w:wordWrap/>
        <w:overflowPunct/>
        <w:topLinePunct w:val="0"/>
        <w:autoSpaceDE/>
        <w:autoSpaceDN/>
        <w:bidi w:val="0"/>
        <w:adjustRightInd/>
        <w:spacing w:line="680" w:lineRule="exact"/>
        <w:jc w:val="both"/>
        <w:textAlignment w:val="auto"/>
        <w:rPr>
          <w:rFonts w:hint="eastAsia" w:ascii="仿宋_GB2312" w:hAnsi="仿宋_GB2312" w:eastAsia="仿宋_GB2312" w:cs="仿宋_GB2312"/>
          <w:sz w:val="32"/>
          <w:szCs w:val="32"/>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572" w:lineRule="exact"/>
        <w:ind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为深入贯彻落实</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中共安徽省委办公厅</w:t>
      </w:r>
      <w:r>
        <w:rPr>
          <w:rFonts w:hint="eastAsia" w:ascii="仿宋_GB2312" w:hAnsi="仿宋_GB2312" w:eastAsia="仿宋_GB2312" w:cs="仿宋_GB2312"/>
          <w:color w:val="auto"/>
          <w:spacing w:val="0"/>
          <w:sz w:val="32"/>
          <w:szCs w:val="32"/>
          <w:lang w:val="en-US" w:eastAsia="zh-CN"/>
        </w:rPr>
        <w:t xml:space="preserve"> 安徽省人民政府办公厅</w:t>
      </w:r>
      <w:r>
        <w:rPr>
          <w:rFonts w:hint="eastAsia" w:ascii="仿宋_GB2312" w:hAnsi="仿宋_GB2312" w:eastAsia="仿宋_GB2312" w:cs="仿宋_GB2312"/>
          <w:color w:val="auto"/>
          <w:spacing w:val="0"/>
          <w:sz w:val="32"/>
          <w:szCs w:val="32"/>
        </w:rPr>
        <w:t>关于印发〈</w:t>
      </w:r>
      <w:r>
        <w:rPr>
          <w:rFonts w:hint="eastAsia" w:ascii="仿宋_GB2312" w:hAnsi="仿宋_GB2312" w:eastAsia="仿宋_GB2312" w:cs="仿宋_GB2312"/>
          <w:color w:val="auto"/>
          <w:spacing w:val="0"/>
          <w:sz w:val="32"/>
          <w:szCs w:val="32"/>
          <w:lang w:val="en-US" w:eastAsia="zh-CN"/>
        </w:rPr>
        <w:t>安徽省</w:t>
      </w:r>
      <w:r>
        <w:rPr>
          <w:rFonts w:hint="eastAsia" w:ascii="仿宋_GB2312" w:hAnsi="仿宋_GB2312" w:eastAsia="仿宋_GB2312" w:cs="仿宋_GB2312"/>
          <w:color w:val="auto"/>
          <w:spacing w:val="0"/>
          <w:sz w:val="32"/>
          <w:szCs w:val="32"/>
        </w:rPr>
        <w:t>建设高标准市场体系行动</w:t>
      </w:r>
      <w:r>
        <w:rPr>
          <w:rFonts w:hint="eastAsia" w:ascii="仿宋_GB2312" w:hAnsi="仿宋_GB2312" w:eastAsia="仿宋_GB2312" w:cs="仿宋_GB2312"/>
          <w:color w:val="auto"/>
          <w:spacing w:val="0"/>
          <w:sz w:val="32"/>
          <w:szCs w:val="32"/>
          <w:lang w:eastAsia="zh-CN"/>
        </w:rPr>
        <w:t>实施</w:t>
      </w:r>
      <w:r>
        <w:rPr>
          <w:rFonts w:hint="eastAsia" w:ascii="仿宋_GB2312" w:hAnsi="仿宋_GB2312" w:eastAsia="仿宋_GB2312" w:cs="仿宋_GB2312"/>
          <w:color w:val="auto"/>
          <w:spacing w:val="0"/>
          <w:sz w:val="32"/>
          <w:szCs w:val="32"/>
        </w:rPr>
        <w:t>方案〉的通知》</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皖办发〔2021〕35号</w:t>
      </w:r>
      <w:r>
        <w:rPr>
          <w:rFonts w:hint="eastAsia" w:ascii="仿宋_GB2312" w:hAnsi="仿宋_GB2312" w:eastAsia="仿宋_GB2312" w:cs="仿宋_GB2312"/>
          <w:color w:val="auto"/>
          <w:spacing w:val="0"/>
          <w:sz w:val="32"/>
          <w:szCs w:val="32"/>
          <w:lang w:eastAsia="zh-CN"/>
        </w:rPr>
        <w:t>），构建高水平社会主义市场经济体制，进一步激发市场主体活力,</w:t>
      </w:r>
      <w:r>
        <w:rPr>
          <w:rFonts w:hint="eastAsia" w:ascii="仿宋_GB2312" w:hAnsi="仿宋_GB2312" w:eastAsia="仿宋_GB2312" w:cs="仿宋_GB2312"/>
          <w:color w:val="auto"/>
          <w:spacing w:val="0"/>
          <w:sz w:val="32"/>
          <w:szCs w:val="32"/>
        </w:rPr>
        <w:t>根据</w:t>
      </w:r>
      <w:r>
        <w:rPr>
          <w:rFonts w:hint="eastAsia" w:ascii="仿宋_GB2312" w:hAnsi="仿宋_GB2312" w:eastAsia="仿宋_GB2312" w:cs="仿宋_GB2312"/>
          <w:color w:val="auto"/>
          <w:spacing w:val="0"/>
          <w:sz w:val="32"/>
          <w:szCs w:val="32"/>
          <w:lang w:val="en-US" w:eastAsia="zh-CN"/>
        </w:rPr>
        <w:t>市委、</w:t>
      </w:r>
      <w:r>
        <w:rPr>
          <w:rFonts w:hint="eastAsia" w:ascii="仿宋_GB2312" w:hAnsi="仿宋_GB2312" w:eastAsia="仿宋_GB2312" w:cs="仿宋_GB2312"/>
          <w:color w:val="auto"/>
          <w:spacing w:val="0"/>
          <w:sz w:val="32"/>
          <w:szCs w:val="32"/>
        </w:rPr>
        <w:t>市政府工作部署，现将我市贯彻落实</w:t>
      </w:r>
      <w:r>
        <w:rPr>
          <w:rFonts w:hint="eastAsia" w:ascii="仿宋_GB2312" w:hAnsi="仿宋_GB2312" w:eastAsia="仿宋_GB2312" w:cs="仿宋_GB2312"/>
          <w:b w:val="0"/>
          <w:bCs w:val="0"/>
          <w:color w:val="auto"/>
          <w:spacing w:val="0"/>
          <w:sz w:val="32"/>
          <w:szCs w:val="32"/>
          <w:lang w:eastAsia="zh-CN"/>
        </w:rPr>
        <w:t>重点任务</w:t>
      </w:r>
      <w:r>
        <w:rPr>
          <w:rFonts w:hint="eastAsia" w:ascii="仿宋_GB2312" w:hAnsi="仿宋_GB2312" w:eastAsia="仿宋_GB2312" w:cs="仿宋_GB2312"/>
          <w:b w:val="0"/>
          <w:bCs w:val="0"/>
          <w:color w:val="auto"/>
          <w:spacing w:val="0"/>
          <w:sz w:val="32"/>
          <w:szCs w:val="32"/>
          <w:lang w:val="en-US" w:eastAsia="zh-CN"/>
        </w:rPr>
        <w:t>分工</w:t>
      </w:r>
      <w:r>
        <w:rPr>
          <w:rFonts w:hint="eastAsia" w:ascii="仿宋_GB2312" w:hAnsi="仿宋_GB2312" w:eastAsia="仿宋_GB2312" w:cs="仿宋_GB2312"/>
          <w:color w:val="auto"/>
          <w:spacing w:val="0"/>
          <w:sz w:val="32"/>
          <w:szCs w:val="32"/>
        </w:rPr>
        <w:t>印发给你们，并提出如下要求，请结合实际认真执行。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572" w:lineRule="exact"/>
        <w:ind w:right="0" w:firstLine="640"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一、提高政治站位，强化组织领导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572"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各</w:t>
      </w:r>
      <w:r>
        <w:rPr>
          <w:rFonts w:hint="eastAsia" w:ascii="仿宋_GB2312" w:hAnsi="仿宋_GB2312" w:eastAsia="仿宋_GB2312" w:cs="仿宋_GB2312"/>
          <w:i w:val="0"/>
          <w:iCs w:val="0"/>
          <w:caps w:val="0"/>
          <w:color w:val="auto"/>
          <w:spacing w:val="0"/>
          <w:sz w:val="32"/>
          <w:szCs w:val="32"/>
          <w:shd w:val="clear" w:fill="FFFFFF"/>
          <w:lang w:val="en-US" w:eastAsia="zh-CN"/>
        </w:rPr>
        <w:t>地各单位</w:t>
      </w:r>
      <w:r>
        <w:rPr>
          <w:rFonts w:hint="eastAsia" w:ascii="仿宋_GB2312" w:hAnsi="仿宋_GB2312" w:eastAsia="仿宋_GB2312" w:cs="仿宋_GB2312"/>
          <w:i w:val="0"/>
          <w:iCs w:val="0"/>
          <w:caps w:val="0"/>
          <w:color w:val="auto"/>
          <w:spacing w:val="0"/>
          <w:sz w:val="32"/>
          <w:szCs w:val="32"/>
          <w:shd w:val="clear" w:fill="FFFFFF"/>
        </w:rPr>
        <w:t>要进一步提高政治站位，充分认识建设高标准市场体系的重要意义，紧紧围绕</w:t>
      </w:r>
      <w:r>
        <w:rPr>
          <w:rFonts w:hint="eastAsia" w:ascii="仿宋_GB2312" w:hAnsi="仿宋_GB2312" w:eastAsia="仿宋_GB2312" w:cs="仿宋_GB2312"/>
          <w:i w:val="0"/>
          <w:iCs w:val="0"/>
          <w:caps w:val="0"/>
          <w:color w:val="auto"/>
          <w:spacing w:val="0"/>
          <w:sz w:val="32"/>
          <w:szCs w:val="32"/>
          <w:shd w:val="clear" w:fill="FFFFFF"/>
          <w:lang w:val="en-US" w:eastAsia="zh-CN"/>
        </w:rPr>
        <w:t>全面落实</w:t>
      </w:r>
      <w:r>
        <w:rPr>
          <w:rFonts w:hint="eastAsia" w:ascii="仿宋_GB2312" w:hAnsi="仿宋_GB2312" w:eastAsia="仿宋_GB2312" w:cs="仿宋_GB2312"/>
          <w:i w:val="0"/>
          <w:iCs w:val="0"/>
          <w:caps w:val="0"/>
          <w:color w:val="auto"/>
          <w:spacing w:val="0"/>
          <w:sz w:val="32"/>
          <w:szCs w:val="32"/>
          <w:shd w:val="clear" w:fill="FFFFFF"/>
        </w:rPr>
        <w:t>市场体系基础制度、</w:t>
      </w:r>
      <w:r>
        <w:rPr>
          <w:rFonts w:hint="eastAsia" w:ascii="仿宋_GB2312" w:hAnsi="仿宋_GB2312" w:eastAsia="仿宋_GB2312" w:cs="仿宋_GB2312"/>
          <w:i w:val="0"/>
          <w:iCs w:val="0"/>
          <w:caps w:val="0"/>
          <w:color w:val="auto"/>
          <w:spacing w:val="0"/>
          <w:sz w:val="32"/>
          <w:szCs w:val="32"/>
          <w:shd w:val="clear" w:fill="FFFFFF"/>
          <w:lang w:val="en-US" w:eastAsia="zh-CN"/>
        </w:rPr>
        <w:t>持续深化</w:t>
      </w:r>
      <w:r>
        <w:rPr>
          <w:rFonts w:hint="eastAsia" w:ascii="仿宋_GB2312" w:hAnsi="仿宋_GB2312" w:eastAsia="仿宋_GB2312" w:cs="仿宋_GB2312"/>
          <w:i w:val="0"/>
          <w:iCs w:val="0"/>
          <w:caps w:val="0"/>
          <w:color w:val="auto"/>
          <w:spacing w:val="0"/>
          <w:sz w:val="32"/>
          <w:szCs w:val="32"/>
          <w:shd w:val="clear" w:fill="FFFFFF"/>
        </w:rPr>
        <w:t>要素资源</w:t>
      </w:r>
      <w:r>
        <w:rPr>
          <w:rFonts w:hint="eastAsia" w:ascii="仿宋_GB2312" w:hAnsi="仿宋_GB2312" w:eastAsia="仿宋_GB2312" w:cs="仿宋_GB2312"/>
          <w:i w:val="0"/>
          <w:iCs w:val="0"/>
          <w:caps w:val="0"/>
          <w:color w:val="auto"/>
          <w:spacing w:val="0"/>
          <w:sz w:val="32"/>
          <w:szCs w:val="32"/>
          <w:shd w:val="clear" w:fill="FFFFFF"/>
          <w:lang w:val="en-US" w:eastAsia="zh-CN"/>
        </w:rPr>
        <w:t>市场化配置改革</w:t>
      </w:r>
      <w:r>
        <w:rPr>
          <w:rFonts w:hint="eastAsia" w:ascii="仿宋_GB2312" w:hAnsi="仿宋_GB2312" w:eastAsia="仿宋_GB2312" w:cs="仿宋_GB2312"/>
          <w:i w:val="0"/>
          <w:iCs w:val="0"/>
          <w:caps w:val="0"/>
          <w:color w:val="auto"/>
          <w:spacing w:val="0"/>
          <w:sz w:val="32"/>
          <w:szCs w:val="32"/>
          <w:shd w:val="clear" w:fill="FFFFFF"/>
        </w:rPr>
        <w:t>、改善提升市场环境和质量、实施高水平市场开放、完善现代化市场监管机制等重点任务，强化组织领导，完善工作机制，积极主动作为，推动实现市场准入畅通、开放有序、竞争充分、秩序规范，为我</w:t>
      </w:r>
      <w:r>
        <w:rPr>
          <w:rFonts w:hint="eastAsia" w:ascii="仿宋_GB2312" w:hAnsi="仿宋_GB2312" w:eastAsia="仿宋_GB2312" w:cs="仿宋_GB2312"/>
          <w:i w:val="0"/>
          <w:iCs w:val="0"/>
          <w:caps w:val="0"/>
          <w:color w:val="auto"/>
          <w:spacing w:val="0"/>
          <w:sz w:val="32"/>
          <w:szCs w:val="32"/>
          <w:shd w:val="clear" w:fill="FFFFFF"/>
          <w:lang w:val="en-US" w:eastAsia="zh-CN"/>
        </w:rPr>
        <w:t>市</w:t>
      </w:r>
      <w:r>
        <w:rPr>
          <w:rFonts w:hint="eastAsia" w:ascii="仿宋_GB2312" w:hAnsi="仿宋_GB2312" w:eastAsia="仿宋_GB2312" w:cs="仿宋_GB2312"/>
          <w:i w:val="0"/>
          <w:iCs w:val="0"/>
          <w:caps w:val="0"/>
          <w:color w:val="auto"/>
          <w:spacing w:val="0"/>
          <w:sz w:val="32"/>
          <w:szCs w:val="32"/>
          <w:shd w:val="clear" w:fill="FFFFFF"/>
        </w:rPr>
        <w:t>加快融入新发展格局提供有力的制度支撑。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572" w:lineRule="exact"/>
        <w:ind w:right="0" w:firstLine="640"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二、健全工作机制，狠抓任务落实</w:t>
      </w:r>
    </w:p>
    <w:p>
      <w:pPr>
        <w:keepNext w:val="0"/>
        <w:keepLines w:val="0"/>
        <w:pageBreakBefore w:val="0"/>
        <w:kinsoku/>
        <w:wordWrap/>
        <w:overflowPunct/>
        <w:topLinePunct w:val="0"/>
        <w:autoSpaceDN/>
        <w:bidi w:val="0"/>
        <w:adjustRightInd/>
        <w:spacing w:line="572"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各地各单位</w:t>
      </w:r>
      <w:r>
        <w:rPr>
          <w:rFonts w:hint="eastAsia" w:ascii="仿宋_GB2312" w:hAnsi="仿宋_GB2312" w:eastAsia="仿宋_GB2312" w:cs="仿宋_GB2312"/>
          <w:i w:val="0"/>
          <w:iCs w:val="0"/>
          <w:caps w:val="0"/>
          <w:color w:val="auto"/>
          <w:spacing w:val="0"/>
          <w:sz w:val="32"/>
          <w:szCs w:val="32"/>
          <w:shd w:val="clear" w:fill="FFFFFF"/>
        </w:rPr>
        <w:t>要</w:t>
      </w:r>
      <w:r>
        <w:rPr>
          <w:rFonts w:hint="eastAsia" w:ascii="仿宋_GB2312" w:hAnsi="仿宋_GB2312" w:eastAsia="仿宋_GB2312" w:cs="仿宋_GB2312"/>
          <w:color w:val="auto"/>
          <w:spacing w:val="0"/>
          <w:kern w:val="0"/>
          <w:sz w:val="32"/>
          <w:szCs w:val="32"/>
          <w:lang w:val="en-US" w:eastAsia="zh-CN" w:bidi="ar"/>
        </w:rPr>
        <w:t>以市场主体需求为导向，以制度建设为重点，根据</w:t>
      </w:r>
      <w:r>
        <w:rPr>
          <w:rFonts w:hint="eastAsia" w:ascii="仿宋_GB2312" w:hAnsi="仿宋_GB2312" w:eastAsia="仿宋_GB2312" w:cs="仿宋_GB2312"/>
          <w:color w:val="auto"/>
          <w:spacing w:val="0"/>
          <w:sz w:val="32"/>
          <w:szCs w:val="32"/>
        </w:rPr>
        <w:t>职责任务分工，着力解决突出问题，推动改革举措落地见效。</w:t>
      </w:r>
      <w:r>
        <w:rPr>
          <w:rFonts w:hint="eastAsia" w:ascii="仿宋_GB2312" w:hAnsi="仿宋_GB2312" w:eastAsia="仿宋_GB2312" w:cs="仿宋_GB2312"/>
          <w:i w:val="0"/>
          <w:iCs w:val="0"/>
          <w:caps w:val="0"/>
          <w:color w:val="auto"/>
          <w:spacing w:val="0"/>
          <w:sz w:val="32"/>
          <w:szCs w:val="32"/>
          <w:shd w:val="clear" w:fill="FFFFFF"/>
        </w:rPr>
        <w:t>主动加强对接落实，积极争取政策支持和先行先试。同时建立改革台账，逐项压茬推进。改革实施过程中，要密切关注市场反映，积极回应社会关切，</w:t>
      </w:r>
      <w:r>
        <w:rPr>
          <w:rFonts w:hint="eastAsia" w:ascii="仿宋_GB2312" w:hAnsi="仿宋_GB2312" w:eastAsia="仿宋_GB2312" w:cs="仿宋_GB2312"/>
          <w:snapToGrid w:val="0"/>
          <w:sz w:val="32"/>
          <w:szCs w:val="32"/>
        </w:rPr>
        <w:t>重要情况按程序请示报告。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572" w:lineRule="exact"/>
        <w:ind w:right="0" w:firstLine="640"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三、加强统筹协同，增强改革实效</w:t>
      </w:r>
    </w:p>
    <w:p>
      <w:pPr>
        <w:keepNext w:val="0"/>
        <w:keepLines w:val="0"/>
        <w:pageBreakBefore w:val="0"/>
        <w:widowControl/>
        <w:suppressLineNumbers w:val="0"/>
        <w:kinsoku/>
        <w:wordWrap/>
        <w:overflowPunct/>
        <w:topLinePunct w:val="0"/>
        <w:autoSpaceDN/>
        <w:bidi w:val="0"/>
        <w:adjustRightInd/>
        <w:snapToGrid w:val="0"/>
        <w:spacing w:line="572"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市发改委</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市</w:t>
      </w:r>
      <w:r>
        <w:rPr>
          <w:rFonts w:hint="eastAsia" w:ascii="仿宋_GB2312" w:hAnsi="仿宋_GB2312" w:eastAsia="仿宋_GB2312" w:cs="仿宋_GB2312"/>
          <w:i w:val="0"/>
          <w:iCs w:val="0"/>
          <w:caps w:val="0"/>
          <w:color w:val="auto"/>
          <w:spacing w:val="0"/>
          <w:sz w:val="32"/>
          <w:szCs w:val="32"/>
          <w:shd w:val="clear" w:fill="FFFFFF"/>
        </w:rPr>
        <w:t>市场监管局</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市商务局</w:t>
      </w:r>
      <w:r>
        <w:rPr>
          <w:rFonts w:hint="eastAsia" w:ascii="仿宋_GB2312" w:hAnsi="仿宋_GB2312" w:eastAsia="仿宋_GB2312" w:cs="仿宋_GB2312"/>
          <w:i w:val="0"/>
          <w:iCs w:val="0"/>
          <w:caps w:val="0"/>
          <w:color w:val="auto"/>
          <w:spacing w:val="0"/>
          <w:sz w:val="32"/>
          <w:szCs w:val="32"/>
          <w:shd w:val="clear" w:fill="FFFFFF"/>
        </w:rPr>
        <w:t>加强改革统筹，按照任务清单，对任务落实情况进行动态评估和督促指导，推动各项改革落到实处、见到实效。各</w:t>
      </w:r>
      <w:r>
        <w:rPr>
          <w:rFonts w:hint="eastAsia" w:ascii="仿宋_GB2312" w:hAnsi="仿宋_GB2312" w:eastAsia="仿宋_GB2312" w:cs="仿宋_GB2312"/>
          <w:i w:val="0"/>
          <w:iCs w:val="0"/>
          <w:caps w:val="0"/>
          <w:color w:val="auto"/>
          <w:spacing w:val="0"/>
          <w:sz w:val="32"/>
          <w:szCs w:val="32"/>
          <w:shd w:val="clear" w:fill="FFFFFF"/>
          <w:lang w:val="en-US" w:eastAsia="zh-CN"/>
        </w:rPr>
        <w:t>地各单位</w:t>
      </w:r>
      <w:r>
        <w:rPr>
          <w:rFonts w:hint="eastAsia" w:ascii="仿宋_GB2312" w:hAnsi="仿宋_GB2312" w:eastAsia="仿宋_GB2312" w:cs="仿宋_GB2312"/>
          <w:i w:val="0"/>
          <w:iCs w:val="0"/>
          <w:caps w:val="0"/>
          <w:color w:val="auto"/>
          <w:spacing w:val="0"/>
          <w:sz w:val="32"/>
          <w:szCs w:val="32"/>
          <w:shd w:val="clear" w:fill="FFFFFF"/>
        </w:rPr>
        <w:t>要</w:t>
      </w:r>
      <w:r>
        <w:rPr>
          <w:rFonts w:hint="eastAsia" w:ascii="仿宋_GB2312" w:hAnsi="仿宋_GB2312" w:eastAsia="仿宋_GB2312" w:cs="仿宋_GB2312"/>
          <w:color w:val="auto"/>
          <w:spacing w:val="0"/>
          <w:sz w:val="32"/>
          <w:szCs w:val="32"/>
        </w:rPr>
        <w:t>主动对标沪苏浙体制机制、政策措施，学习借鉴高标准市场体系</w:t>
      </w:r>
      <w:r>
        <w:rPr>
          <w:rFonts w:hint="eastAsia" w:ascii="仿宋_GB2312" w:hAnsi="仿宋_GB2312" w:eastAsia="仿宋_GB2312" w:cs="仿宋_GB2312"/>
          <w:color w:val="auto"/>
          <w:spacing w:val="0"/>
          <w:sz w:val="32"/>
          <w:szCs w:val="32"/>
          <w:lang w:val="en-US" w:eastAsia="zh-CN"/>
        </w:rPr>
        <w:t>和全国统一大市场</w:t>
      </w:r>
      <w:r>
        <w:rPr>
          <w:rFonts w:hint="eastAsia" w:ascii="仿宋_GB2312" w:hAnsi="仿宋_GB2312" w:eastAsia="仿宋_GB2312" w:cs="仿宋_GB2312"/>
          <w:color w:val="auto"/>
          <w:spacing w:val="0"/>
          <w:sz w:val="32"/>
          <w:szCs w:val="32"/>
        </w:rPr>
        <w:t>建设成功做法和有益经验</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同时</w:t>
      </w:r>
      <w:r>
        <w:rPr>
          <w:rFonts w:hint="eastAsia" w:ascii="仿宋_GB2312" w:hAnsi="仿宋_GB2312" w:eastAsia="仿宋_GB2312" w:cs="仿宋_GB2312"/>
          <w:i w:val="0"/>
          <w:iCs w:val="0"/>
          <w:caps w:val="0"/>
          <w:color w:val="auto"/>
          <w:spacing w:val="0"/>
          <w:sz w:val="32"/>
          <w:szCs w:val="32"/>
          <w:shd w:val="clear" w:fill="FFFFFF"/>
        </w:rPr>
        <w:t>加强</w:t>
      </w:r>
      <w:r>
        <w:rPr>
          <w:rFonts w:hint="eastAsia" w:ascii="仿宋_GB2312" w:hAnsi="仿宋_GB2312" w:eastAsia="仿宋_GB2312" w:cs="仿宋_GB2312"/>
          <w:i w:val="0"/>
          <w:iCs w:val="0"/>
          <w:caps w:val="0"/>
          <w:color w:val="auto"/>
          <w:spacing w:val="0"/>
          <w:sz w:val="32"/>
          <w:szCs w:val="32"/>
          <w:shd w:val="clear" w:fill="FFFFFF"/>
          <w:lang w:val="en-US" w:eastAsia="zh-CN"/>
        </w:rPr>
        <w:t>自身</w:t>
      </w:r>
      <w:r>
        <w:rPr>
          <w:rFonts w:hint="eastAsia" w:ascii="仿宋_GB2312" w:hAnsi="仿宋_GB2312" w:eastAsia="仿宋_GB2312" w:cs="仿宋_GB2312"/>
          <w:i w:val="0"/>
          <w:iCs w:val="0"/>
          <w:caps w:val="0"/>
          <w:color w:val="auto"/>
          <w:spacing w:val="0"/>
          <w:sz w:val="32"/>
          <w:szCs w:val="32"/>
          <w:shd w:val="clear" w:fill="FFFFFF"/>
        </w:rPr>
        <w:t>改革经验总结和典型案例宣传推广工作，成熟一项、推广一项，切实增强改革的示范引领。</w:t>
      </w:r>
      <w:r>
        <w:rPr>
          <w:rFonts w:hint="eastAsia" w:ascii="仿宋_GB2312" w:hAnsi="仿宋_GB2312" w:eastAsia="仿宋_GB2312" w:cs="仿宋_GB2312"/>
          <w:color w:val="auto"/>
          <w:spacing w:val="0"/>
          <w:sz w:val="32"/>
          <w:szCs w:val="32"/>
        </w:rPr>
        <w:t xml:space="preserve"> </w:t>
      </w:r>
    </w:p>
    <w:p>
      <w:pPr>
        <w:keepNext w:val="0"/>
        <w:keepLines w:val="0"/>
        <w:pageBreakBefore w:val="0"/>
        <w:kinsoku/>
        <w:wordWrap/>
        <w:overflowPunct/>
        <w:topLinePunct w:val="0"/>
        <w:autoSpaceDE w:val="0"/>
        <w:autoSpaceDN/>
        <w:bidi w:val="0"/>
        <w:adjustRightInd/>
        <w:snapToGrid w:val="0"/>
        <w:spacing w:line="572" w:lineRule="exact"/>
        <w:jc w:val="both"/>
        <w:textAlignment w:val="auto"/>
        <w:rPr>
          <w:rFonts w:hint="eastAsia" w:ascii="仿宋_GB2312" w:hAnsi="仿宋_GB2312" w:eastAsia="仿宋_GB2312" w:cs="仿宋_GB2312"/>
          <w:color w:val="auto"/>
          <w:spacing w:val="0"/>
          <w:sz w:val="32"/>
          <w:szCs w:val="32"/>
        </w:rPr>
      </w:pPr>
    </w:p>
    <w:p>
      <w:pPr>
        <w:keepNext w:val="0"/>
        <w:keepLines w:val="0"/>
        <w:pageBreakBefore w:val="0"/>
        <w:kinsoku/>
        <w:wordWrap/>
        <w:overflowPunct/>
        <w:topLinePunct w:val="0"/>
        <w:autoSpaceDE w:val="0"/>
        <w:autoSpaceDN/>
        <w:bidi w:val="0"/>
        <w:adjustRightInd/>
        <w:snapToGrid w:val="0"/>
        <w:spacing w:line="572" w:lineRule="exact"/>
        <w:ind w:left="1739" w:leftChars="371" w:hanging="960" w:hangingChars="3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附件：贯彻落实《</w:t>
      </w:r>
      <w:r>
        <w:rPr>
          <w:rFonts w:hint="eastAsia" w:ascii="仿宋_GB2312" w:hAnsi="仿宋_GB2312" w:eastAsia="仿宋_GB2312" w:cs="仿宋_GB2312"/>
          <w:color w:val="auto"/>
          <w:spacing w:val="0"/>
          <w:sz w:val="32"/>
          <w:szCs w:val="32"/>
          <w:lang w:val="en-US" w:eastAsia="zh-CN"/>
        </w:rPr>
        <w:t>安徽省</w:t>
      </w:r>
      <w:r>
        <w:rPr>
          <w:rFonts w:hint="eastAsia" w:ascii="仿宋_GB2312" w:hAnsi="仿宋_GB2312" w:eastAsia="仿宋_GB2312" w:cs="仿宋_GB2312"/>
          <w:color w:val="auto"/>
          <w:spacing w:val="0"/>
          <w:sz w:val="32"/>
          <w:szCs w:val="32"/>
        </w:rPr>
        <w:t>建设高标准市场体系行动</w:t>
      </w:r>
      <w:r>
        <w:rPr>
          <w:rFonts w:hint="eastAsia" w:ascii="仿宋_GB2312" w:hAnsi="仿宋_GB2312" w:eastAsia="仿宋_GB2312" w:cs="仿宋_GB2312"/>
          <w:color w:val="auto"/>
          <w:spacing w:val="0"/>
          <w:sz w:val="32"/>
          <w:szCs w:val="32"/>
          <w:lang w:val="en-US" w:eastAsia="zh-CN"/>
        </w:rPr>
        <w:t>实施</w:t>
      </w:r>
      <w:r>
        <w:rPr>
          <w:rFonts w:hint="eastAsia" w:ascii="仿宋_GB2312" w:hAnsi="仿宋_GB2312" w:eastAsia="仿宋_GB2312" w:cs="仿宋_GB2312"/>
          <w:color w:val="auto"/>
          <w:spacing w:val="0"/>
          <w:sz w:val="32"/>
          <w:szCs w:val="32"/>
        </w:rPr>
        <w:t>方案》重点任务分工</w:t>
      </w:r>
    </w:p>
    <w:p>
      <w:pPr>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rPr>
      </w:pPr>
    </w:p>
    <w:p>
      <w:pPr>
        <w:pStyle w:val="2"/>
        <w:keepNext w:val="0"/>
        <w:keepLines w:val="0"/>
        <w:pageBreakBefore w:val="0"/>
        <w:kinsoku/>
        <w:wordWrap/>
        <w:overflowPunct/>
        <w:topLinePunct w:val="0"/>
        <w:autoSpaceDN/>
        <w:bidi w:val="0"/>
        <w:adjustRightInd/>
        <w:spacing w:line="572" w:lineRule="exact"/>
        <w:ind w:firstLine="4800" w:firstLineChars="15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2022年1</w:t>
      </w:r>
      <w:r>
        <w:rPr>
          <w:rFonts w:hint="default" w:ascii="Times New Roman" w:hAnsi="Times New Roman" w:eastAsia="仿宋_GB2312" w:cs="Times New Roman"/>
          <w:color w:val="auto"/>
          <w:spacing w:val="0"/>
          <w:sz w:val="32"/>
          <w:szCs w:val="32"/>
          <w:lang w:val="en-US" w:eastAsia="zh-CN"/>
        </w:rPr>
        <w:t>2</w:t>
      </w:r>
      <w:r>
        <w:rPr>
          <w:rFonts w:hint="default" w:ascii="Times New Roman" w:hAnsi="Times New Roman" w:eastAsia="仿宋_GB2312" w:cs="Times New Roman"/>
          <w:color w:val="auto"/>
          <w:spacing w:val="0"/>
          <w:sz w:val="32"/>
          <w:szCs w:val="32"/>
          <w:lang w:eastAsia="zh-CN"/>
        </w:rPr>
        <w:t>月</w:t>
      </w:r>
      <w:r>
        <w:rPr>
          <w:rFonts w:hint="eastAsia" w:ascii="Times New Roman" w:hAnsi="Times New Roman" w:eastAsia="仿宋_GB2312" w:cs="Times New Roman"/>
          <w:color w:val="auto"/>
          <w:spacing w:val="0"/>
          <w:sz w:val="32"/>
          <w:szCs w:val="32"/>
          <w:lang w:val="en-US" w:eastAsia="zh-CN"/>
        </w:rPr>
        <w:t>30</w:t>
      </w:r>
      <w:r>
        <w:rPr>
          <w:rFonts w:hint="default" w:ascii="Times New Roman" w:hAnsi="Times New Roman" w:eastAsia="仿宋_GB2312" w:cs="Times New Roman"/>
          <w:color w:val="auto"/>
          <w:spacing w:val="0"/>
          <w:sz w:val="32"/>
          <w:szCs w:val="32"/>
          <w:lang w:eastAsia="zh-CN"/>
        </w:rPr>
        <w:t>日</w:t>
      </w:r>
    </w:p>
    <w:p>
      <w:pPr>
        <w:keepNext w:val="0"/>
        <w:keepLines w:val="0"/>
        <w:pageBreakBefore w:val="0"/>
        <w:kinsoku/>
        <w:wordWrap/>
        <w:overflowPunct/>
        <w:topLinePunct w:val="0"/>
        <w:autoSpaceDN/>
        <w:bidi w:val="0"/>
        <w:adjustRightInd/>
        <w:spacing w:line="572" w:lineRule="exact"/>
        <w:jc w:val="both"/>
        <w:textAlignment w:val="auto"/>
        <w:rPr>
          <w:rFonts w:hint="eastAsia" w:ascii="仿宋_GB2312" w:hAnsi="仿宋_GB2312" w:eastAsia="仿宋_GB2312" w:cs="仿宋_GB2312"/>
          <w:b w:val="0"/>
          <w:bCs w:val="0"/>
          <w:spacing w:val="-11"/>
          <w:sz w:val="32"/>
          <w:szCs w:val="32"/>
          <w:lang w:eastAsia="zh-CN"/>
        </w:rPr>
      </w:pPr>
      <w:r>
        <w:rPr>
          <w:rFonts w:hint="eastAsia" w:ascii="仿宋_GB2312" w:hAnsi="仿宋_GB2312" w:eastAsia="仿宋_GB2312" w:cs="仿宋_GB2312"/>
          <w:b w:val="0"/>
          <w:bCs w:val="0"/>
          <w:spacing w:val="-11"/>
          <w:sz w:val="32"/>
          <w:szCs w:val="32"/>
          <w:lang w:eastAsia="zh-CN"/>
        </w:rPr>
        <w:br w:type="page"/>
      </w:r>
    </w:p>
    <w:p>
      <w:pPr>
        <w:keepNext w:val="0"/>
        <w:keepLines w:val="0"/>
        <w:pageBreakBefore w:val="0"/>
        <w:kinsoku/>
        <w:wordWrap/>
        <w:overflowPunct/>
        <w:topLinePunct w:val="0"/>
        <w:autoSpaceDN/>
        <w:bidi w:val="0"/>
        <w:adjustRightInd/>
        <w:spacing w:line="572" w:lineRule="exact"/>
        <w:jc w:val="both"/>
        <w:textAlignment w:val="auto"/>
        <w:rPr>
          <w:rFonts w:hint="eastAsia" w:ascii="仿宋_GB2312" w:hAnsi="仿宋_GB2312" w:eastAsia="仿宋_GB2312" w:cs="仿宋_GB2312"/>
          <w:b w:val="0"/>
          <w:bCs w:val="0"/>
          <w:spacing w:val="-11"/>
          <w:sz w:val="32"/>
          <w:szCs w:val="32"/>
          <w:lang w:eastAsia="zh-CN"/>
        </w:rPr>
        <w:sectPr>
          <w:footerReference r:id="rId3" w:type="default"/>
          <w:pgSz w:w="11906" w:h="16838"/>
          <w:pgMar w:top="2098" w:right="1474" w:bottom="1984" w:left="1587" w:header="851" w:footer="992" w:gutter="0"/>
          <w:pgNumType w:fmt="numberInDash"/>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color w:val="auto"/>
          <w:spacing w:val="0"/>
          <w:sz w:val="40"/>
          <w:szCs w:val="40"/>
        </w:rPr>
        <w:t>贯彻落实《</w:t>
      </w:r>
      <w:r>
        <w:rPr>
          <w:rFonts w:hint="eastAsia" w:ascii="方正小标宋简体" w:hAnsi="方正小标宋简体" w:eastAsia="方正小标宋简体" w:cs="方正小标宋简体"/>
          <w:color w:val="auto"/>
          <w:spacing w:val="0"/>
          <w:sz w:val="40"/>
          <w:szCs w:val="40"/>
          <w:lang w:val="en-US" w:eastAsia="zh-CN"/>
        </w:rPr>
        <w:t>安徽省</w:t>
      </w:r>
      <w:r>
        <w:rPr>
          <w:rFonts w:hint="eastAsia" w:ascii="方正小标宋简体" w:hAnsi="方正小标宋简体" w:eastAsia="方正小标宋简体" w:cs="方正小标宋简体"/>
          <w:color w:val="auto"/>
          <w:spacing w:val="0"/>
          <w:sz w:val="40"/>
          <w:szCs w:val="40"/>
        </w:rPr>
        <w:t>建设高标准市场体系行动</w:t>
      </w:r>
      <w:r>
        <w:rPr>
          <w:rFonts w:hint="eastAsia" w:ascii="方正小标宋简体" w:hAnsi="方正小标宋简体" w:eastAsia="方正小标宋简体" w:cs="方正小标宋简体"/>
          <w:color w:val="auto"/>
          <w:spacing w:val="0"/>
          <w:sz w:val="40"/>
          <w:szCs w:val="40"/>
          <w:lang w:val="en-US" w:eastAsia="zh-CN"/>
        </w:rPr>
        <w:t>实施</w:t>
      </w:r>
      <w:r>
        <w:rPr>
          <w:rFonts w:hint="eastAsia" w:ascii="方正小标宋简体" w:hAnsi="方正小标宋简体" w:eastAsia="方正小标宋简体" w:cs="方正小标宋简体"/>
          <w:color w:val="auto"/>
          <w:spacing w:val="0"/>
          <w:sz w:val="40"/>
          <w:szCs w:val="40"/>
        </w:rPr>
        <w:t>方案》重点任务分工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6"/>
        <w:gridCol w:w="9346"/>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blHeader/>
        </w:trPr>
        <w:tc>
          <w:tcPr>
            <w:tcW w:w="0" w:type="auto"/>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黑体" w:hAnsi="黑体" w:eastAsia="黑体" w:cs="黑体"/>
                <w:b w:val="0"/>
                <w:bCs w:val="0"/>
                <w:spacing w:val="-6"/>
                <w:sz w:val="32"/>
                <w:szCs w:val="32"/>
                <w:highlight w:val="none"/>
                <w:vertAlign w:val="baseline"/>
                <w:lang w:val="en-US" w:eastAsia="zh-CN"/>
              </w:rPr>
            </w:pPr>
            <w:r>
              <w:rPr>
                <w:rFonts w:hint="eastAsia" w:ascii="黑体" w:hAnsi="黑体" w:eastAsia="黑体" w:cs="黑体"/>
                <w:b w:val="0"/>
                <w:bCs w:val="0"/>
                <w:spacing w:val="-6"/>
                <w:sz w:val="32"/>
                <w:szCs w:val="32"/>
                <w:highlight w:val="none"/>
                <w:vertAlign w:val="baseline"/>
                <w:lang w:val="en-US" w:eastAsia="zh-CN"/>
              </w:rPr>
              <w:t>重点任务</w:t>
            </w:r>
          </w:p>
        </w:tc>
        <w:tc>
          <w:tcPr>
            <w:tcW w:w="934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黑体" w:hAnsi="黑体" w:eastAsia="黑体" w:cs="黑体"/>
                <w:b w:val="0"/>
                <w:bCs w:val="0"/>
                <w:spacing w:val="-6"/>
                <w:sz w:val="32"/>
                <w:szCs w:val="32"/>
                <w:highlight w:val="none"/>
                <w:vertAlign w:val="baseline"/>
                <w:lang w:val="en-US" w:eastAsia="zh-CN"/>
              </w:rPr>
            </w:pPr>
            <w:r>
              <w:rPr>
                <w:rFonts w:hint="eastAsia" w:ascii="黑体" w:hAnsi="黑体" w:eastAsia="黑体" w:cs="黑体"/>
                <w:b w:val="0"/>
                <w:bCs w:val="0"/>
                <w:spacing w:val="-6"/>
                <w:sz w:val="32"/>
                <w:szCs w:val="32"/>
                <w:highlight w:val="none"/>
                <w:vertAlign w:val="baseline"/>
                <w:lang w:val="en-US" w:eastAsia="zh-CN"/>
              </w:rPr>
              <w:t>我市贯彻落实举措</w:t>
            </w:r>
          </w:p>
        </w:tc>
        <w:tc>
          <w:tcPr>
            <w:tcW w:w="248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黑体" w:hAnsi="黑体" w:eastAsia="黑体" w:cs="黑体"/>
                <w:b w:val="0"/>
                <w:bCs w:val="0"/>
                <w:spacing w:val="-6"/>
                <w:sz w:val="32"/>
                <w:szCs w:val="32"/>
                <w:highlight w:val="none"/>
                <w:vertAlign w:val="baseline"/>
                <w:lang w:val="en-US" w:eastAsia="zh-CN"/>
              </w:rPr>
            </w:pPr>
            <w:r>
              <w:rPr>
                <w:rFonts w:hint="eastAsia" w:ascii="黑体" w:hAnsi="黑体" w:eastAsia="黑体" w:cs="黑体"/>
                <w:b w:val="0"/>
                <w:bCs w:val="0"/>
                <w:spacing w:val="-6"/>
                <w:sz w:val="32"/>
                <w:szCs w:val="32"/>
                <w:highlight w:val="none"/>
                <w:vertAlign w:val="baseline"/>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黑体" w:hAnsi="黑体" w:eastAsia="黑体" w:cs="黑体"/>
                <w:b w:val="0"/>
                <w:bCs w:val="0"/>
                <w:spacing w:val="-6"/>
                <w:sz w:val="28"/>
                <w:szCs w:val="28"/>
                <w:highlight w:val="none"/>
                <w:vertAlign w:val="baseline"/>
                <w:lang w:val="en-US" w:eastAsia="zh-CN"/>
              </w:rPr>
              <w:t>一、全面落实市场体系基础制度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0" w:type="auto"/>
            <w:gridSpan w:val="3"/>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楷体_GB2312" w:hAnsi="楷体_GB2312" w:eastAsia="楷体_GB2312" w:cs="楷体_GB2312"/>
                <w:b/>
                <w:bCs/>
                <w:spacing w:val="-6"/>
                <w:sz w:val="28"/>
                <w:szCs w:val="28"/>
                <w:highlight w:val="none"/>
                <w:vertAlign w:val="baseline"/>
                <w:lang w:val="en-US" w:eastAsia="zh-CN"/>
              </w:rPr>
              <w:t>（一）全面实施产权保护制度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trPr>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spacing w:val="-6"/>
                <w:kern w:val="0"/>
                <w:sz w:val="28"/>
                <w:szCs w:val="28"/>
                <w:highlight w:val="none"/>
                <w:lang w:val="en-US" w:eastAsia="zh-CN"/>
              </w:rPr>
              <w:t>1.</w:t>
            </w:r>
            <w:r>
              <w:rPr>
                <w:rFonts w:hint="eastAsia" w:ascii="仿宋_GB2312" w:hAnsi="仿宋_GB2312" w:eastAsia="仿宋_GB2312" w:cs="仿宋_GB2312"/>
                <w:spacing w:val="-6"/>
                <w:kern w:val="0"/>
                <w:sz w:val="28"/>
                <w:szCs w:val="28"/>
                <w:highlight w:val="none"/>
              </w:rPr>
              <w:t>完善平等保护产权的</w:t>
            </w:r>
            <w:r>
              <w:rPr>
                <w:rFonts w:hint="eastAsia" w:ascii="仿宋_GB2312" w:hAnsi="仿宋_GB2312" w:eastAsia="仿宋_GB2312" w:cs="仿宋_GB2312"/>
                <w:spacing w:val="-6"/>
                <w:kern w:val="0"/>
                <w:sz w:val="28"/>
                <w:szCs w:val="28"/>
                <w:highlight w:val="none"/>
                <w:lang w:val="en-US" w:eastAsia="zh-CN"/>
              </w:rPr>
              <w:t>法规</w:t>
            </w:r>
            <w:r>
              <w:rPr>
                <w:rFonts w:hint="eastAsia" w:ascii="仿宋_GB2312" w:hAnsi="仿宋_GB2312" w:eastAsia="仿宋_GB2312" w:cs="仿宋_GB2312"/>
                <w:spacing w:val="-6"/>
                <w:kern w:val="0"/>
                <w:sz w:val="28"/>
                <w:szCs w:val="28"/>
                <w:highlight w:val="none"/>
              </w:rPr>
              <w:t>制度</w:t>
            </w:r>
          </w:p>
        </w:tc>
        <w:tc>
          <w:tcPr>
            <w:tcW w:w="934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lang w:eastAsia="zh-CN"/>
              </w:rPr>
            </w:pPr>
            <w:r>
              <w:rPr>
                <w:rFonts w:hint="eastAsia" w:ascii="仿宋_GB2312" w:hAnsi="仿宋_GB2312" w:eastAsia="仿宋_GB2312" w:cs="仿宋_GB2312"/>
                <w:b w:val="0"/>
                <w:bCs w:val="0"/>
                <w:spacing w:val="-6"/>
                <w:sz w:val="28"/>
                <w:szCs w:val="28"/>
                <w:highlight w:val="none"/>
                <w:lang w:val="en-US" w:eastAsia="zh-CN"/>
              </w:rPr>
              <w:t>1.</w:t>
            </w:r>
            <w:r>
              <w:rPr>
                <w:rFonts w:hint="eastAsia" w:ascii="仿宋_GB2312" w:hAnsi="仿宋_GB2312" w:eastAsia="仿宋_GB2312" w:cs="仿宋_GB2312"/>
                <w:b w:val="0"/>
                <w:bCs w:val="0"/>
                <w:spacing w:val="-6"/>
                <w:sz w:val="28"/>
                <w:szCs w:val="28"/>
                <w:highlight w:val="none"/>
                <w:lang w:eastAsia="zh-CN"/>
              </w:rPr>
              <w:t>严格执行产权领域法律法规，开展产权政策法规研究，根据地方立法权限，加强平等保护各种所有制经济产权的地方立法工作，</w:t>
            </w:r>
            <w:r>
              <w:rPr>
                <w:rFonts w:hint="eastAsia" w:ascii="仿宋_GB2312" w:hAnsi="仿宋_GB2312" w:eastAsia="仿宋_GB2312" w:cs="仿宋_GB2312"/>
                <w:b w:val="0"/>
                <w:bCs w:val="0"/>
                <w:spacing w:val="-6"/>
                <w:sz w:val="28"/>
                <w:szCs w:val="28"/>
                <w:highlight w:val="none"/>
                <w:lang w:val="en-US" w:eastAsia="zh-CN"/>
              </w:rPr>
              <w:t>及时修改、废止涉及平等保护产权的地方规定</w:t>
            </w:r>
            <w:r>
              <w:rPr>
                <w:rFonts w:hint="eastAsia" w:ascii="仿宋_GB2312" w:hAnsi="仿宋_GB2312" w:eastAsia="仿宋_GB2312" w:cs="仿宋_GB2312"/>
                <w:b w:val="0"/>
                <w:bCs w:val="0"/>
                <w:spacing w:val="-6"/>
                <w:sz w:val="28"/>
                <w:szCs w:val="28"/>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lang w:eastAsia="zh-CN"/>
              </w:rPr>
            </w:pPr>
            <w:r>
              <w:rPr>
                <w:rFonts w:hint="eastAsia" w:ascii="仿宋_GB2312" w:hAnsi="仿宋_GB2312" w:eastAsia="仿宋_GB2312" w:cs="仿宋_GB2312"/>
                <w:b w:val="0"/>
                <w:bCs w:val="0"/>
                <w:spacing w:val="-6"/>
                <w:sz w:val="28"/>
                <w:szCs w:val="28"/>
                <w:highlight w:val="none"/>
                <w:lang w:val="en-US" w:eastAsia="zh-CN"/>
              </w:rPr>
              <w:t>2</w:t>
            </w:r>
            <w:r>
              <w:rPr>
                <w:rFonts w:hint="eastAsia" w:ascii="仿宋_GB2312" w:hAnsi="仿宋_GB2312" w:eastAsia="仿宋_GB2312" w:cs="仿宋_GB2312"/>
                <w:b w:val="0"/>
                <w:bCs w:val="0"/>
                <w:spacing w:val="-6"/>
                <w:sz w:val="28"/>
                <w:szCs w:val="28"/>
                <w:highlight w:val="none"/>
                <w:lang w:eastAsia="zh-CN"/>
              </w:rPr>
              <w:t>.加大对非公有制经济财产权的刑法保护力度，规范辖区内相关案件类案裁判。</w:t>
            </w:r>
          </w:p>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kern w:val="2"/>
                <w:sz w:val="28"/>
                <w:szCs w:val="28"/>
                <w:highlight w:val="none"/>
                <w:lang w:val="en-US" w:eastAsia="zh-CN" w:bidi="ar-SA"/>
              </w:rPr>
            </w:pPr>
            <w:r>
              <w:rPr>
                <w:rFonts w:hint="eastAsia" w:ascii="仿宋_GB2312" w:hAnsi="仿宋_GB2312" w:eastAsia="仿宋_GB2312" w:cs="仿宋_GB2312"/>
                <w:b w:val="0"/>
                <w:bCs w:val="0"/>
                <w:spacing w:val="-6"/>
                <w:sz w:val="28"/>
                <w:szCs w:val="28"/>
                <w:highlight w:val="none"/>
                <w:lang w:val="en-US" w:eastAsia="zh-CN"/>
              </w:rPr>
              <w:t>3.</w:t>
            </w:r>
            <w:r>
              <w:rPr>
                <w:rFonts w:hint="eastAsia" w:ascii="仿宋_GB2312" w:hAnsi="仿宋_GB2312" w:eastAsia="仿宋_GB2312" w:cs="仿宋_GB2312"/>
                <w:b w:val="0"/>
                <w:bCs w:val="0"/>
                <w:spacing w:val="-6"/>
                <w:sz w:val="28"/>
                <w:szCs w:val="28"/>
                <w:highlight w:val="none"/>
                <w:lang w:eastAsia="zh-CN"/>
              </w:rPr>
              <w:t>健全完善企业国有产权形成、运营、流转及退出制度体系，支持企业依法合规处置国有产权，强化国有产权流转环节监管和产权管理制度执行情况监督。</w:t>
            </w:r>
          </w:p>
        </w:tc>
        <w:tc>
          <w:tcPr>
            <w:tcW w:w="248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default"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市人大法工委、市法</w:t>
            </w:r>
            <w:r>
              <w:rPr>
                <w:rFonts w:hint="eastAsia" w:ascii="仿宋_GB2312" w:hAnsi="仿宋_GB2312" w:eastAsia="仿宋_GB2312" w:cs="仿宋_GB2312"/>
                <w:b w:val="0"/>
                <w:bCs w:val="0"/>
                <w:color w:val="auto"/>
                <w:spacing w:val="-6"/>
                <w:sz w:val="28"/>
                <w:szCs w:val="28"/>
                <w:highlight w:val="none"/>
                <w:vertAlign w:val="baseline"/>
                <w:lang w:val="en-US" w:eastAsia="zh-CN"/>
              </w:rPr>
              <w:t>院、市检察院、市司法局、市财政局、市市场监管局等按职责分工负责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0" w:type="auto"/>
            <w:noWrap w:val="0"/>
            <w:vAlign w:val="center"/>
          </w:tcPr>
          <w:p>
            <w:pPr>
              <w:pStyle w:val="3"/>
              <w:keepNext w:val="0"/>
              <w:keepLines w:val="0"/>
              <w:pageBreakBefore w:val="0"/>
              <w:numPr>
                <w:ilvl w:val="0"/>
                <w:numId w:val="0"/>
              </w:numPr>
              <w:kinsoku/>
              <w:wordWrap/>
              <w:overflowPunct/>
              <w:topLinePunct w:val="0"/>
              <w:autoSpaceDE/>
              <w:autoSpaceDN/>
              <w:bidi w:val="0"/>
              <w:adjustRightInd/>
              <w:spacing w:line="512" w:lineRule="exact"/>
              <w:ind w:left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2.健全产权执法司法保护机制</w:t>
            </w:r>
          </w:p>
        </w:tc>
        <w:tc>
          <w:tcPr>
            <w:tcW w:w="9346" w:type="dxa"/>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仿宋_GB2312" w:hAnsi="仿宋_GB2312" w:eastAsia="仿宋_GB2312" w:cs="仿宋_GB2312"/>
                <w:b w:val="0"/>
                <w:bCs w:val="0"/>
                <w:spacing w:val="-11"/>
                <w:sz w:val="28"/>
                <w:szCs w:val="28"/>
                <w:highlight w:val="none"/>
                <w:lang w:eastAsia="zh-CN"/>
              </w:rPr>
            </w:pPr>
            <w:r>
              <w:rPr>
                <w:rFonts w:hint="eastAsia" w:ascii="仿宋_GB2312" w:hAnsi="仿宋_GB2312" w:eastAsia="仿宋_GB2312" w:cs="仿宋_GB2312"/>
                <w:b w:val="0"/>
                <w:bCs w:val="0"/>
                <w:spacing w:val="-11"/>
                <w:sz w:val="28"/>
                <w:szCs w:val="28"/>
                <w:highlight w:val="none"/>
                <w:vertAlign w:val="baseline"/>
                <w:lang w:val="en-US" w:eastAsia="zh-CN"/>
              </w:rPr>
              <w:t>1.严格落实涉政府产权纠纷问题治理常态化工作机制，</w:t>
            </w:r>
            <w:r>
              <w:rPr>
                <w:rFonts w:hint="eastAsia" w:ascii="仿宋_GB2312" w:hAnsi="仿宋_GB2312" w:eastAsia="仿宋_GB2312" w:cs="仿宋_GB2312"/>
                <w:b w:val="0"/>
                <w:bCs w:val="0"/>
                <w:spacing w:val="-11"/>
                <w:sz w:val="28"/>
                <w:szCs w:val="28"/>
                <w:highlight w:val="none"/>
              </w:rPr>
              <w:t>建立涉企产权保护案件的申诉、复查、再审“绿色通道”</w:t>
            </w:r>
            <w:r>
              <w:rPr>
                <w:rFonts w:hint="eastAsia" w:ascii="仿宋_GB2312" w:hAnsi="仿宋_GB2312" w:eastAsia="仿宋_GB2312" w:cs="仿宋_GB2312"/>
                <w:b w:val="0"/>
                <w:bCs w:val="0"/>
                <w:spacing w:val="-11"/>
                <w:sz w:val="28"/>
                <w:szCs w:val="28"/>
                <w:highlight w:val="none"/>
                <w:lang w:eastAsia="zh-CN"/>
              </w:rPr>
              <w:t>，</w:t>
            </w:r>
            <w:r>
              <w:rPr>
                <w:rFonts w:hint="eastAsia" w:ascii="仿宋_GB2312" w:hAnsi="仿宋_GB2312" w:eastAsia="仿宋_GB2312" w:cs="仿宋_GB2312"/>
                <w:b w:val="0"/>
                <w:bCs w:val="0"/>
                <w:spacing w:val="-11"/>
                <w:sz w:val="28"/>
                <w:szCs w:val="28"/>
                <w:highlight w:val="none"/>
              </w:rPr>
              <w:t>涉产权刑事案件纳入院庭长“四类案件”监管范围</w:t>
            </w:r>
            <w:r>
              <w:rPr>
                <w:rFonts w:hint="eastAsia" w:ascii="仿宋_GB2312" w:hAnsi="仿宋_GB2312" w:eastAsia="仿宋_GB2312" w:cs="仿宋_GB2312"/>
                <w:b w:val="0"/>
                <w:bCs w:val="0"/>
                <w:spacing w:val="-11"/>
                <w:sz w:val="28"/>
                <w:szCs w:val="28"/>
                <w:highlight w:val="none"/>
                <w:lang w:eastAsia="zh-CN"/>
              </w:rPr>
              <w:t>，</w:t>
            </w:r>
            <w:r>
              <w:rPr>
                <w:rFonts w:hint="eastAsia" w:ascii="仿宋_GB2312" w:hAnsi="仿宋_GB2312" w:eastAsia="仿宋_GB2312" w:cs="仿宋_GB2312"/>
                <w:b w:val="0"/>
                <w:bCs w:val="0"/>
                <w:spacing w:val="-11"/>
                <w:sz w:val="28"/>
                <w:szCs w:val="28"/>
                <w:highlight w:val="none"/>
              </w:rPr>
              <w:t>妥善处理涉政府产权纠纷案件</w:t>
            </w:r>
            <w:r>
              <w:rPr>
                <w:rFonts w:hint="eastAsia" w:ascii="仿宋_GB2312" w:hAnsi="仿宋_GB2312" w:eastAsia="仿宋_GB2312" w:cs="仿宋_GB2312"/>
                <w:b w:val="0"/>
                <w:bCs w:val="0"/>
                <w:spacing w:val="-11"/>
                <w:sz w:val="28"/>
                <w:szCs w:val="28"/>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11"/>
                <w:sz w:val="28"/>
                <w:szCs w:val="28"/>
                <w:highlight w:val="none"/>
                <w:vertAlign w:val="baseline"/>
                <w:lang w:val="en-US" w:eastAsia="zh-CN"/>
              </w:rPr>
            </w:pPr>
            <w:r>
              <w:rPr>
                <w:rFonts w:hint="eastAsia" w:ascii="仿宋_GB2312" w:hAnsi="仿宋_GB2312" w:eastAsia="仿宋_GB2312" w:cs="仿宋_GB2312"/>
                <w:b w:val="0"/>
                <w:bCs w:val="0"/>
                <w:spacing w:val="-11"/>
                <w:sz w:val="28"/>
                <w:szCs w:val="28"/>
                <w:highlight w:val="none"/>
                <w:vertAlign w:val="baseline"/>
                <w:lang w:val="en-US" w:eastAsia="zh-CN"/>
              </w:rPr>
              <w:t>2.建立健全涉产权冤错案件有效防范和常态化纠错机制，及时甄别纠正侵害民营企业产权和企业家合法权益的错案冤案。严格区分刑事犯罪和民事纠纷，严格把握产权案件罪与非罪界限标准，坚持依法打击与少捕慎诉并重。</w:t>
            </w:r>
          </w:p>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default" w:ascii="仿宋_GB2312" w:hAnsi="仿宋_GB2312" w:eastAsia="仿宋_GB2312" w:cs="仿宋_GB2312"/>
                <w:b w:val="0"/>
                <w:bCs w:val="0"/>
                <w:spacing w:val="-11"/>
                <w:sz w:val="28"/>
                <w:szCs w:val="28"/>
                <w:highlight w:val="none"/>
                <w:vertAlign w:val="baseline"/>
                <w:lang w:val="en-US" w:eastAsia="zh-CN"/>
              </w:rPr>
            </w:pPr>
            <w:r>
              <w:rPr>
                <w:rFonts w:hint="eastAsia" w:ascii="仿宋_GB2312" w:hAnsi="仿宋_GB2312" w:eastAsia="仿宋_GB2312" w:cs="仿宋_GB2312"/>
                <w:b w:val="0"/>
                <w:bCs w:val="0"/>
                <w:spacing w:val="-11"/>
                <w:sz w:val="28"/>
                <w:szCs w:val="28"/>
                <w:highlight w:val="none"/>
                <w:vertAlign w:val="baseline"/>
                <w:lang w:val="en-US" w:eastAsia="zh-CN"/>
              </w:rPr>
              <w:t>3.强化执法司法部门联动，完善案件移送标准、证据认定保全、信息共享、工作协助等相关机制，积极推进行政执法和刑事司法衔接平台建设。</w:t>
            </w:r>
          </w:p>
        </w:tc>
        <w:tc>
          <w:tcPr>
            <w:tcW w:w="248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spacing w:val="-6"/>
                <w:sz w:val="28"/>
                <w:szCs w:val="28"/>
                <w:highlight w:val="none"/>
                <w:lang w:val="en-US" w:eastAsia="zh-CN"/>
              </w:rPr>
              <w:t>市</w:t>
            </w:r>
            <w:r>
              <w:rPr>
                <w:rFonts w:hint="eastAsia" w:ascii="仿宋_GB2312" w:hAnsi="仿宋_GB2312" w:eastAsia="仿宋_GB2312" w:cs="仿宋_GB2312"/>
                <w:spacing w:val="-6"/>
                <w:sz w:val="28"/>
                <w:szCs w:val="28"/>
                <w:highlight w:val="none"/>
              </w:rPr>
              <w:t>委政法委</w:t>
            </w:r>
            <w:r>
              <w:rPr>
                <w:rFonts w:hint="eastAsia" w:ascii="仿宋_GB2312" w:hAnsi="仿宋_GB2312" w:eastAsia="仿宋_GB2312" w:cs="仿宋_GB2312"/>
                <w:spacing w:val="-6"/>
                <w:sz w:val="28"/>
                <w:szCs w:val="28"/>
                <w:highlight w:val="none"/>
                <w:lang w:eastAsia="zh-CN"/>
              </w:rPr>
              <w:t>、</w:t>
            </w:r>
            <w:r>
              <w:rPr>
                <w:rFonts w:hint="eastAsia" w:ascii="仿宋_GB2312" w:hAnsi="仿宋_GB2312" w:eastAsia="仿宋_GB2312" w:cs="仿宋_GB2312"/>
                <w:spacing w:val="-6"/>
                <w:sz w:val="28"/>
                <w:szCs w:val="28"/>
                <w:highlight w:val="none"/>
                <w:lang w:val="en-US" w:eastAsia="zh-CN"/>
              </w:rPr>
              <w:t>市</w:t>
            </w:r>
            <w:r>
              <w:rPr>
                <w:rFonts w:hint="eastAsia" w:ascii="仿宋_GB2312" w:hAnsi="仿宋_GB2312" w:eastAsia="仿宋_GB2312" w:cs="仿宋_GB2312"/>
                <w:spacing w:val="-6"/>
                <w:sz w:val="28"/>
                <w:szCs w:val="28"/>
                <w:highlight w:val="none"/>
              </w:rPr>
              <w:t>法院、</w:t>
            </w:r>
            <w:r>
              <w:rPr>
                <w:rFonts w:hint="eastAsia" w:ascii="仿宋_GB2312" w:hAnsi="仿宋_GB2312" w:eastAsia="仿宋_GB2312" w:cs="仿宋_GB2312"/>
                <w:spacing w:val="-6"/>
                <w:sz w:val="28"/>
                <w:szCs w:val="28"/>
                <w:highlight w:val="none"/>
                <w:lang w:val="en-US" w:eastAsia="zh-CN"/>
              </w:rPr>
              <w:t>市</w:t>
            </w:r>
            <w:r>
              <w:rPr>
                <w:rFonts w:hint="eastAsia" w:ascii="仿宋_GB2312" w:hAnsi="仿宋_GB2312" w:eastAsia="仿宋_GB2312" w:cs="仿宋_GB2312"/>
                <w:spacing w:val="-6"/>
                <w:sz w:val="28"/>
                <w:szCs w:val="28"/>
                <w:highlight w:val="none"/>
              </w:rPr>
              <w:t>检察院、</w:t>
            </w:r>
            <w:r>
              <w:rPr>
                <w:rFonts w:hint="eastAsia" w:ascii="仿宋_GB2312" w:hAnsi="仿宋_GB2312" w:eastAsia="仿宋_GB2312" w:cs="仿宋_GB2312"/>
                <w:spacing w:val="-6"/>
                <w:sz w:val="28"/>
                <w:szCs w:val="28"/>
                <w:highlight w:val="none"/>
                <w:lang w:val="en-US" w:eastAsia="zh-CN"/>
              </w:rPr>
              <w:t>市</w:t>
            </w:r>
            <w:r>
              <w:rPr>
                <w:rFonts w:hint="eastAsia" w:ascii="仿宋_GB2312" w:hAnsi="仿宋_GB2312" w:eastAsia="仿宋_GB2312" w:cs="仿宋_GB2312"/>
                <w:spacing w:val="-6"/>
                <w:sz w:val="28"/>
                <w:szCs w:val="28"/>
                <w:highlight w:val="none"/>
              </w:rPr>
              <w:t>公安</w:t>
            </w:r>
            <w:r>
              <w:rPr>
                <w:rFonts w:hint="eastAsia" w:ascii="仿宋_GB2312" w:hAnsi="仿宋_GB2312" w:eastAsia="仿宋_GB2312" w:cs="仿宋_GB2312"/>
                <w:spacing w:val="-6"/>
                <w:sz w:val="28"/>
                <w:szCs w:val="28"/>
                <w:highlight w:val="none"/>
                <w:lang w:val="en-US" w:eastAsia="zh-CN"/>
              </w:rPr>
              <w:t>局、市</w:t>
            </w:r>
            <w:r>
              <w:rPr>
                <w:rFonts w:hint="eastAsia" w:ascii="仿宋_GB2312" w:hAnsi="仿宋_GB2312" w:eastAsia="仿宋_GB2312" w:cs="仿宋_GB2312"/>
                <w:spacing w:val="-6"/>
                <w:sz w:val="28"/>
                <w:szCs w:val="28"/>
                <w:highlight w:val="none"/>
              </w:rPr>
              <w:t>司法</w:t>
            </w:r>
            <w:r>
              <w:rPr>
                <w:rFonts w:hint="eastAsia" w:ascii="仿宋_GB2312" w:hAnsi="仿宋_GB2312" w:eastAsia="仿宋_GB2312" w:cs="仿宋_GB2312"/>
                <w:spacing w:val="-6"/>
                <w:sz w:val="28"/>
                <w:szCs w:val="28"/>
                <w:highlight w:val="none"/>
                <w:lang w:val="en-US" w:eastAsia="zh-CN"/>
              </w:rPr>
              <w:t>局</w:t>
            </w:r>
            <w:r>
              <w:rPr>
                <w:rFonts w:hint="eastAsia" w:ascii="仿宋_GB2312" w:hAnsi="仿宋_GB2312" w:eastAsia="仿宋_GB2312" w:cs="仿宋_GB2312"/>
                <w:spacing w:val="-6"/>
                <w:sz w:val="28"/>
                <w:szCs w:val="28"/>
                <w:highlight w:val="none"/>
              </w:rPr>
              <w:t>、</w:t>
            </w:r>
            <w:r>
              <w:rPr>
                <w:rFonts w:hint="eastAsia" w:ascii="仿宋_GB2312" w:hAnsi="仿宋_GB2312" w:eastAsia="仿宋_GB2312" w:cs="仿宋_GB2312"/>
                <w:spacing w:val="-6"/>
                <w:sz w:val="28"/>
                <w:szCs w:val="28"/>
                <w:highlight w:val="none"/>
                <w:lang w:val="en-US" w:eastAsia="zh-CN"/>
              </w:rPr>
              <w:t>市发改委、市市场监管局</w:t>
            </w:r>
            <w:r>
              <w:rPr>
                <w:rFonts w:hint="eastAsia" w:ascii="仿宋_GB2312" w:hAnsi="仿宋_GB2312" w:eastAsia="仿宋_GB2312" w:cs="仿宋_GB2312"/>
                <w:b w:val="0"/>
                <w:bCs w:val="0"/>
                <w:color w:val="auto"/>
                <w:spacing w:val="-6"/>
                <w:sz w:val="28"/>
                <w:szCs w:val="28"/>
                <w:highlight w:val="none"/>
                <w:vertAlign w:val="baseline"/>
                <w:lang w:val="en-US" w:eastAsia="zh-CN"/>
              </w:rPr>
              <w:t>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color w:val="auto"/>
                <w:spacing w:val="-6"/>
                <w:sz w:val="28"/>
                <w:szCs w:val="28"/>
                <w:highlight w:val="none"/>
                <w:vertAlign w:val="baseline"/>
                <w:lang w:val="en-US" w:eastAsia="zh-CN"/>
              </w:rPr>
              <w:t>3.强化知识产权保护</w:t>
            </w:r>
          </w:p>
        </w:tc>
        <w:tc>
          <w:tcPr>
            <w:tcW w:w="9346" w:type="dxa"/>
            <w:noWrap w:val="0"/>
            <w:vAlign w:val="center"/>
          </w:tcPr>
          <w:p>
            <w:pPr>
              <w:keepNext w:val="0"/>
              <w:keepLines w:val="0"/>
              <w:pageBreakBefore w:val="0"/>
              <w:kinsoku/>
              <w:wordWrap/>
              <w:overflowPunct/>
              <w:topLinePunct w:val="0"/>
              <w:autoSpaceDE/>
              <w:autoSpaceDN/>
              <w:bidi w:val="0"/>
              <w:adjustRightInd/>
              <w:spacing w:line="512" w:lineRule="exact"/>
              <w:ind w:firstLine="0" w:firstLineChars="0"/>
              <w:jc w:val="both"/>
              <w:textAlignment w:val="auto"/>
              <w:rPr>
                <w:rFonts w:hint="eastAsia" w:ascii="仿宋_GB2312" w:hAnsi="仿宋_GB2312" w:eastAsia="仿宋_GB2312" w:cs="仿宋_GB2312"/>
                <w:b w:val="0"/>
                <w:bCs w:val="0"/>
                <w:color w:val="auto"/>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1.</w:t>
            </w:r>
            <w:r>
              <w:rPr>
                <w:rFonts w:hint="eastAsia" w:ascii="仿宋_GB2312" w:hAnsi="仿宋_GB2312" w:eastAsia="仿宋_GB2312" w:cs="仿宋_GB2312"/>
                <w:b w:val="0"/>
                <w:bCs w:val="0"/>
                <w:color w:val="auto"/>
                <w:spacing w:val="-6"/>
                <w:sz w:val="28"/>
                <w:szCs w:val="28"/>
                <w:highlight w:val="none"/>
                <w:vertAlign w:val="baseline"/>
                <w:lang w:val="en-US" w:eastAsia="zh-CN"/>
              </w:rPr>
              <w:t>完善知识产权审判体制和工作机制，推进知识产权民事、刑事和行政案件审判“三合一”工作，全面优化知识产权审判模式。</w:t>
            </w:r>
            <w:r>
              <w:rPr>
                <w:rFonts w:hint="eastAsia" w:ascii="仿宋_GB2312" w:hAnsi="仿宋_GB2312" w:eastAsia="仿宋_GB2312" w:cs="仿宋_GB2312"/>
                <w:b w:val="0"/>
                <w:bCs w:val="0"/>
                <w:spacing w:val="-6"/>
                <w:sz w:val="28"/>
                <w:szCs w:val="28"/>
                <w:highlight w:val="none"/>
                <w:vertAlign w:val="baseline"/>
                <w:lang w:val="en-US" w:eastAsia="zh-CN"/>
              </w:rPr>
              <w:t>完善知识产权类型化案件快审机制，推进知识产权案件繁简分流。</w:t>
            </w:r>
            <w:r>
              <w:rPr>
                <w:rFonts w:hint="eastAsia" w:ascii="仿宋_GB2312" w:hAnsi="仿宋_GB2312" w:eastAsia="仿宋_GB2312" w:cs="仿宋_GB2312"/>
                <w:b w:val="0"/>
                <w:bCs w:val="0"/>
                <w:color w:val="auto"/>
                <w:spacing w:val="-6"/>
                <w:sz w:val="28"/>
                <w:szCs w:val="28"/>
                <w:highlight w:val="none"/>
                <w:vertAlign w:val="baseline"/>
                <w:lang w:val="en-US" w:eastAsia="zh-CN"/>
              </w:rPr>
              <w:t>加大损害赔偿力度，依法实施知识产权侵权惩罚性赔偿制度，提高知识产权侵权成本。</w:t>
            </w:r>
          </w:p>
          <w:p>
            <w:pPr>
              <w:keepNext w:val="0"/>
              <w:keepLines w:val="0"/>
              <w:pageBreakBefore w:val="0"/>
              <w:kinsoku/>
              <w:wordWrap/>
              <w:overflowPunct/>
              <w:topLinePunct w:val="0"/>
              <w:autoSpaceDE/>
              <w:autoSpaceDN/>
              <w:bidi w:val="0"/>
              <w:adjustRightInd/>
              <w:spacing w:line="512" w:lineRule="exact"/>
              <w:ind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color w:val="auto"/>
                <w:spacing w:val="-6"/>
                <w:sz w:val="28"/>
                <w:szCs w:val="28"/>
                <w:highlight w:val="none"/>
                <w:vertAlign w:val="baseline"/>
                <w:lang w:val="en-US" w:eastAsia="zh-CN"/>
              </w:rPr>
              <w:t>2.</w:t>
            </w:r>
            <w:r>
              <w:rPr>
                <w:rFonts w:hint="eastAsia" w:ascii="仿宋_GB2312" w:hAnsi="仿宋_GB2312" w:eastAsia="仿宋_GB2312" w:cs="仿宋_GB2312"/>
                <w:b w:val="0"/>
                <w:bCs w:val="0"/>
                <w:spacing w:val="-6"/>
                <w:sz w:val="28"/>
                <w:szCs w:val="28"/>
                <w:highlight w:val="none"/>
                <w:vertAlign w:val="baseline"/>
                <w:lang w:val="en-US" w:eastAsia="zh-CN"/>
              </w:rPr>
              <w:t>建立知识产权强市建设领导组，严厉查处商标、专利等领域侵权假冒违法行为，依托“两法衔接”信息共享平台，推进知识产权行政执法与刑事司法衔接配合。</w:t>
            </w:r>
          </w:p>
          <w:p>
            <w:pPr>
              <w:keepNext w:val="0"/>
              <w:keepLines w:val="0"/>
              <w:pageBreakBefore w:val="0"/>
              <w:kinsoku/>
              <w:wordWrap/>
              <w:overflowPunct/>
              <w:topLinePunct w:val="0"/>
              <w:autoSpaceDE/>
              <w:autoSpaceDN/>
              <w:bidi w:val="0"/>
              <w:adjustRightInd/>
              <w:spacing w:line="512" w:lineRule="exact"/>
              <w:ind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3.建立在线诉调对接机制，推动调解组织、调解员入驻人民法院调解平台。畅通知识产权诉讼与调解对接流程，建立健全知识产权纠纷行业性、专业性人民调解组织，推动纠纷多元化解。</w:t>
            </w:r>
          </w:p>
          <w:p>
            <w:pPr>
              <w:keepNext w:val="0"/>
              <w:keepLines w:val="0"/>
              <w:pageBreakBefore w:val="0"/>
              <w:kinsoku/>
              <w:wordWrap/>
              <w:overflowPunct/>
              <w:topLinePunct w:val="0"/>
              <w:autoSpaceDE/>
              <w:autoSpaceDN/>
              <w:bidi w:val="0"/>
              <w:adjustRightInd/>
              <w:spacing w:line="512" w:lineRule="exact"/>
              <w:ind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4.强化电商领域知识产权保护，指导电子商务平台经营者建立知识产权保护规则，做好蜂狂购电商知识产权保护国家标准试点工作。推进商业秘密保护示范基地建设工作。持续开展知识产权领域专项执法行动，严厉打击各类侵权假冒行为。深入开展知识产权代理机构“蓝天”专项行动集中整治工作，解决知识产权代理行业发展中存在的突出问题。</w:t>
            </w:r>
          </w:p>
          <w:p>
            <w:pPr>
              <w:keepNext w:val="0"/>
              <w:keepLines w:val="0"/>
              <w:pageBreakBefore w:val="0"/>
              <w:kinsoku/>
              <w:wordWrap/>
              <w:overflowPunct/>
              <w:topLinePunct w:val="0"/>
              <w:autoSpaceDE/>
              <w:autoSpaceDN/>
              <w:bidi w:val="0"/>
              <w:adjustRightInd/>
              <w:spacing w:line="512" w:lineRule="exact"/>
              <w:ind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5.深化知识产权领域“放管服”改革，优化商标受理窗口办理流程。</w:t>
            </w:r>
          </w:p>
        </w:tc>
        <w:tc>
          <w:tcPr>
            <w:tcW w:w="248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color w:val="auto"/>
                <w:spacing w:val="-6"/>
                <w:sz w:val="28"/>
                <w:szCs w:val="28"/>
                <w:highlight w:val="none"/>
                <w:lang w:eastAsia="zh-CN"/>
              </w:rPr>
            </w:pPr>
            <w:r>
              <w:rPr>
                <w:rFonts w:hint="eastAsia" w:ascii="仿宋_GB2312" w:hAnsi="仿宋_GB2312" w:eastAsia="仿宋_GB2312" w:cs="仿宋_GB2312"/>
                <w:color w:val="auto"/>
                <w:spacing w:val="-6"/>
                <w:kern w:val="0"/>
                <w:sz w:val="28"/>
                <w:szCs w:val="28"/>
                <w:highlight w:val="none"/>
                <w:lang w:val="en-US" w:eastAsia="zh-CN" w:bidi="ar"/>
              </w:rPr>
              <w:t>市法院、市市场监管局、市司法局、市文旅局、市卫健委</w:t>
            </w:r>
            <w:r>
              <w:rPr>
                <w:rFonts w:hint="eastAsia" w:ascii="仿宋_GB2312" w:hAnsi="仿宋_GB2312" w:eastAsia="仿宋_GB2312" w:cs="仿宋_GB2312"/>
                <w:b w:val="0"/>
                <w:bCs w:val="0"/>
                <w:color w:val="auto"/>
                <w:spacing w:val="-6"/>
                <w:sz w:val="28"/>
                <w:szCs w:val="28"/>
                <w:highlight w:val="none"/>
                <w:vertAlign w:val="baseline"/>
                <w:lang w:val="en-US" w:eastAsia="zh-CN"/>
              </w:rPr>
              <w:t>等按职责分工负责</w:t>
            </w:r>
          </w:p>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pPr>
              <w:pStyle w:val="3"/>
              <w:keepNext w:val="0"/>
              <w:keepLines w:val="0"/>
              <w:pageBreakBefore w:val="0"/>
              <w:numPr>
                <w:ilvl w:val="0"/>
                <w:numId w:val="0"/>
              </w:numPr>
              <w:kinsoku/>
              <w:wordWrap/>
              <w:overflowPunct/>
              <w:topLinePunct w:val="0"/>
              <w:autoSpaceDE/>
              <w:autoSpaceDN/>
              <w:bidi w:val="0"/>
              <w:adjustRightInd/>
              <w:spacing w:line="512" w:lineRule="exact"/>
              <w:ind w:left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4.健全农村集体产权制度</w:t>
            </w:r>
          </w:p>
        </w:tc>
        <w:tc>
          <w:tcPr>
            <w:tcW w:w="934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1.持续巩固提升农村集体产权制度改革成果，完善农村集体产权确权和保护制度，分类建立健全和规范落实集体资产清产核资、登记、保管、使用、处置制度和财务管理监督、公示制度，切实防止集体经济组织内部少数人侵占、非法处置集体资产以及外部资本侵吞、非法控制集体资产。</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2.充分发挥农村集体产权交易平台作用，总结推广霍邱县孟集镇“智慧”三资管理平台经验做法。</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3.推深做实“三变”改革项目化，健全“三变”利益联结机制。推进村民委员会和村级集体经济组织“账务分设”，探索富余农民集体资产股份有偿退出、抵押、担保、转让、继承等具体办法。大力发展村级集体经济。</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4.持续推进农村“房地一体”宅基地确权登记，纳入不动产登记日常业务范围，确保应发尽发。</w:t>
            </w:r>
          </w:p>
        </w:tc>
        <w:tc>
          <w:tcPr>
            <w:tcW w:w="248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市农业农村局、市自然资源局</w:t>
            </w:r>
            <w:r>
              <w:rPr>
                <w:rFonts w:hint="eastAsia" w:ascii="仿宋_GB2312" w:hAnsi="仿宋_GB2312" w:eastAsia="仿宋_GB2312" w:cs="仿宋_GB2312"/>
                <w:b w:val="0"/>
                <w:bCs w:val="0"/>
                <w:color w:val="auto"/>
                <w:spacing w:val="-6"/>
                <w:sz w:val="28"/>
                <w:szCs w:val="28"/>
                <w:highlight w:val="none"/>
                <w:vertAlign w:val="baseline"/>
                <w:lang w:val="en-US" w:eastAsia="zh-CN"/>
              </w:rPr>
              <w:t>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0" w:type="auto"/>
            <w:gridSpan w:val="3"/>
            <w:noWrap w:val="0"/>
            <w:vAlign w:val="center"/>
          </w:tcPr>
          <w:p>
            <w:pPr>
              <w:pStyle w:val="3"/>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楷体_GB2312" w:hAnsi="楷体_GB2312" w:eastAsia="楷体_GB2312" w:cs="楷体_GB2312"/>
                <w:b/>
                <w:bCs/>
                <w:spacing w:val="-6"/>
                <w:sz w:val="28"/>
                <w:szCs w:val="28"/>
                <w:highlight w:val="none"/>
                <w:vertAlign w:val="baseline"/>
                <w:lang w:val="en-US" w:eastAsia="zh-CN"/>
              </w:rPr>
              <w:t>（二）全面实施市场准入负面清单制度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trPr>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5.推进市场准入负面清单制度落地落实</w:t>
            </w:r>
          </w:p>
        </w:tc>
        <w:tc>
          <w:tcPr>
            <w:tcW w:w="9346" w:type="dxa"/>
            <w:noWrap w:val="0"/>
            <w:vAlign w:val="center"/>
          </w:tcPr>
          <w:p>
            <w:pPr>
              <w:pStyle w:val="3"/>
              <w:keepNext w:val="0"/>
              <w:keepLines w:val="0"/>
              <w:pageBreakBefore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1.严格落实“全国一张清单”管理要求，严禁各地各部门自行发布市场准入性质的负面清单，维护清单的统一性和权威性。配合做好市场准入负面清单动态调整和市场准入效能评估，开展负面清单隐性壁垒排查整治，建立市场准入隐性壁垒台账，推动“非禁即入”普遍落实。</w:t>
            </w:r>
          </w:p>
          <w:p>
            <w:pPr>
              <w:pStyle w:val="7"/>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2.</w:t>
            </w:r>
            <w:r>
              <w:rPr>
                <w:rFonts w:hint="eastAsia" w:ascii="仿宋_GB2312" w:hAnsi="仿宋_GB2312" w:eastAsia="仿宋_GB2312" w:cs="仿宋_GB2312"/>
                <w:b w:val="0"/>
                <w:bCs w:val="0"/>
                <w:spacing w:val="-6"/>
                <w:kern w:val="2"/>
                <w:sz w:val="28"/>
                <w:szCs w:val="28"/>
                <w:highlight w:val="none"/>
                <w:vertAlign w:val="baseline"/>
                <w:lang w:val="en-US" w:eastAsia="zh-CN" w:bidi="ar-SA"/>
              </w:rPr>
              <w:t>严格执行国家统一的清单代码，确保我市行政审批体系与清单事项紧密衔接、相互匹配。做好政务</w:t>
            </w:r>
            <w:r>
              <w:rPr>
                <w:rFonts w:hint="eastAsia" w:ascii="仿宋_GB2312" w:hAnsi="仿宋_GB2312" w:eastAsia="仿宋_GB2312" w:cs="仿宋_GB2312"/>
                <w:b w:val="0"/>
                <w:bCs w:val="0"/>
                <w:spacing w:val="-6"/>
                <w:sz w:val="28"/>
                <w:szCs w:val="28"/>
                <w:highlight w:val="none"/>
                <w:vertAlign w:val="baseline"/>
                <w:lang w:val="en-US" w:eastAsia="zh-CN"/>
              </w:rPr>
              <w:t>服务事项清单动态调整的审核工作，持续开展事项清单检查，提升准确性。</w:t>
            </w:r>
          </w:p>
          <w:p>
            <w:pPr>
              <w:pStyle w:val="7"/>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3.完善市场准入负面清单信息公开机制。</w:t>
            </w:r>
          </w:p>
        </w:tc>
        <w:tc>
          <w:tcPr>
            <w:tcW w:w="2486" w:type="dxa"/>
            <w:noWrap w:val="0"/>
            <w:vAlign w:val="center"/>
          </w:tcPr>
          <w:p>
            <w:pPr>
              <w:pStyle w:val="3"/>
              <w:keepNext w:val="0"/>
              <w:keepLines w:val="0"/>
              <w:pageBreakBefore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市发改委、市商务局、市市场监管局</w:t>
            </w:r>
          </w:p>
          <w:p>
            <w:pPr>
              <w:pStyle w:val="3"/>
              <w:keepNext w:val="0"/>
              <w:keepLines w:val="0"/>
              <w:pageBreakBefore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、市委编办、市数管局</w:t>
            </w:r>
            <w:r>
              <w:rPr>
                <w:rFonts w:hint="eastAsia" w:ascii="仿宋_GB2312" w:hAnsi="仿宋_GB2312" w:eastAsia="仿宋_GB2312" w:cs="仿宋_GB2312"/>
                <w:b w:val="0"/>
                <w:bCs w:val="0"/>
                <w:color w:val="auto"/>
                <w:spacing w:val="-6"/>
                <w:sz w:val="28"/>
                <w:szCs w:val="28"/>
                <w:highlight w:val="none"/>
                <w:vertAlign w:val="baseline"/>
                <w:lang w:val="en-US" w:eastAsia="zh-CN"/>
              </w:rPr>
              <w:t>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trPr>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kern w:val="2"/>
                <w:sz w:val="28"/>
                <w:szCs w:val="28"/>
                <w:highlight w:val="none"/>
                <w:vertAlign w:val="baseline"/>
                <w:lang w:val="en-US" w:eastAsia="zh-CN" w:bidi="ar-SA"/>
              </w:rPr>
              <w:t>6.推进企业注销便利化</w:t>
            </w:r>
          </w:p>
        </w:tc>
        <w:tc>
          <w:tcPr>
            <w:tcW w:w="934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1.全面推行企业简易注销登记改革，</w:t>
            </w:r>
            <w:r>
              <w:rPr>
                <w:rFonts w:hint="eastAsia" w:ascii="仿宋_GB2312" w:hAnsi="仿宋_GB2312" w:eastAsia="仿宋_GB2312" w:cs="仿宋_GB2312"/>
                <w:b w:val="0"/>
                <w:bCs w:val="0"/>
                <w:spacing w:val="-6"/>
                <w:kern w:val="2"/>
                <w:sz w:val="28"/>
                <w:szCs w:val="28"/>
                <w:highlight w:val="none"/>
                <w:vertAlign w:val="baseline"/>
                <w:lang w:val="en-US" w:eastAsia="zh-CN" w:bidi="ar-SA"/>
              </w:rPr>
              <w:t>复制推广个体工商户简易注销登记改革试点经验</w:t>
            </w:r>
            <w:r>
              <w:rPr>
                <w:rFonts w:hint="eastAsia" w:ascii="仿宋_GB2312" w:hAnsi="仿宋_GB2312" w:eastAsia="仿宋_GB2312" w:cs="仿宋_GB2312"/>
                <w:b w:val="0"/>
                <w:bCs w:val="0"/>
                <w:spacing w:val="-6"/>
                <w:sz w:val="28"/>
                <w:szCs w:val="28"/>
                <w:highlight w:val="none"/>
                <w:vertAlign w:val="baseline"/>
                <w:lang w:val="en-US" w:eastAsia="zh-CN"/>
              </w:rPr>
              <w:t>。建立容错机制，允许异常状态消除后的企业再次申请简易注销登记。试点开展“企业注销+行政许可注销”联动办理改革，探索对吊销未注销企业实施强制注销，健全完善个体工商户强制注销改革举措，多措并举畅通市场退出通道。</w:t>
            </w:r>
          </w:p>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2.</w:t>
            </w:r>
            <w:r>
              <w:rPr>
                <w:rFonts w:hint="eastAsia" w:ascii="仿宋_GB2312" w:hAnsi="仿宋_GB2312" w:eastAsia="仿宋_GB2312" w:cs="仿宋_GB2312"/>
                <w:b w:val="0"/>
                <w:bCs w:val="0"/>
                <w:spacing w:val="-6"/>
                <w:sz w:val="28"/>
                <w:szCs w:val="28"/>
                <w:highlight w:val="none"/>
              </w:rPr>
              <w:t>建立破产案件简化审理工作机制</w:t>
            </w:r>
            <w:r>
              <w:rPr>
                <w:rFonts w:hint="eastAsia" w:ascii="仿宋_GB2312" w:hAnsi="仿宋_GB2312" w:eastAsia="仿宋_GB2312" w:cs="仿宋_GB2312"/>
                <w:b w:val="0"/>
                <w:bCs w:val="0"/>
                <w:spacing w:val="-6"/>
                <w:sz w:val="28"/>
                <w:szCs w:val="28"/>
                <w:highlight w:val="none"/>
                <w:lang w:eastAsia="zh-CN"/>
              </w:rPr>
              <w:t>，</w:t>
            </w:r>
            <w:r>
              <w:rPr>
                <w:rFonts w:hint="eastAsia" w:ascii="仿宋_GB2312" w:hAnsi="仿宋_GB2312" w:eastAsia="仿宋_GB2312" w:cs="仿宋_GB2312"/>
                <w:b w:val="0"/>
                <w:bCs w:val="0"/>
                <w:spacing w:val="-6"/>
                <w:sz w:val="28"/>
                <w:szCs w:val="28"/>
                <w:highlight w:val="none"/>
                <w:lang w:val="en-US" w:eastAsia="zh-CN"/>
              </w:rPr>
              <w:t>推进破产案件快速审理和繁简分流，提高破产审判效率</w:t>
            </w:r>
            <w:r>
              <w:rPr>
                <w:rFonts w:hint="eastAsia" w:ascii="仿宋_GB2312" w:hAnsi="仿宋_GB2312" w:eastAsia="仿宋_GB2312" w:cs="仿宋_GB2312"/>
                <w:b w:val="0"/>
                <w:bCs w:val="0"/>
                <w:spacing w:val="-6"/>
                <w:sz w:val="28"/>
                <w:szCs w:val="28"/>
                <w:highlight w:val="none"/>
              </w:rPr>
              <w:t>。</w:t>
            </w:r>
          </w:p>
        </w:tc>
        <w:tc>
          <w:tcPr>
            <w:tcW w:w="248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市市场监管局、市法</w:t>
            </w:r>
            <w:r>
              <w:rPr>
                <w:rFonts w:hint="eastAsia" w:ascii="仿宋_GB2312" w:hAnsi="仿宋_GB2312" w:eastAsia="仿宋_GB2312" w:cs="仿宋_GB2312"/>
                <w:b w:val="0"/>
                <w:bCs w:val="0"/>
                <w:color w:val="auto"/>
                <w:spacing w:val="-6"/>
                <w:sz w:val="28"/>
                <w:szCs w:val="28"/>
                <w:highlight w:val="none"/>
                <w:vertAlign w:val="baseline"/>
                <w:lang w:val="en-US" w:eastAsia="zh-CN"/>
              </w:rPr>
              <w:t>院、市银保监分局、市税务局等按职责分工负责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0" w:type="auto"/>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楷体_GB2312" w:hAnsi="楷体_GB2312" w:eastAsia="楷体_GB2312" w:cs="楷体_GB2312"/>
                <w:b/>
                <w:bCs/>
                <w:spacing w:val="-6"/>
                <w:sz w:val="28"/>
                <w:szCs w:val="28"/>
                <w:highlight w:val="none"/>
                <w:vertAlign w:val="baseline"/>
                <w:lang w:val="en-US" w:eastAsia="zh-CN"/>
              </w:rPr>
              <w:t>（三）全面实施公平竞争审查制度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4" w:hRule="atLeast"/>
        </w:trPr>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kern w:val="2"/>
                <w:sz w:val="28"/>
                <w:szCs w:val="28"/>
                <w:highlight w:val="none"/>
                <w:vertAlign w:val="baseline"/>
                <w:lang w:val="en-US" w:eastAsia="zh-CN" w:bidi="ar-SA"/>
              </w:rPr>
              <w:t>7.增强公平竞争审查制度刚性约束</w:t>
            </w:r>
          </w:p>
        </w:tc>
        <w:tc>
          <w:tcPr>
            <w:tcW w:w="934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1.强化竞争政策基础地位，将公平竞争审查作为制定和调整产业政策的必要程序及时修订废止排除、限制竞争的产业政策。</w:t>
            </w:r>
          </w:p>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2.积极拓宽公平竞争审查投诉举报渠道，鼓励公民、法人或其他组织采取当面递交、邮寄、传真、电子邮件、热线等方式向受理机关投诉举报。</w:t>
            </w:r>
          </w:p>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3.健全公平竞争审查第三方评估机制，谋划委托高等院校、专业咨询机构等进行公平竞争审查，保障审查质量和效果。</w:t>
            </w:r>
          </w:p>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4.推进公平竞争审查抽查机制，检查有关政策措施履行审查程序、审查流程、审查结论等，</w:t>
            </w:r>
            <w:r>
              <w:rPr>
                <w:rFonts w:hint="eastAsia" w:ascii="仿宋_GB2312" w:hAnsi="仿宋_GB2312" w:eastAsia="仿宋_GB2312" w:cs="仿宋_GB2312"/>
                <w:b w:val="0"/>
                <w:bCs w:val="0"/>
                <w:spacing w:val="-6"/>
                <w:kern w:val="2"/>
                <w:sz w:val="28"/>
                <w:szCs w:val="28"/>
                <w:highlight w:val="none"/>
                <w:vertAlign w:val="baseline"/>
                <w:lang w:val="en-US" w:eastAsia="zh-CN" w:bidi="ar-SA"/>
              </w:rPr>
              <w:t>定期开展抽查评估活动</w:t>
            </w:r>
            <w:r>
              <w:rPr>
                <w:rFonts w:hint="eastAsia" w:ascii="仿宋_GB2312" w:hAnsi="仿宋_GB2312" w:eastAsia="仿宋_GB2312" w:cs="仿宋_GB2312"/>
                <w:b w:val="0"/>
                <w:bCs w:val="0"/>
                <w:spacing w:val="-6"/>
                <w:sz w:val="28"/>
                <w:szCs w:val="28"/>
                <w:highlight w:val="none"/>
                <w:vertAlign w:val="baseline"/>
                <w:lang w:val="en-US" w:eastAsia="zh-CN"/>
              </w:rPr>
              <w:t>。</w:t>
            </w:r>
          </w:p>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5.完善公平竞争审查工作联席会议机制，更好发挥统筹协调和监督指导作用。</w:t>
            </w:r>
          </w:p>
        </w:tc>
        <w:tc>
          <w:tcPr>
            <w:tcW w:w="248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kern w:val="2"/>
                <w:sz w:val="28"/>
                <w:szCs w:val="28"/>
                <w:highlight w:val="none"/>
                <w:vertAlign w:val="baseline"/>
                <w:lang w:val="en-US" w:eastAsia="zh-CN" w:bidi="ar-SA"/>
              </w:rPr>
            </w:pPr>
            <w:r>
              <w:rPr>
                <w:rFonts w:hint="eastAsia" w:ascii="仿宋_GB2312" w:hAnsi="仿宋_GB2312" w:eastAsia="仿宋_GB2312" w:cs="仿宋_GB2312"/>
                <w:b w:val="0"/>
                <w:bCs w:val="0"/>
                <w:spacing w:val="-6"/>
                <w:sz w:val="28"/>
                <w:szCs w:val="28"/>
                <w:highlight w:val="none"/>
                <w:vertAlign w:val="baseline"/>
                <w:lang w:val="en-US" w:eastAsia="zh-CN"/>
              </w:rPr>
              <w:t>市市场监管局、市发改委、市财政局、市商务局</w:t>
            </w:r>
            <w:r>
              <w:rPr>
                <w:rFonts w:hint="eastAsia" w:ascii="仿宋_GB2312" w:hAnsi="仿宋_GB2312" w:eastAsia="仿宋_GB2312" w:cs="仿宋_GB2312"/>
                <w:b w:val="0"/>
                <w:bCs w:val="0"/>
                <w:color w:val="auto"/>
                <w:spacing w:val="-6"/>
                <w:sz w:val="28"/>
                <w:szCs w:val="28"/>
                <w:highlight w:val="none"/>
                <w:vertAlign w:val="baseline"/>
                <w:lang w:val="en-US" w:eastAsia="zh-CN"/>
              </w:rPr>
              <w:t>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kern w:val="2"/>
                <w:sz w:val="28"/>
                <w:szCs w:val="28"/>
                <w:highlight w:val="none"/>
                <w:vertAlign w:val="baseline"/>
                <w:lang w:val="en-US" w:eastAsia="zh-CN" w:bidi="ar-SA"/>
              </w:rPr>
              <w:t>8.加强和改进反垄断与反不正当竞争执法</w:t>
            </w:r>
          </w:p>
        </w:tc>
        <w:tc>
          <w:tcPr>
            <w:tcW w:w="934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1.加大反垄断和反不正当竞争行为整治力度，开展专项执法行动，依法配合调查垄断案件，围绕医药、公用事业、建材、教育培训等重点民生领域开展反垄断执法。</w:t>
            </w:r>
          </w:p>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2.严肃查处限制交易、阻碍商品和要素在地区间自由流通等滥用行政权力排除、限制竞争行为。聚焦房地产、保健市场、校外培训机构等行业和领域的仿冒混淆、虚假宣传、商业诋毁等不正当竞争行为。</w:t>
            </w:r>
          </w:p>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kern w:val="2"/>
                <w:sz w:val="28"/>
                <w:szCs w:val="28"/>
                <w:highlight w:val="none"/>
                <w:vertAlign w:val="baseline"/>
                <w:lang w:val="en-US" w:eastAsia="zh-CN" w:bidi="ar-SA"/>
              </w:rPr>
              <w:t>3.落实涉企收费目录清单制度，动态调整涉企收费清单。</w:t>
            </w:r>
            <w:r>
              <w:rPr>
                <w:rFonts w:hint="eastAsia" w:ascii="仿宋_GB2312" w:hAnsi="仿宋_GB2312" w:eastAsia="仿宋_GB2312" w:cs="仿宋_GB2312"/>
                <w:b w:val="0"/>
                <w:bCs w:val="0"/>
                <w:spacing w:val="-6"/>
                <w:sz w:val="28"/>
                <w:szCs w:val="28"/>
                <w:highlight w:val="none"/>
                <w:vertAlign w:val="baseline"/>
                <w:lang w:val="en-US" w:eastAsia="zh-CN"/>
              </w:rPr>
              <w:t>加大涉企违规收费专项检查，依法查处擅自设立收费项目、提高征收标准、扩大征收范围、乱摊派等问题。</w:t>
            </w:r>
          </w:p>
        </w:tc>
        <w:tc>
          <w:tcPr>
            <w:tcW w:w="248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default"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市市场监管局、市发改委、市财政局</w:t>
            </w:r>
            <w:r>
              <w:rPr>
                <w:rFonts w:hint="eastAsia" w:ascii="仿宋_GB2312" w:hAnsi="仿宋_GB2312" w:eastAsia="仿宋_GB2312" w:cs="仿宋_GB2312"/>
                <w:b w:val="0"/>
                <w:bCs w:val="0"/>
                <w:color w:val="auto"/>
                <w:spacing w:val="-6"/>
                <w:sz w:val="28"/>
                <w:szCs w:val="28"/>
                <w:highlight w:val="none"/>
                <w:vertAlign w:val="baseline"/>
                <w:lang w:val="en-US" w:eastAsia="zh-CN"/>
              </w:rPr>
              <w:t>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0" w:type="auto"/>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kern w:val="2"/>
                <w:sz w:val="28"/>
                <w:szCs w:val="28"/>
                <w:highlight w:val="none"/>
                <w:vertAlign w:val="baseline"/>
                <w:lang w:val="en-US" w:eastAsia="zh-CN" w:bidi="ar-SA"/>
              </w:rPr>
              <w:t>9.破除区域分割和地方保护。</w:t>
            </w:r>
          </w:p>
        </w:tc>
        <w:tc>
          <w:tcPr>
            <w:tcW w:w="9346" w:type="dxa"/>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仿宋_GB2312" w:hAnsi="仿宋_GB2312" w:eastAsia="仿宋_GB2312" w:cs="仿宋_GB2312"/>
                <w:b w:val="0"/>
                <w:bCs w:val="0"/>
                <w:spacing w:val="-6"/>
                <w:kern w:val="2"/>
                <w:sz w:val="28"/>
                <w:szCs w:val="28"/>
                <w:highlight w:val="none"/>
                <w:vertAlign w:val="baseline"/>
                <w:lang w:val="en-US" w:eastAsia="zh-CN" w:bidi="ar-SA"/>
              </w:rPr>
            </w:pPr>
            <w:r>
              <w:rPr>
                <w:rFonts w:hint="eastAsia" w:ascii="仿宋_GB2312" w:hAnsi="仿宋_GB2312" w:eastAsia="仿宋_GB2312" w:cs="仿宋_GB2312"/>
                <w:b w:val="0"/>
                <w:bCs w:val="0"/>
                <w:spacing w:val="-6"/>
                <w:sz w:val="28"/>
                <w:szCs w:val="28"/>
                <w:highlight w:val="none"/>
                <w:vertAlign w:val="baseline"/>
                <w:lang w:val="en-US" w:eastAsia="zh-CN"/>
              </w:rPr>
              <w:t>1</w:t>
            </w:r>
            <w:r>
              <w:rPr>
                <w:rFonts w:hint="eastAsia" w:ascii="仿宋_GB2312" w:hAnsi="仿宋_GB2312" w:eastAsia="仿宋_GB2312" w:cs="仿宋_GB2312"/>
                <w:b w:val="0"/>
                <w:bCs w:val="0"/>
                <w:spacing w:val="-6"/>
                <w:kern w:val="2"/>
                <w:sz w:val="28"/>
                <w:szCs w:val="28"/>
                <w:highlight w:val="none"/>
                <w:vertAlign w:val="baseline"/>
                <w:lang w:val="en-US" w:eastAsia="zh-CN" w:bidi="ar-SA"/>
              </w:rPr>
              <w:t>.深入巩固企业开办“六个一”标准化体系建设成果，进一步推动企业开办“掌上办”、“零成本”和智能审批。实行统一的身份实名验证系统、名称自主申报行业字词库和经营范围规范化表述用语。</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仿宋_GB2312" w:hAnsi="仿宋_GB2312" w:eastAsia="仿宋_GB2312" w:cs="仿宋_GB2312"/>
                <w:b w:val="0"/>
                <w:bCs w:val="0"/>
                <w:spacing w:val="-6"/>
                <w:kern w:val="2"/>
                <w:sz w:val="28"/>
                <w:szCs w:val="28"/>
                <w:highlight w:val="none"/>
                <w:vertAlign w:val="baseline"/>
                <w:lang w:val="en-US" w:eastAsia="zh-CN" w:bidi="ar-SA"/>
              </w:rPr>
            </w:pPr>
            <w:r>
              <w:rPr>
                <w:rFonts w:hint="eastAsia" w:ascii="仿宋_GB2312" w:hAnsi="仿宋_GB2312" w:eastAsia="仿宋_GB2312" w:cs="仿宋_GB2312"/>
                <w:b w:val="0"/>
                <w:bCs w:val="0"/>
                <w:spacing w:val="-6"/>
                <w:kern w:val="2"/>
                <w:sz w:val="28"/>
                <w:szCs w:val="28"/>
                <w:highlight w:val="none"/>
                <w:vertAlign w:val="baseline"/>
                <w:lang w:val="en-US" w:eastAsia="zh-CN" w:bidi="ar-SA"/>
              </w:rPr>
              <w:t>2.严格登记规范，除法律法规明确规定外，不得要求企业必须在某地登记注册，不得限制企业办理跨区域迁移登记。</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kern w:val="2"/>
                <w:sz w:val="28"/>
                <w:szCs w:val="28"/>
                <w:highlight w:val="none"/>
                <w:vertAlign w:val="baseline"/>
                <w:lang w:val="en-US" w:eastAsia="zh-CN" w:bidi="ar-SA"/>
              </w:rPr>
              <w:t>3.落实《长三角地区市场监管联动执法实施办法》，加强长三角区域执法协作力度，对区域内立案、调查材料、证据证物、检验鉴定和处罚决定等互相认可。</w:t>
            </w:r>
          </w:p>
        </w:tc>
        <w:tc>
          <w:tcPr>
            <w:tcW w:w="248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color w:val="auto"/>
                <w:spacing w:val="-6"/>
                <w:sz w:val="28"/>
                <w:szCs w:val="28"/>
                <w:highlight w:val="none"/>
                <w:vertAlign w:val="baseline"/>
                <w:lang w:val="en-US" w:eastAsia="zh-CN"/>
              </w:rPr>
              <w:t>市市场监管局、市发改委等按职责分工负责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0" w:type="auto"/>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512" w:lineRule="exact"/>
              <w:jc w:val="both"/>
              <w:textAlignment w:val="auto"/>
              <w:rPr>
                <w:rFonts w:hint="eastAsia" w:ascii="仿宋_GB2312" w:hAnsi="仿宋_GB2312" w:eastAsia="仿宋_GB2312" w:cs="仿宋_GB2312"/>
                <w:b w:val="0"/>
                <w:bCs w:val="0"/>
                <w:spacing w:val="-6"/>
                <w:kern w:val="2"/>
                <w:sz w:val="28"/>
                <w:szCs w:val="28"/>
                <w:highlight w:val="none"/>
                <w:vertAlign w:val="baseline"/>
                <w:lang w:val="en-US" w:eastAsia="zh-CN" w:bidi="ar-SA"/>
              </w:rPr>
            </w:pPr>
            <w:r>
              <w:rPr>
                <w:rFonts w:hint="eastAsia" w:ascii="黑体" w:hAnsi="黑体" w:eastAsia="黑体" w:cs="黑体"/>
                <w:b w:val="0"/>
                <w:bCs w:val="0"/>
                <w:spacing w:val="-6"/>
                <w:kern w:val="2"/>
                <w:sz w:val="28"/>
                <w:szCs w:val="28"/>
                <w:highlight w:val="none"/>
                <w:vertAlign w:val="baseline"/>
                <w:lang w:val="en-US" w:eastAsia="zh-CN" w:bidi="ar-SA"/>
              </w:rPr>
              <w:t>二、持续深化要素资源市场化配置改革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0" w:type="auto"/>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512" w:lineRule="exact"/>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楷体_GB2312" w:hAnsi="楷体_GB2312" w:eastAsia="楷体_GB2312" w:cs="楷体_GB2312"/>
                <w:b/>
                <w:bCs/>
                <w:spacing w:val="-6"/>
                <w:kern w:val="2"/>
                <w:sz w:val="28"/>
                <w:szCs w:val="28"/>
                <w:highlight w:val="none"/>
                <w:vertAlign w:val="baseline"/>
                <w:lang w:val="en-US" w:eastAsia="zh-CN" w:bidi="ar-SA"/>
              </w:rPr>
              <w:t>（四）推动经营性土地要素市场化配置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10.</w:t>
            </w:r>
            <w:r>
              <w:rPr>
                <w:rFonts w:hint="eastAsia" w:ascii="仿宋_GB2312" w:hAnsi="仿宋_GB2312" w:eastAsia="仿宋_GB2312" w:cs="仿宋_GB2312"/>
                <w:b w:val="0"/>
                <w:bCs w:val="0"/>
                <w:spacing w:val="-6"/>
                <w:sz w:val="28"/>
                <w:szCs w:val="28"/>
                <w:highlight w:val="none"/>
              </w:rPr>
              <w:t>优化土地管理体制机制</w:t>
            </w:r>
          </w:p>
        </w:tc>
        <w:tc>
          <w:tcPr>
            <w:tcW w:w="934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1.</w:t>
            </w:r>
            <w:r>
              <w:rPr>
                <w:rFonts w:hint="eastAsia" w:ascii="仿宋_GB2312" w:hAnsi="仿宋_GB2312" w:eastAsia="仿宋_GB2312" w:cs="仿宋_GB2312"/>
                <w:b w:val="0"/>
                <w:bCs w:val="0"/>
                <w:i w:val="0"/>
                <w:caps w:val="0"/>
                <w:color w:val="auto"/>
                <w:spacing w:val="-6"/>
                <w:sz w:val="28"/>
                <w:szCs w:val="28"/>
                <w:highlight w:val="none"/>
                <w:shd w:val="clear" w:color="auto" w:fill="FFFFFF"/>
                <w:lang w:eastAsia="zh-CN"/>
              </w:rPr>
              <w:t>坚持土地要素跟着项目走，纳入国家或省政府重大项目清单的重点项目申请国家直接配置计划，市级按照20%比例统筹各县区存量土地处置核算的新增建设用地计划指标。完善市级重点项目建设用地审批联席会议机制和土地要素保障会商机制。接住、管好省政府委托用地审批权，实行1个工作日受理、10个工作日完成市级审查。高质量编制和实施市县两级土地征收成片开发方案。</w:t>
            </w:r>
          </w:p>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2.</w:t>
            </w:r>
            <w:r>
              <w:rPr>
                <w:rFonts w:hint="eastAsia" w:ascii="仿宋_GB2312" w:hAnsi="仿宋_GB2312" w:eastAsia="仿宋_GB2312" w:cs="仿宋_GB2312"/>
                <w:b w:val="0"/>
                <w:bCs w:val="0"/>
                <w:spacing w:val="-6"/>
                <w:sz w:val="28"/>
                <w:szCs w:val="28"/>
                <w:highlight w:val="none"/>
              </w:rPr>
              <w:t>持续推行开发区“标准地”制度，实施《六安市工业项目“标准地”出让实施细则（试行）》，指导各县区序时开展“标准地”出让</w:t>
            </w:r>
            <w:r>
              <w:rPr>
                <w:rFonts w:hint="eastAsia" w:ascii="仿宋_GB2312" w:hAnsi="仿宋_GB2312" w:eastAsia="仿宋_GB2312" w:cs="仿宋_GB2312"/>
                <w:b w:val="0"/>
                <w:bCs w:val="0"/>
                <w:spacing w:val="-6"/>
                <w:sz w:val="28"/>
                <w:szCs w:val="28"/>
                <w:highlight w:val="none"/>
                <w:lang w:eastAsia="zh-CN"/>
              </w:rPr>
              <w:t>。持续</w:t>
            </w:r>
            <w:r>
              <w:rPr>
                <w:rFonts w:hint="eastAsia" w:ascii="仿宋_GB2312" w:hAnsi="仿宋_GB2312" w:eastAsia="仿宋_GB2312" w:cs="仿宋_GB2312"/>
                <w:b w:val="0"/>
                <w:bCs w:val="0"/>
                <w:i w:val="0"/>
                <w:caps w:val="0"/>
                <w:color w:val="auto"/>
                <w:spacing w:val="-6"/>
                <w:sz w:val="28"/>
                <w:szCs w:val="28"/>
                <w:highlight w:val="none"/>
                <w:shd w:val="clear" w:color="auto" w:fill="FFFFFF"/>
                <w:lang w:eastAsia="zh-CN"/>
              </w:rPr>
              <w:t>开展闲置建设用地、工业低效土地“全域治理”，建立数据库，形成“一张图”，合理分步有计划地利用。</w:t>
            </w:r>
          </w:p>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rPr>
            </w:pPr>
            <w:r>
              <w:rPr>
                <w:rFonts w:hint="eastAsia" w:ascii="仿宋_GB2312" w:hAnsi="仿宋_GB2312" w:eastAsia="仿宋_GB2312" w:cs="仿宋_GB2312"/>
                <w:b w:val="0"/>
                <w:bCs w:val="0"/>
                <w:spacing w:val="-6"/>
                <w:sz w:val="28"/>
                <w:szCs w:val="28"/>
                <w:highlight w:val="none"/>
                <w:lang w:val="en-US" w:eastAsia="zh-CN"/>
              </w:rPr>
              <w:t>3.</w:t>
            </w:r>
            <w:r>
              <w:rPr>
                <w:rFonts w:hint="eastAsia" w:ascii="仿宋_GB2312" w:hAnsi="仿宋_GB2312" w:eastAsia="仿宋_GB2312" w:cs="仿宋_GB2312"/>
                <w:b w:val="0"/>
                <w:bCs w:val="0"/>
                <w:spacing w:val="-6"/>
                <w:sz w:val="28"/>
                <w:szCs w:val="28"/>
                <w:highlight w:val="none"/>
              </w:rPr>
              <w:t>推行“亩均论英雄”改革，推动规上工业企业、国家级开发区亩均效益评价全覆盖，依法依规区别化使用财税、金融、用地、用能等支持政策。</w:t>
            </w:r>
          </w:p>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lang w:val="en-US" w:eastAsia="zh-CN"/>
              </w:rPr>
            </w:pPr>
            <w:r>
              <w:rPr>
                <w:rFonts w:hint="eastAsia" w:ascii="仿宋_GB2312" w:hAnsi="仿宋_GB2312" w:eastAsia="仿宋_GB2312" w:cs="仿宋_GB2312"/>
                <w:b w:val="0"/>
                <w:bCs w:val="0"/>
                <w:spacing w:val="-6"/>
                <w:sz w:val="28"/>
                <w:szCs w:val="28"/>
                <w:highlight w:val="none"/>
                <w:lang w:val="en-US" w:eastAsia="zh-CN"/>
              </w:rPr>
              <w:t>4.</w:t>
            </w:r>
            <w:r>
              <w:rPr>
                <w:rFonts w:hint="eastAsia" w:ascii="仿宋_GB2312" w:hAnsi="仿宋_GB2312" w:eastAsia="仿宋_GB2312" w:cs="仿宋_GB2312"/>
                <w:b w:val="0"/>
                <w:bCs w:val="0"/>
                <w:spacing w:val="-6"/>
                <w:sz w:val="28"/>
                <w:szCs w:val="28"/>
                <w:highlight w:val="none"/>
              </w:rPr>
              <w:t>建立和完善建设用地审批“双随机、一公开”监管制度。</w:t>
            </w:r>
          </w:p>
        </w:tc>
        <w:tc>
          <w:tcPr>
            <w:tcW w:w="248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市自然资源局、</w:t>
            </w:r>
            <w:r>
              <w:rPr>
                <w:rFonts w:hint="eastAsia" w:ascii="仿宋_GB2312" w:hAnsi="仿宋_GB2312" w:eastAsia="仿宋_GB2312" w:cs="仿宋_GB2312"/>
                <w:spacing w:val="-6"/>
                <w:sz w:val="28"/>
                <w:szCs w:val="28"/>
                <w:highlight w:val="none"/>
              </w:rPr>
              <w:t>市发改委</w:t>
            </w:r>
            <w:r>
              <w:rPr>
                <w:rFonts w:hint="eastAsia" w:ascii="仿宋_GB2312" w:hAnsi="仿宋_GB2312" w:eastAsia="仿宋_GB2312" w:cs="仿宋_GB2312"/>
                <w:b w:val="0"/>
                <w:bCs w:val="0"/>
                <w:color w:val="auto"/>
                <w:spacing w:val="-6"/>
                <w:sz w:val="28"/>
                <w:szCs w:val="28"/>
                <w:highlight w:val="none"/>
                <w:vertAlign w:val="baseline"/>
                <w:lang w:val="en-US" w:eastAsia="zh-CN"/>
              </w:rPr>
              <w:t>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kern w:val="2"/>
                <w:sz w:val="28"/>
                <w:szCs w:val="28"/>
                <w:highlight w:val="none"/>
                <w:vertAlign w:val="baseline"/>
                <w:lang w:val="en-US" w:eastAsia="zh-CN" w:bidi="ar-SA"/>
              </w:rPr>
              <w:t>11.完善建设用地市场体系</w:t>
            </w:r>
          </w:p>
        </w:tc>
        <w:tc>
          <w:tcPr>
            <w:tcW w:w="934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1.在符合国土空间规划和用途管制要求前提下，推动工业用地的不同产业类型合理转换，探索增加混合产业用地供给。</w:t>
            </w:r>
          </w:p>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i w:val="0"/>
                <w:caps w:val="0"/>
                <w:color w:val="auto"/>
                <w:spacing w:val="-6"/>
                <w:sz w:val="28"/>
                <w:szCs w:val="28"/>
                <w:highlight w:val="none"/>
                <w:shd w:val="clear" w:color="auto" w:fill="FFFFFF"/>
                <w:lang w:eastAsia="zh-CN"/>
              </w:rPr>
            </w:pPr>
            <w:r>
              <w:rPr>
                <w:rFonts w:hint="eastAsia" w:ascii="仿宋_GB2312" w:hAnsi="仿宋_GB2312" w:eastAsia="仿宋_GB2312" w:cs="仿宋_GB2312"/>
                <w:b w:val="0"/>
                <w:bCs w:val="0"/>
                <w:spacing w:val="-6"/>
                <w:sz w:val="28"/>
                <w:szCs w:val="28"/>
                <w:highlight w:val="none"/>
                <w:vertAlign w:val="baseline"/>
                <w:lang w:val="en-US" w:eastAsia="zh-CN"/>
              </w:rPr>
              <w:t>2.</w:t>
            </w:r>
            <w:r>
              <w:rPr>
                <w:rFonts w:hint="eastAsia" w:ascii="仿宋_GB2312" w:hAnsi="仿宋_GB2312" w:eastAsia="仿宋_GB2312" w:cs="仿宋_GB2312"/>
                <w:b w:val="0"/>
                <w:bCs w:val="0"/>
                <w:i w:val="0"/>
                <w:caps w:val="0"/>
                <w:color w:val="auto"/>
                <w:spacing w:val="-6"/>
                <w:sz w:val="28"/>
                <w:szCs w:val="28"/>
                <w:highlight w:val="none"/>
                <w:shd w:val="clear" w:color="auto" w:fill="FFFFFF"/>
                <w:lang w:val="en-US" w:eastAsia="zh-CN"/>
              </w:rPr>
              <w:t>指导各县区开展村庄规划试点、集体建设用地使用权确权登记颁证等基础性工作，有序实施农村集体经营性建设用地入市试点。</w:t>
            </w:r>
          </w:p>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i w:val="0"/>
                <w:caps w:val="0"/>
                <w:color w:val="auto"/>
                <w:spacing w:val="-6"/>
                <w:sz w:val="28"/>
                <w:szCs w:val="28"/>
                <w:highlight w:val="none"/>
                <w:shd w:val="clear" w:color="auto" w:fill="FFFFFF"/>
                <w:lang w:val="en-US" w:eastAsia="zh-CN"/>
              </w:rPr>
              <w:t>3.稳步推进</w:t>
            </w:r>
            <w:r>
              <w:rPr>
                <w:rFonts w:hint="eastAsia" w:ascii="仿宋_GB2312" w:hAnsi="仿宋_GB2312" w:eastAsia="仿宋_GB2312" w:cs="仿宋_GB2312"/>
                <w:b w:val="0"/>
                <w:bCs w:val="0"/>
                <w:i w:val="0"/>
                <w:caps w:val="0"/>
                <w:color w:val="auto"/>
                <w:spacing w:val="-6"/>
                <w:sz w:val="28"/>
                <w:szCs w:val="28"/>
                <w:highlight w:val="none"/>
                <w:shd w:val="clear" w:color="auto" w:fill="FFFFFF"/>
                <w:lang w:eastAsia="zh-CN"/>
              </w:rPr>
              <w:t>集体建设用地和农用地基准地价及</w:t>
            </w:r>
            <w:r>
              <w:rPr>
                <w:rFonts w:hint="eastAsia" w:ascii="仿宋_GB2312" w:hAnsi="仿宋_GB2312" w:eastAsia="仿宋_GB2312" w:cs="仿宋_GB2312"/>
                <w:b w:val="0"/>
                <w:bCs w:val="0"/>
                <w:spacing w:val="-6"/>
                <w:kern w:val="2"/>
                <w:sz w:val="28"/>
                <w:szCs w:val="28"/>
                <w:highlight w:val="none"/>
                <w:vertAlign w:val="baseline"/>
                <w:lang w:val="en-US" w:eastAsia="zh-CN" w:bidi="ar-SA"/>
              </w:rPr>
              <w:t>城镇标定地价</w:t>
            </w:r>
            <w:r>
              <w:rPr>
                <w:rFonts w:hint="eastAsia" w:ascii="仿宋_GB2312" w:hAnsi="仿宋_GB2312" w:eastAsia="仿宋_GB2312" w:cs="仿宋_GB2312"/>
                <w:b w:val="0"/>
                <w:bCs w:val="0"/>
                <w:i w:val="0"/>
                <w:caps w:val="0"/>
                <w:color w:val="auto"/>
                <w:spacing w:val="-6"/>
                <w:sz w:val="28"/>
                <w:szCs w:val="28"/>
                <w:highlight w:val="none"/>
                <w:shd w:val="clear" w:color="auto" w:fill="FFFFFF"/>
                <w:lang w:eastAsia="zh-CN"/>
              </w:rPr>
              <w:t>等制定工作，推动城乡土地市场一体化。</w:t>
            </w:r>
          </w:p>
        </w:tc>
        <w:tc>
          <w:tcPr>
            <w:tcW w:w="248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市自然资源局、市发改委</w:t>
            </w:r>
            <w:r>
              <w:rPr>
                <w:rFonts w:hint="eastAsia" w:ascii="仿宋_GB2312" w:hAnsi="仿宋_GB2312" w:eastAsia="仿宋_GB2312" w:cs="仿宋_GB2312"/>
                <w:b w:val="0"/>
                <w:bCs w:val="0"/>
                <w:color w:val="auto"/>
                <w:spacing w:val="-6"/>
                <w:sz w:val="28"/>
                <w:szCs w:val="28"/>
                <w:highlight w:val="none"/>
                <w:vertAlign w:val="baseline"/>
                <w:lang w:val="en-US" w:eastAsia="zh-CN"/>
              </w:rPr>
              <w:t>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kern w:val="2"/>
                <w:sz w:val="28"/>
                <w:szCs w:val="28"/>
                <w:highlight w:val="none"/>
                <w:vertAlign w:val="baseline"/>
                <w:lang w:val="en-US" w:eastAsia="zh-CN" w:bidi="ar-SA"/>
              </w:rPr>
              <w:t>12.积极推动土地指标跨区域交易</w:t>
            </w:r>
          </w:p>
        </w:tc>
        <w:tc>
          <w:tcPr>
            <w:tcW w:w="934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1.</w:t>
            </w:r>
            <w:r>
              <w:rPr>
                <w:rFonts w:hint="eastAsia" w:ascii="仿宋_GB2312" w:hAnsi="仿宋_GB2312" w:eastAsia="仿宋_GB2312" w:cs="仿宋_GB2312"/>
                <w:b w:val="0"/>
                <w:bCs w:val="0"/>
                <w:i w:val="0"/>
                <w:caps w:val="0"/>
                <w:color w:val="auto"/>
                <w:spacing w:val="-6"/>
                <w:sz w:val="28"/>
                <w:szCs w:val="28"/>
                <w:highlight w:val="none"/>
                <w:shd w:val="clear" w:color="auto" w:fill="FFFFFF"/>
                <w:lang w:val="en-US" w:eastAsia="zh-CN"/>
              </w:rPr>
              <w:t>落实以县域自行平衡为主、市域调剂为辅、省级适度统筹为补充的耕地占补平衡机制。对于省级以上重大基础设施项目，积极申请省或国家统筹落实耕地占补平衡。大力开展农村土地综合整治，努力增加新增耕地指标储备，在满足本市耕地占补平衡指标需求的前提下，对外有偿调剂新增耕地指标。</w:t>
            </w:r>
          </w:p>
        </w:tc>
        <w:tc>
          <w:tcPr>
            <w:tcW w:w="248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市自然资源局、市农业农村局、市发改委、市财政局</w:t>
            </w:r>
            <w:r>
              <w:rPr>
                <w:rFonts w:hint="eastAsia" w:ascii="仿宋_GB2312" w:hAnsi="仿宋_GB2312" w:eastAsia="仿宋_GB2312" w:cs="仿宋_GB2312"/>
                <w:b w:val="0"/>
                <w:bCs w:val="0"/>
                <w:color w:val="auto"/>
                <w:spacing w:val="-6"/>
                <w:sz w:val="28"/>
                <w:szCs w:val="28"/>
                <w:highlight w:val="none"/>
                <w:vertAlign w:val="baseline"/>
                <w:lang w:val="en-US" w:eastAsia="zh-CN"/>
              </w:rPr>
              <w:t>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楷体_GB2312" w:hAnsi="楷体_GB2312" w:eastAsia="楷体_GB2312" w:cs="楷体_GB2312"/>
                <w:b/>
                <w:bCs/>
                <w:spacing w:val="-6"/>
                <w:kern w:val="2"/>
                <w:sz w:val="28"/>
                <w:szCs w:val="28"/>
                <w:highlight w:val="none"/>
                <w:lang w:val="en-US" w:eastAsia="zh-CN" w:bidi="ar-SA"/>
              </w:rPr>
              <w:t>（五）推动劳动力要素有序流动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p>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kern w:val="2"/>
                <w:sz w:val="28"/>
                <w:szCs w:val="28"/>
                <w:highlight w:val="none"/>
                <w:vertAlign w:val="baseline"/>
                <w:lang w:val="en-US" w:eastAsia="zh-CN" w:bidi="ar-SA"/>
              </w:rPr>
              <w:t>13.持续深化户籍制度改革</w:t>
            </w:r>
          </w:p>
        </w:tc>
        <w:tc>
          <w:tcPr>
            <w:tcW w:w="934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color w:val="000000" w:themeColor="text1"/>
                <w:spacing w:val="-6"/>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spacing w:val="-6"/>
                <w:sz w:val="28"/>
                <w:szCs w:val="28"/>
                <w:highlight w:val="none"/>
                <w:vertAlign w:val="baseline"/>
                <w:lang w:val="en-US" w:eastAsia="zh-CN"/>
              </w:rPr>
              <w:t>1.</w:t>
            </w:r>
            <w:r>
              <w:rPr>
                <w:rFonts w:hint="eastAsia" w:ascii="仿宋_GB2312" w:hAnsi="仿宋_GB2312" w:eastAsia="仿宋_GB2312" w:cs="仿宋_GB2312"/>
                <w:b w:val="0"/>
                <w:bCs w:val="0"/>
                <w:color w:val="000000" w:themeColor="text1"/>
                <w:spacing w:val="-6"/>
                <w:sz w:val="28"/>
                <w:szCs w:val="28"/>
                <w:highlight w:val="none"/>
                <w:vertAlign w:val="baseline"/>
                <w:lang w:val="en-US" w:eastAsia="zh-CN"/>
                <w14:textFill>
                  <w14:solidFill>
                    <w14:schemeClr w14:val="tx1"/>
                  </w14:solidFill>
                </w14:textFill>
              </w:rPr>
              <w:t>推进农业人口落户城镇，在全面放开城镇落户条件的基础上，进一步简化办理程序，确保应落尽落、举家落户。分步推进建立以经常居住地登记户口制度，持续推进居住证制度全覆盖，进一步畅通居住证转户籍的制度通道。</w:t>
            </w:r>
          </w:p>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color w:val="000000" w:themeColor="text1"/>
                <w:spacing w:val="-6"/>
                <w:sz w:val="28"/>
                <w:szCs w:val="28"/>
                <w:highlight w:val="none"/>
                <w:vertAlign w:val="baseline"/>
                <w:lang w:val="en-US" w:eastAsia="zh-CN"/>
                <w14:textFill>
                  <w14:solidFill>
                    <w14:schemeClr w14:val="tx1"/>
                  </w14:solidFill>
                </w14:textFill>
              </w:rPr>
              <w:t>2.以高频户籍业务为突破口，推动全市公安机关实现部分高频户籍业务“全市通办”，加快实现部分高频户籍业务“全程网办”。推动长三角区域临时居民身份证“跨省通办”，全面扩大首次申领居民身份证“跨省通办”范围，落实新生儿落户“跨省通办”。</w:t>
            </w:r>
          </w:p>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color w:val="auto"/>
                <w:spacing w:val="-6"/>
                <w:sz w:val="28"/>
                <w:szCs w:val="28"/>
                <w:highlight w:val="none"/>
              </w:rPr>
            </w:pPr>
            <w:r>
              <w:rPr>
                <w:rFonts w:hint="eastAsia" w:ascii="仿宋_GB2312" w:hAnsi="仿宋_GB2312" w:eastAsia="仿宋_GB2312" w:cs="仿宋_GB2312"/>
                <w:b w:val="0"/>
                <w:bCs w:val="0"/>
                <w:color w:val="000000" w:themeColor="text1"/>
                <w:spacing w:val="-6"/>
                <w:sz w:val="28"/>
                <w:szCs w:val="28"/>
                <w:highlight w:val="none"/>
                <w:vertAlign w:val="baseline"/>
                <w:lang w:val="en-US" w:eastAsia="zh-CN"/>
                <w14:textFill>
                  <w14:solidFill>
                    <w14:schemeClr w14:val="tx1"/>
                  </w14:solidFill>
                </w14:textFill>
              </w:rPr>
              <w:t>3.全面贯彻落实企业职工基本养老保险全国统筹制度。执行</w:t>
            </w:r>
            <w:r>
              <w:rPr>
                <w:rFonts w:hint="eastAsia" w:ascii="仿宋_GB2312" w:hAnsi="仿宋_GB2312" w:eastAsia="仿宋_GB2312" w:cs="仿宋_GB2312"/>
                <w:b w:val="0"/>
                <w:bCs w:val="0"/>
                <w:color w:val="auto"/>
                <w:spacing w:val="-6"/>
                <w:sz w:val="28"/>
                <w:szCs w:val="28"/>
                <w:highlight w:val="none"/>
              </w:rPr>
              <w:t>全市统一</w:t>
            </w:r>
            <w:r>
              <w:rPr>
                <w:rFonts w:hint="eastAsia" w:ascii="仿宋_GB2312" w:hAnsi="仿宋_GB2312" w:eastAsia="仿宋_GB2312" w:cs="仿宋_GB2312"/>
                <w:b w:val="0"/>
                <w:bCs w:val="0"/>
                <w:color w:val="auto"/>
                <w:spacing w:val="-6"/>
                <w:sz w:val="28"/>
                <w:szCs w:val="28"/>
                <w:highlight w:val="none"/>
                <w:lang w:eastAsia="zh-CN"/>
              </w:rPr>
              <w:t>的</w:t>
            </w:r>
            <w:r>
              <w:rPr>
                <w:rFonts w:hint="eastAsia" w:ascii="仿宋_GB2312" w:hAnsi="仿宋_GB2312" w:eastAsia="仿宋_GB2312" w:cs="仿宋_GB2312"/>
                <w:b w:val="0"/>
                <w:bCs w:val="0"/>
                <w:color w:val="auto"/>
                <w:spacing w:val="-6"/>
                <w:sz w:val="28"/>
                <w:szCs w:val="28"/>
                <w:highlight w:val="none"/>
              </w:rPr>
              <w:t>城乡居民基本养老保险待遇确定机制、基础养老金正常调整机制、高龄基础养老金标准、个人缴费档次标准、缴费补贴调整激励机制等政策。</w:t>
            </w:r>
          </w:p>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color w:val="auto"/>
                <w:spacing w:val="-6"/>
                <w:sz w:val="28"/>
                <w:szCs w:val="28"/>
                <w:highlight w:val="none"/>
                <w:lang w:val="en-US" w:eastAsia="zh-CN"/>
              </w:rPr>
              <w:t>4.</w:t>
            </w:r>
            <w:r>
              <w:rPr>
                <w:rFonts w:hint="eastAsia" w:ascii="仿宋_GB2312" w:hAnsi="仿宋_GB2312" w:eastAsia="仿宋_GB2312" w:cs="仿宋_GB2312"/>
                <w:b w:val="0"/>
                <w:bCs w:val="0"/>
                <w:spacing w:val="-6"/>
                <w:sz w:val="28"/>
                <w:szCs w:val="28"/>
                <w:highlight w:val="none"/>
                <w:vertAlign w:val="baseline"/>
                <w:lang w:val="en-US" w:eastAsia="zh-CN"/>
              </w:rPr>
              <w:t>贯彻落实统一的城乡居民基本医疗保险和大病保险制度。持续开展医保电子凭证推广及应用工作，积极推动多部门数据共享平台建设，做好医保业务跨省通办、市内通办工作。</w:t>
            </w:r>
          </w:p>
        </w:tc>
        <w:tc>
          <w:tcPr>
            <w:tcW w:w="248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市公安局、市人社局、市医保局、市卫健委</w:t>
            </w:r>
            <w:r>
              <w:rPr>
                <w:rFonts w:hint="eastAsia" w:ascii="仿宋_GB2312" w:hAnsi="仿宋_GB2312" w:eastAsia="仿宋_GB2312" w:cs="仿宋_GB2312"/>
                <w:b w:val="0"/>
                <w:bCs w:val="0"/>
                <w:color w:val="auto"/>
                <w:spacing w:val="-6"/>
                <w:sz w:val="28"/>
                <w:szCs w:val="28"/>
                <w:highlight w:val="none"/>
                <w:vertAlign w:val="baseline"/>
                <w:lang w:val="en-US" w:eastAsia="zh-CN"/>
              </w:rPr>
              <w:t>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kern w:val="2"/>
                <w:sz w:val="28"/>
                <w:szCs w:val="28"/>
                <w:highlight w:val="none"/>
                <w:vertAlign w:val="baseline"/>
                <w:lang w:val="en-US" w:eastAsia="zh-CN" w:bidi="ar-SA"/>
              </w:rPr>
              <w:t>14.提升人力资源服务质量</w:t>
            </w:r>
          </w:p>
        </w:tc>
        <w:tc>
          <w:tcPr>
            <w:tcW w:w="9346" w:type="dxa"/>
            <w:noWrap w:val="0"/>
            <w:vAlign w:val="center"/>
          </w:tcPr>
          <w:p>
            <w:pPr>
              <w:pStyle w:val="8"/>
              <w:keepNext w:val="0"/>
              <w:keepLines w:val="0"/>
              <w:pageBreakBefore w:val="0"/>
              <w:widowControl/>
              <w:kinsoku/>
              <w:wordWrap/>
              <w:overflowPunct/>
              <w:topLinePunct w:val="0"/>
              <w:autoSpaceDE/>
              <w:autoSpaceDN/>
              <w:bidi w:val="0"/>
              <w:adjustRightInd/>
              <w:spacing w:beforeAutospacing="0" w:line="512" w:lineRule="exact"/>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1.积极创建符合市场需求、功能完善、特色鲜明的人力资源服务产业园，培育人力资源服务骨干企业。</w:t>
            </w:r>
          </w:p>
          <w:p>
            <w:pPr>
              <w:pStyle w:val="8"/>
              <w:keepNext w:val="0"/>
              <w:keepLines w:val="0"/>
              <w:pageBreakBefore w:val="0"/>
              <w:widowControl/>
              <w:kinsoku/>
              <w:wordWrap/>
              <w:overflowPunct/>
              <w:topLinePunct w:val="0"/>
              <w:autoSpaceDE/>
              <w:autoSpaceDN/>
              <w:bidi w:val="0"/>
              <w:adjustRightInd/>
              <w:spacing w:beforeAutospacing="0" w:line="512" w:lineRule="exact"/>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2.打造“2+N”招聘品牌，积极开展线上网络招聘服务。</w:t>
            </w:r>
          </w:p>
          <w:p>
            <w:pPr>
              <w:pStyle w:val="8"/>
              <w:keepNext w:val="0"/>
              <w:keepLines w:val="0"/>
              <w:pageBreakBefore w:val="0"/>
              <w:widowControl/>
              <w:kinsoku/>
              <w:wordWrap/>
              <w:overflowPunct/>
              <w:topLinePunct w:val="0"/>
              <w:autoSpaceDE/>
              <w:autoSpaceDN/>
              <w:bidi w:val="0"/>
              <w:adjustRightInd/>
              <w:spacing w:beforeAutospacing="0" w:line="512" w:lineRule="exact"/>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3.推进与上海市松江区开展人力资源协作，积极探索我市共享用工模式，促进人力资源合理调配，缓解企业用工压力。</w:t>
            </w:r>
          </w:p>
          <w:p>
            <w:pPr>
              <w:pStyle w:val="8"/>
              <w:keepNext w:val="0"/>
              <w:keepLines w:val="0"/>
              <w:pageBreakBefore w:val="0"/>
              <w:widowControl/>
              <w:kinsoku/>
              <w:wordWrap/>
              <w:overflowPunct/>
              <w:topLinePunct w:val="0"/>
              <w:autoSpaceDE/>
              <w:autoSpaceDN/>
              <w:bidi w:val="0"/>
              <w:adjustRightInd/>
              <w:spacing w:beforeAutospacing="0" w:line="512" w:lineRule="exact"/>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4.适时开展清理整顿人力资源市场专项行动。</w:t>
            </w:r>
          </w:p>
          <w:p>
            <w:pPr>
              <w:pStyle w:val="8"/>
              <w:keepNext w:val="0"/>
              <w:keepLines w:val="0"/>
              <w:pageBreakBefore w:val="0"/>
              <w:widowControl/>
              <w:kinsoku/>
              <w:wordWrap/>
              <w:overflowPunct/>
              <w:topLinePunct w:val="0"/>
              <w:autoSpaceDE/>
              <w:autoSpaceDN/>
              <w:bidi w:val="0"/>
              <w:adjustRightInd/>
              <w:spacing w:beforeAutospacing="0" w:line="512" w:lineRule="exact"/>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5.</w:t>
            </w:r>
            <w:r>
              <w:rPr>
                <w:rFonts w:hint="eastAsia" w:ascii="仿宋_GB2312" w:hAnsi="仿宋_GB2312" w:eastAsia="仿宋_GB2312" w:cs="仿宋_GB2312"/>
                <w:b w:val="0"/>
                <w:bCs w:val="0"/>
                <w:spacing w:val="-6"/>
                <w:sz w:val="28"/>
                <w:szCs w:val="28"/>
                <w:highlight w:val="none"/>
                <w:vertAlign w:val="baseline"/>
                <w:lang w:val="en" w:eastAsia="zh-CN"/>
              </w:rPr>
              <w:t>做好职称评审权限下放承接工作。</w:t>
            </w:r>
          </w:p>
        </w:tc>
        <w:tc>
          <w:tcPr>
            <w:tcW w:w="248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default"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市人社局负责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0" w:type="auto"/>
            <w:gridSpan w:val="3"/>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楷体_GB2312" w:hAnsi="楷体_GB2312" w:eastAsia="楷体_GB2312" w:cs="楷体_GB2312"/>
                <w:b/>
                <w:bCs/>
                <w:spacing w:val="-6"/>
                <w:kern w:val="2"/>
                <w:sz w:val="28"/>
                <w:szCs w:val="28"/>
                <w:highlight w:val="none"/>
                <w:lang w:val="en-US" w:eastAsia="zh-CN" w:bidi="ar-SA"/>
              </w:rPr>
              <w:t>（六）促进资本市场健康发展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15.</w:t>
            </w:r>
            <w:r>
              <w:rPr>
                <w:rFonts w:hint="eastAsia" w:ascii="仿宋_GB2312" w:hAnsi="仿宋_GB2312" w:eastAsia="仿宋_GB2312" w:cs="仿宋_GB2312"/>
                <w:b w:val="0"/>
                <w:bCs w:val="0"/>
                <w:spacing w:val="-6"/>
                <w:sz w:val="28"/>
                <w:szCs w:val="28"/>
                <w:highlight w:val="none"/>
              </w:rPr>
              <w:t>推进企业在多层次资本市场融资发展</w:t>
            </w:r>
          </w:p>
        </w:tc>
        <w:tc>
          <w:tcPr>
            <w:tcW w:w="934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lang w:val="en-US" w:eastAsia="zh-CN"/>
              </w:rPr>
            </w:pPr>
            <w:r>
              <w:rPr>
                <w:rFonts w:hint="eastAsia" w:ascii="仿宋_GB2312" w:hAnsi="仿宋_GB2312" w:eastAsia="仿宋_GB2312" w:cs="仿宋_GB2312"/>
                <w:b w:val="0"/>
                <w:bCs w:val="0"/>
                <w:spacing w:val="-6"/>
                <w:sz w:val="28"/>
                <w:szCs w:val="28"/>
                <w:highlight w:val="none"/>
                <w:lang w:val="en-US" w:eastAsia="zh-CN"/>
              </w:rPr>
              <w:t>1.</w:t>
            </w:r>
            <w:r>
              <w:rPr>
                <w:rFonts w:hint="eastAsia" w:ascii="仿宋_GB2312" w:hAnsi="仿宋_GB2312" w:eastAsia="仿宋_GB2312" w:cs="仿宋_GB2312"/>
                <w:b w:val="0"/>
                <w:bCs w:val="0"/>
                <w:spacing w:val="-6"/>
                <w:sz w:val="28"/>
                <w:szCs w:val="28"/>
                <w:highlight w:val="none"/>
              </w:rPr>
              <w:t>全力推进企业上市“雁阵计划”，加大上市挂牌后备企业资源培育和招引力度</w:t>
            </w:r>
            <w:r>
              <w:rPr>
                <w:rFonts w:hint="eastAsia" w:ascii="仿宋_GB2312" w:hAnsi="仿宋_GB2312" w:eastAsia="仿宋_GB2312" w:cs="仿宋_GB2312"/>
                <w:b w:val="0"/>
                <w:bCs w:val="0"/>
                <w:spacing w:val="-6"/>
                <w:sz w:val="28"/>
                <w:szCs w:val="28"/>
                <w:highlight w:val="none"/>
                <w:lang w:eastAsia="zh-CN"/>
              </w:rPr>
              <w:t>，</w:t>
            </w:r>
            <w:r>
              <w:rPr>
                <w:rFonts w:hint="eastAsia" w:ascii="仿宋_GB2312" w:hAnsi="仿宋_GB2312" w:eastAsia="仿宋_GB2312" w:cs="仿宋_GB2312"/>
                <w:b w:val="0"/>
                <w:bCs w:val="0"/>
                <w:spacing w:val="-6"/>
                <w:sz w:val="28"/>
                <w:szCs w:val="28"/>
                <w:highlight w:val="none"/>
              </w:rPr>
              <w:t>开展资本市场业务专项培训，加强优质企业与资本市场资源对接，加速推动企业赴沪深北交所上市进程。鼓励优质企业利用债务融资工具，推动上市公司再融资，不断提升直接融资比重。</w:t>
            </w:r>
          </w:p>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lang w:val="en-US" w:eastAsia="zh-CN"/>
              </w:rPr>
            </w:pPr>
            <w:r>
              <w:rPr>
                <w:rFonts w:hint="eastAsia" w:ascii="仿宋_GB2312" w:hAnsi="仿宋_GB2312" w:eastAsia="仿宋_GB2312" w:cs="仿宋_GB2312"/>
                <w:b w:val="0"/>
                <w:bCs w:val="0"/>
                <w:spacing w:val="-6"/>
                <w:sz w:val="28"/>
                <w:szCs w:val="28"/>
                <w:highlight w:val="none"/>
                <w:lang w:val="en-US" w:eastAsia="zh-CN"/>
              </w:rPr>
              <w:t>2.</w:t>
            </w:r>
            <w:r>
              <w:rPr>
                <w:rFonts w:hint="eastAsia" w:ascii="仿宋_GB2312" w:hAnsi="仿宋_GB2312" w:eastAsia="仿宋_GB2312" w:cs="仿宋_GB2312"/>
                <w:b w:val="0"/>
                <w:bCs w:val="0"/>
                <w:spacing w:val="-6"/>
                <w:sz w:val="28"/>
                <w:szCs w:val="28"/>
                <w:highlight w:val="none"/>
              </w:rPr>
              <w:t>推进投债贷一体化运作模式，通过抓两头带中间，引导企业发行短期融资券、超短期融资券、中期票据、定向债务融资工具、集合票据、资产支持票据等债务融资工具。力争民营企业发行债券融资工具取得零突破，绿色、双创、乡村振兴债券“首单”尽快落地。</w:t>
            </w:r>
          </w:p>
        </w:tc>
        <w:tc>
          <w:tcPr>
            <w:tcW w:w="248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市金融监管局、人行六安中支、市发改委、市科技局、市财政局</w:t>
            </w:r>
            <w:r>
              <w:rPr>
                <w:rFonts w:hint="eastAsia" w:ascii="仿宋_GB2312" w:hAnsi="仿宋_GB2312" w:eastAsia="仿宋_GB2312" w:cs="仿宋_GB2312"/>
                <w:b w:val="0"/>
                <w:bCs w:val="0"/>
                <w:color w:val="auto"/>
                <w:spacing w:val="-6"/>
                <w:sz w:val="28"/>
                <w:szCs w:val="28"/>
                <w:highlight w:val="none"/>
                <w:vertAlign w:val="baseline"/>
                <w:lang w:val="en-US" w:eastAsia="zh-CN"/>
              </w:rPr>
              <w:t>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7" w:hRule="atLeast"/>
        </w:trPr>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0"/>
                <w:sz w:val="28"/>
                <w:szCs w:val="28"/>
                <w:highlight w:val="none"/>
                <w:vertAlign w:val="baseline"/>
                <w:lang w:val="en-US" w:eastAsia="zh-CN"/>
              </w:rPr>
            </w:pPr>
            <w:r>
              <w:rPr>
                <w:rFonts w:hint="eastAsia" w:ascii="仿宋_GB2312" w:hAnsi="仿宋_GB2312" w:eastAsia="仿宋_GB2312" w:cs="仿宋_GB2312"/>
                <w:b w:val="0"/>
                <w:bCs w:val="0"/>
                <w:spacing w:val="0"/>
                <w:sz w:val="28"/>
                <w:szCs w:val="28"/>
                <w:highlight w:val="none"/>
                <w:lang w:val="en-US" w:eastAsia="zh-CN"/>
              </w:rPr>
              <w:t>16.</w:t>
            </w:r>
            <w:r>
              <w:rPr>
                <w:rFonts w:hint="eastAsia" w:ascii="仿宋_GB2312" w:hAnsi="仿宋_GB2312" w:eastAsia="仿宋_GB2312" w:cs="仿宋_GB2312"/>
                <w:b w:val="0"/>
                <w:bCs w:val="0"/>
                <w:spacing w:val="0"/>
                <w:sz w:val="28"/>
                <w:szCs w:val="28"/>
                <w:highlight w:val="none"/>
              </w:rPr>
              <w:t>引进培育资本市场机构投资者</w:t>
            </w:r>
          </w:p>
        </w:tc>
        <w:tc>
          <w:tcPr>
            <w:tcW w:w="934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0"/>
                <w:kern w:val="2"/>
                <w:sz w:val="28"/>
                <w:szCs w:val="28"/>
                <w:highlight w:val="none"/>
                <w:lang w:val="en-US" w:eastAsia="zh-CN" w:bidi="ar-SA"/>
              </w:rPr>
            </w:pPr>
            <w:r>
              <w:rPr>
                <w:rFonts w:hint="eastAsia" w:ascii="仿宋_GB2312" w:hAnsi="仿宋_GB2312" w:eastAsia="仿宋_GB2312" w:cs="仿宋_GB2312"/>
                <w:b w:val="0"/>
                <w:bCs w:val="0"/>
                <w:spacing w:val="0"/>
                <w:kern w:val="2"/>
                <w:sz w:val="28"/>
                <w:szCs w:val="28"/>
                <w:highlight w:val="none"/>
                <w:lang w:val="en-US" w:eastAsia="zh-CN" w:bidi="ar-SA"/>
              </w:rPr>
              <w:t>1.积极争取总部在沪苏浙的银行保险机构入驻六安设立分支机构，加大股份制商业银行招引力度。加强地方法人银行机构资本补充，优化股东股权管理，引导符合条件的沪苏浙优质企业特别是金融机构参与银行机构改革和战略投资，加大多渠道资本补充和新型资本补充工具创新。</w:t>
            </w:r>
          </w:p>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0"/>
                <w:kern w:val="2"/>
                <w:sz w:val="28"/>
                <w:szCs w:val="28"/>
                <w:highlight w:val="none"/>
                <w:vertAlign w:val="baseline"/>
                <w:lang w:val="en-US" w:eastAsia="zh-CN" w:bidi="ar-SA"/>
              </w:rPr>
            </w:pPr>
            <w:r>
              <w:rPr>
                <w:rFonts w:hint="eastAsia" w:ascii="仿宋_GB2312" w:hAnsi="仿宋_GB2312" w:eastAsia="仿宋_GB2312" w:cs="仿宋_GB2312"/>
                <w:b w:val="0"/>
                <w:bCs w:val="0"/>
                <w:spacing w:val="0"/>
                <w:sz w:val="28"/>
                <w:szCs w:val="28"/>
                <w:highlight w:val="none"/>
                <w:lang w:val="en-US" w:eastAsia="zh-CN"/>
              </w:rPr>
              <w:t>2.</w:t>
            </w:r>
            <w:r>
              <w:rPr>
                <w:rFonts w:hint="eastAsia" w:ascii="仿宋_GB2312" w:hAnsi="仿宋_GB2312" w:eastAsia="仿宋_GB2312" w:cs="仿宋_GB2312"/>
                <w:b w:val="0"/>
                <w:bCs w:val="0"/>
                <w:spacing w:val="0"/>
                <w:sz w:val="28"/>
                <w:szCs w:val="28"/>
                <w:highlight w:val="none"/>
              </w:rPr>
              <w:t>出台私募股权投资基金集聚发展政策措施，招引私募</w:t>
            </w:r>
            <w:r>
              <w:rPr>
                <w:rFonts w:hint="eastAsia" w:ascii="仿宋_GB2312" w:hAnsi="仿宋_GB2312" w:eastAsia="仿宋_GB2312" w:cs="仿宋_GB2312"/>
                <w:b w:val="0"/>
                <w:bCs w:val="0"/>
                <w:spacing w:val="0"/>
                <w:sz w:val="28"/>
                <w:szCs w:val="28"/>
                <w:highlight w:val="none"/>
                <w:lang w:eastAsia="zh-CN"/>
              </w:rPr>
              <w:t>股权投资</w:t>
            </w:r>
            <w:r>
              <w:rPr>
                <w:rFonts w:hint="eastAsia" w:ascii="仿宋_GB2312" w:hAnsi="仿宋_GB2312" w:eastAsia="仿宋_GB2312" w:cs="仿宋_GB2312"/>
                <w:b w:val="0"/>
                <w:bCs w:val="0"/>
                <w:spacing w:val="0"/>
                <w:sz w:val="28"/>
                <w:szCs w:val="28"/>
                <w:highlight w:val="none"/>
              </w:rPr>
              <w:t>基金</w:t>
            </w:r>
            <w:r>
              <w:rPr>
                <w:rFonts w:hint="eastAsia" w:ascii="仿宋_GB2312" w:hAnsi="仿宋_GB2312" w:eastAsia="仿宋_GB2312" w:cs="仿宋_GB2312"/>
                <w:b w:val="0"/>
                <w:bCs w:val="0"/>
                <w:spacing w:val="0"/>
                <w:sz w:val="28"/>
                <w:szCs w:val="28"/>
                <w:highlight w:val="none"/>
                <w:lang w:eastAsia="zh-CN"/>
              </w:rPr>
              <w:t>来我市</w:t>
            </w:r>
            <w:r>
              <w:rPr>
                <w:rFonts w:hint="eastAsia" w:ascii="仿宋_GB2312" w:hAnsi="仿宋_GB2312" w:eastAsia="仿宋_GB2312" w:cs="仿宋_GB2312"/>
                <w:b w:val="0"/>
                <w:bCs w:val="0"/>
                <w:spacing w:val="0"/>
                <w:sz w:val="28"/>
                <w:szCs w:val="28"/>
                <w:highlight w:val="none"/>
              </w:rPr>
              <w:t>集聚发展</w:t>
            </w:r>
            <w:r>
              <w:rPr>
                <w:rFonts w:hint="eastAsia" w:ascii="仿宋_GB2312" w:hAnsi="仿宋_GB2312" w:eastAsia="仿宋_GB2312" w:cs="仿宋_GB2312"/>
                <w:b w:val="0"/>
                <w:bCs w:val="0"/>
                <w:spacing w:val="0"/>
                <w:sz w:val="28"/>
                <w:szCs w:val="28"/>
                <w:highlight w:val="none"/>
                <w:vertAlign w:val="baseline"/>
                <w:lang w:val="en-US" w:eastAsia="zh-CN"/>
              </w:rPr>
              <w:t>，加大对落户我市基金管理机构的支持力度。</w:t>
            </w:r>
          </w:p>
        </w:tc>
        <w:tc>
          <w:tcPr>
            <w:tcW w:w="248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0"/>
                <w:sz w:val="28"/>
                <w:szCs w:val="28"/>
                <w:highlight w:val="none"/>
                <w:vertAlign w:val="baseline"/>
                <w:lang w:val="en-US" w:eastAsia="zh-CN"/>
              </w:rPr>
            </w:pPr>
            <w:r>
              <w:rPr>
                <w:rFonts w:hint="eastAsia" w:ascii="仿宋_GB2312" w:hAnsi="仿宋_GB2312" w:eastAsia="仿宋_GB2312" w:cs="仿宋_GB2312"/>
                <w:b w:val="0"/>
                <w:bCs w:val="0"/>
                <w:spacing w:val="0"/>
                <w:sz w:val="28"/>
                <w:szCs w:val="28"/>
                <w:highlight w:val="none"/>
                <w:vertAlign w:val="baseline"/>
                <w:lang w:val="en-US" w:eastAsia="zh-CN"/>
              </w:rPr>
              <w:t>六安银保监分局、市金融监管局、人行六安中支、市发改委、市人社局、市财政局</w:t>
            </w:r>
            <w:r>
              <w:rPr>
                <w:rFonts w:hint="eastAsia" w:ascii="仿宋_GB2312" w:hAnsi="仿宋_GB2312" w:eastAsia="仿宋_GB2312" w:cs="仿宋_GB2312"/>
                <w:b w:val="0"/>
                <w:bCs w:val="0"/>
                <w:color w:val="auto"/>
                <w:spacing w:val="0"/>
                <w:sz w:val="28"/>
                <w:szCs w:val="28"/>
                <w:highlight w:val="none"/>
                <w:vertAlign w:val="baseline"/>
                <w:lang w:val="en-US" w:eastAsia="zh-CN"/>
              </w:rPr>
              <w:t>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5" w:hRule="atLeast"/>
        </w:trPr>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0"/>
                <w:sz w:val="28"/>
                <w:szCs w:val="28"/>
                <w:highlight w:val="none"/>
                <w:vertAlign w:val="baseline"/>
                <w:lang w:val="en-US" w:eastAsia="zh-CN"/>
              </w:rPr>
            </w:pPr>
            <w:r>
              <w:rPr>
                <w:rFonts w:hint="eastAsia" w:ascii="仿宋_GB2312" w:hAnsi="仿宋_GB2312" w:eastAsia="仿宋_GB2312" w:cs="仿宋_GB2312"/>
                <w:b w:val="0"/>
                <w:bCs w:val="0"/>
                <w:spacing w:val="0"/>
                <w:sz w:val="28"/>
                <w:szCs w:val="28"/>
                <w:highlight w:val="none"/>
                <w:lang w:val="en-US" w:eastAsia="zh-CN"/>
              </w:rPr>
              <w:t>17.</w:t>
            </w:r>
            <w:r>
              <w:rPr>
                <w:rFonts w:hint="eastAsia" w:ascii="仿宋_GB2312" w:hAnsi="仿宋_GB2312" w:eastAsia="仿宋_GB2312" w:cs="仿宋_GB2312"/>
                <w:b w:val="0"/>
                <w:bCs w:val="0"/>
                <w:spacing w:val="0"/>
                <w:sz w:val="28"/>
                <w:szCs w:val="28"/>
                <w:highlight w:val="none"/>
              </w:rPr>
              <w:t>优化实体经济融资服务</w:t>
            </w:r>
          </w:p>
        </w:tc>
        <w:tc>
          <w:tcPr>
            <w:tcW w:w="934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0"/>
                <w:sz w:val="28"/>
                <w:szCs w:val="28"/>
                <w:highlight w:val="none"/>
                <w:vertAlign w:val="baseline"/>
                <w:lang w:val="en-US" w:eastAsia="zh-CN"/>
              </w:rPr>
            </w:pPr>
            <w:r>
              <w:rPr>
                <w:rFonts w:hint="eastAsia" w:ascii="仿宋_GB2312" w:hAnsi="仿宋_GB2312" w:eastAsia="仿宋_GB2312" w:cs="仿宋_GB2312"/>
                <w:b w:val="0"/>
                <w:bCs w:val="0"/>
                <w:spacing w:val="0"/>
                <w:sz w:val="28"/>
                <w:szCs w:val="28"/>
                <w:highlight w:val="none"/>
                <w:lang w:val="en-US" w:eastAsia="zh-CN"/>
              </w:rPr>
              <w:t>1.引导金融机构加大对绿色、科技、涉农、民营和小微企业等重点领域和薄弱环节信贷支持力度。</w:t>
            </w:r>
          </w:p>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0"/>
                <w:sz w:val="28"/>
                <w:szCs w:val="28"/>
                <w:highlight w:val="none"/>
                <w:lang w:val="en-US" w:eastAsia="zh-CN"/>
              </w:rPr>
            </w:pPr>
            <w:r>
              <w:rPr>
                <w:rFonts w:hint="eastAsia" w:ascii="仿宋_GB2312" w:hAnsi="仿宋_GB2312" w:eastAsia="仿宋_GB2312" w:cs="仿宋_GB2312"/>
                <w:b w:val="0"/>
                <w:bCs w:val="0"/>
                <w:spacing w:val="0"/>
                <w:sz w:val="28"/>
                <w:szCs w:val="28"/>
                <w:highlight w:val="none"/>
                <w:lang w:val="en-US" w:eastAsia="zh-CN"/>
              </w:rPr>
              <w:t>2.</w:t>
            </w:r>
            <w:r>
              <w:rPr>
                <w:rFonts w:hint="eastAsia" w:ascii="仿宋_GB2312" w:hAnsi="仿宋_GB2312" w:eastAsia="仿宋_GB2312" w:cs="仿宋_GB2312"/>
                <w:b w:val="0"/>
                <w:bCs w:val="0"/>
                <w:spacing w:val="0"/>
                <w:sz w:val="28"/>
                <w:szCs w:val="28"/>
                <w:highlight w:val="none"/>
              </w:rPr>
              <w:t>做好金融支持稳企业保就业惠民生工作，用足用好再贷款再贴现和三项专项政策工具，引导全市信贷总量稳定增长、结构稳步优化、成本稳中有降</w:t>
            </w:r>
            <w:r>
              <w:rPr>
                <w:rFonts w:hint="eastAsia" w:ascii="仿宋_GB2312" w:hAnsi="仿宋_GB2312" w:eastAsia="仿宋_GB2312" w:cs="仿宋_GB2312"/>
                <w:b w:val="0"/>
                <w:bCs w:val="0"/>
                <w:spacing w:val="0"/>
                <w:sz w:val="28"/>
                <w:szCs w:val="28"/>
                <w:highlight w:val="none"/>
                <w:lang w:eastAsia="zh-CN"/>
              </w:rPr>
              <w:t>。</w:t>
            </w:r>
            <w:r>
              <w:rPr>
                <w:rFonts w:hint="eastAsia" w:ascii="仿宋_GB2312" w:hAnsi="仿宋_GB2312" w:eastAsia="仿宋_GB2312" w:cs="仿宋_GB2312"/>
                <w:b w:val="0"/>
                <w:bCs w:val="0"/>
                <w:spacing w:val="0"/>
                <w:sz w:val="28"/>
                <w:szCs w:val="28"/>
                <w:highlight w:val="none"/>
              </w:rPr>
              <w:t>引导金融机构积极运用中征应收账款融资服务平台，优化金融资源配置，支持中小微企业</w:t>
            </w:r>
            <w:r>
              <w:rPr>
                <w:rFonts w:hint="eastAsia" w:ascii="仿宋_GB2312" w:hAnsi="仿宋_GB2312" w:eastAsia="仿宋_GB2312" w:cs="仿宋_GB2312"/>
                <w:b w:val="0"/>
                <w:bCs w:val="0"/>
                <w:spacing w:val="0"/>
                <w:sz w:val="28"/>
                <w:szCs w:val="28"/>
                <w:highlight w:val="none"/>
                <w:lang w:val="en-US" w:eastAsia="zh-CN"/>
              </w:rPr>
              <w:t>发展。</w:t>
            </w:r>
          </w:p>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0"/>
                <w:sz w:val="28"/>
                <w:szCs w:val="28"/>
                <w:highlight w:val="none"/>
                <w:lang w:val="en-US" w:eastAsia="zh-CN"/>
              </w:rPr>
            </w:pPr>
            <w:r>
              <w:rPr>
                <w:rFonts w:hint="eastAsia" w:ascii="仿宋_GB2312" w:hAnsi="仿宋_GB2312" w:eastAsia="仿宋_GB2312" w:cs="仿宋_GB2312"/>
                <w:b w:val="0"/>
                <w:bCs w:val="0"/>
                <w:spacing w:val="0"/>
                <w:sz w:val="28"/>
                <w:szCs w:val="28"/>
                <w:highlight w:val="none"/>
                <w:lang w:val="en-US" w:eastAsia="zh-CN"/>
              </w:rPr>
              <w:t>3.建立服务实体经济质效季度监测制度，并按季度督导。</w:t>
            </w:r>
          </w:p>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0"/>
                <w:sz w:val="28"/>
                <w:szCs w:val="28"/>
                <w:highlight w:val="none"/>
                <w:lang w:val="en-US" w:eastAsia="zh-CN"/>
              </w:rPr>
            </w:pPr>
            <w:r>
              <w:rPr>
                <w:rFonts w:hint="eastAsia" w:ascii="仿宋_GB2312" w:hAnsi="仿宋_GB2312" w:eastAsia="仿宋_GB2312" w:cs="仿宋_GB2312"/>
                <w:b w:val="0"/>
                <w:bCs w:val="0"/>
                <w:spacing w:val="0"/>
                <w:sz w:val="28"/>
                <w:szCs w:val="28"/>
                <w:highlight w:val="none"/>
                <w:lang w:val="en-US" w:eastAsia="zh-CN"/>
              </w:rPr>
              <w:t>4.推动市“信易贷”平台上线运营，加强金融机构亟需信用信息归集共享，强化市“信易贷”平台宣传推广应用。</w:t>
            </w:r>
          </w:p>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0"/>
                <w:sz w:val="28"/>
                <w:szCs w:val="28"/>
                <w:highlight w:val="none"/>
                <w:vertAlign w:val="baseline"/>
                <w:lang w:val="en-US" w:eastAsia="zh-CN"/>
              </w:rPr>
            </w:pPr>
            <w:r>
              <w:rPr>
                <w:rFonts w:hint="eastAsia" w:ascii="仿宋_GB2312" w:hAnsi="仿宋_GB2312" w:eastAsia="仿宋_GB2312" w:cs="仿宋_GB2312"/>
                <w:b w:val="0"/>
                <w:bCs w:val="0"/>
                <w:spacing w:val="0"/>
                <w:sz w:val="28"/>
                <w:szCs w:val="28"/>
                <w:highlight w:val="none"/>
                <w:lang w:val="en-US" w:eastAsia="zh-CN"/>
              </w:rPr>
              <w:t>5.开展数字赋能普惠金融专项行动。</w:t>
            </w:r>
          </w:p>
        </w:tc>
        <w:tc>
          <w:tcPr>
            <w:tcW w:w="248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0"/>
                <w:sz w:val="28"/>
                <w:szCs w:val="28"/>
                <w:highlight w:val="none"/>
                <w:vertAlign w:val="baseline"/>
                <w:lang w:val="en-US" w:eastAsia="zh-CN"/>
              </w:rPr>
            </w:pPr>
            <w:r>
              <w:rPr>
                <w:rFonts w:hint="eastAsia" w:ascii="仿宋_GB2312" w:hAnsi="仿宋_GB2312" w:eastAsia="仿宋_GB2312" w:cs="仿宋_GB2312"/>
                <w:b w:val="0"/>
                <w:bCs w:val="0"/>
                <w:spacing w:val="0"/>
                <w:sz w:val="28"/>
                <w:szCs w:val="28"/>
                <w:highlight w:val="none"/>
                <w:vertAlign w:val="baseline"/>
                <w:lang w:val="en-US" w:eastAsia="zh-CN"/>
              </w:rPr>
              <w:t>人行六安中支、六安银保监分局、</w:t>
            </w:r>
            <w:r>
              <w:rPr>
                <w:rFonts w:hint="eastAsia" w:ascii="仿宋_GB2312" w:hAnsi="仿宋_GB2312" w:eastAsia="仿宋_GB2312" w:cs="仿宋_GB2312"/>
                <w:b w:val="0"/>
                <w:bCs w:val="0"/>
                <w:color w:val="auto"/>
                <w:spacing w:val="0"/>
                <w:sz w:val="28"/>
                <w:szCs w:val="28"/>
                <w:highlight w:val="none"/>
                <w:vertAlign w:val="baseline"/>
                <w:lang w:val="en-US" w:eastAsia="zh-CN"/>
              </w:rPr>
              <w:t>市发改委、</w:t>
            </w:r>
            <w:r>
              <w:rPr>
                <w:rFonts w:hint="eastAsia" w:ascii="仿宋_GB2312" w:hAnsi="仿宋_GB2312" w:eastAsia="仿宋_GB2312" w:cs="仿宋_GB2312"/>
                <w:b w:val="0"/>
                <w:bCs w:val="0"/>
                <w:spacing w:val="0"/>
                <w:sz w:val="28"/>
                <w:szCs w:val="28"/>
                <w:highlight w:val="none"/>
                <w:vertAlign w:val="baseline"/>
                <w:lang w:val="en-US" w:eastAsia="zh-CN"/>
              </w:rPr>
              <w:t>市金融监管局、市数管局</w:t>
            </w:r>
            <w:r>
              <w:rPr>
                <w:rFonts w:hint="eastAsia" w:ascii="仿宋_GB2312" w:hAnsi="仿宋_GB2312" w:eastAsia="仿宋_GB2312" w:cs="仿宋_GB2312"/>
                <w:b w:val="0"/>
                <w:bCs w:val="0"/>
                <w:color w:val="auto"/>
                <w:spacing w:val="0"/>
                <w:sz w:val="28"/>
                <w:szCs w:val="28"/>
                <w:highlight w:val="none"/>
                <w:vertAlign w:val="baseline"/>
                <w:lang w:val="en-US" w:eastAsia="zh-CN"/>
              </w:rPr>
              <w:t>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0" w:type="auto"/>
            <w:gridSpan w:val="3"/>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楷体_GB2312" w:hAnsi="楷体_GB2312" w:eastAsia="楷体_GB2312" w:cs="楷体_GB2312"/>
                <w:b/>
                <w:bCs/>
                <w:spacing w:val="-6"/>
                <w:kern w:val="2"/>
                <w:sz w:val="28"/>
                <w:szCs w:val="28"/>
                <w:highlight w:val="none"/>
                <w:lang w:val="en-US" w:eastAsia="zh-CN" w:bidi="ar-SA"/>
              </w:rPr>
              <w:t>（七）发展知识、技术和数据要素市场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18.</w:t>
            </w:r>
            <w:r>
              <w:rPr>
                <w:rFonts w:hint="eastAsia" w:ascii="仿宋_GB2312" w:hAnsi="仿宋_GB2312" w:eastAsia="仿宋_GB2312" w:cs="仿宋_GB2312"/>
                <w:b w:val="0"/>
                <w:bCs w:val="0"/>
                <w:spacing w:val="-6"/>
                <w:sz w:val="28"/>
                <w:szCs w:val="28"/>
                <w:highlight w:val="none"/>
              </w:rPr>
              <w:t>创新促进科技成果转化机制</w:t>
            </w:r>
          </w:p>
        </w:tc>
        <w:tc>
          <w:tcPr>
            <w:tcW w:w="9346" w:type="dxa"/>
            <w:noWrap w:val="0"/>
            <w:vAlign w:val="center"/>
          </w:tcPr>
          <w:p>
            <w:pPr>
              <w:keepNext w:val="0"/>
              <w:keepLines w:val="0"/>
              <w:pageBreakBefore w:val="0"/>
              <w:widowControl/>
              <w:suppressLineNumbers w:val="0"/>
              <w:kinsoku/>
              <w:wordWrap/>
              <w:overflowPunct/>
              <w:topLinePunct w:val="0"/>
              <w:autoSpaceDE/>
              <w:autoSpaceDN/>
              <w:bidi w:val="0"/>
              <w:adjustRightInd/>
              <w:spacing w:line="512" w:lineRule="exact"/>
              <w:jc w:val="both"/>
              <w:textAlignment w:val="auto"/>
              <w:rPr>
                <w:rFonts w:hint="eastAsia" w:ascii="仿宋_GB2312" w:hAnsi="仿宋_GB2312" w:eastAsia="仿宋_GB2312" w:cs="仿宋_GB2312"/>
                <w:b w:val="0"/>
                <w:bCs w:val="0"/>
                <w:color w:val="000000"/>
                <w:spacing w:val="-6"/>
                <w:kern w:val="0"/>
                <w:sz w:val="28"/>
                <w:szCs w:val="28"/>
                <w:highlight w:val="none"/>
                <w:lang w:val="en-US" w:eastAsia="zh-CN" w:bidi="ar"/>
              </w:rPr>
            </w:pPr>
            <w:r>
              <w:rPr>
                <w:rFonts w:hint="eastAsia" w:ascii="仿宋_GB2312" w:hAnsi="仿宋_GB2312" w:eastAsia="仿宋_GB2312" w:cs="仿宋_GB2312"/>
                <w:b w:val="0"/>
                <w:bCs w:val="0"/>
                <w:color w:val="000000"/>
                <w:spacing w:val="-6"/>
                <w:kern w:val="0"/>
                <w:sz w:val="28"/>
                <w:szCs w:val="28"/>
                <w:highlight w:val="none"/>
                <w:lang w:val="en-US" w:eastAsia="zh-CN" w:bidi="ar"/>
              </w:rPr>
              <w:t>1.以市场需求为导向，鼓励企业积极参与“揭榜挂帅”等省级科技计划项目申报，积极推进科技成果产业化。推深做实“攀亲结故”工程，依托安徽工业技术创新研究院六安院等创新平台，“育苗移栽”大院大所高端科技成果。</w:t>
            </w:r>
          </w:p>
          <w:p>
            <w:pPr>
              <w:keepNext w:val="0"/>
              <w:keepLines w:val="0"/>
              <w:pageBreakBefore w:val="0"/>
              <w:widowControl/>
              <w:suppressLineNumbers w:val="0"/>
              <w:kinsoku/>
              <w:wordWrap/>
              <w:overflowPunct/>
              <w:topLinePunct w:val="0"/>
              <w:autoSpaceDE/>
              <w:autoSpaceDN/>
              <w:bidi w:val="0"/>
              <w:adjustRightInd/>
              <w:spacing w:line="512" w:lineRule="exact"/>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2.实施高价值专利培育计划项目，力争建立高价值专利培育示范中心。</w:t>
            </w:r>
          </w:p>
        </w:tc>
        <w:tc>
          <w:tcPr>
            <w:tcW w:w="248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市科技局、市教体局、市市场监管局、市发改委、市财政局、市人社局</w:t>
            </w:r>
            <w:r>
              <w:rPr>
                <w:rFonts w:hint="eastAsia" w:ascii="仿宋_GB2312" w:hAnsi="仿宋_GB2312" w:eastAsia="仿宋_GB2312" w:cs="仿宋_GB2312"/>
                <w:b w:val="0"/>
                <w:bCs w:val="0"/>
                <w:color w:val="auto"/>
                <w:spacing w:val="-6"/>
                <w:sz w:val="28"/>
                <w:szCs w:val="28"/>
                <w:highlight w:val="none"/>
                <w:vertAlign w:val="baseline"/>
                <w:lang w:val="en-US" w:eastAsia="zh-CN"/>
              </w:rPr>
              <w:t>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19.</w:t>
            </w:r>
            <w:r>
              <w:rPr>
                <w:rFonts w:hint="eastAsia" w:ascii="仿宋_GB2312" w:hAnsi="仿宋_GB2312" w:eastAsia="仿宋_GB2312" w:cs="仿宋_GB2312"/>
                <w:b w:val="0"/>
                <w:bCs w:val="0"/>
                <w:spacing w:val="-6"/>
                <w:sz w:val="28"/>
                <w:szCs w:val="28"/>
                <w:highlight w:val="none"/>
              </w:rPr>
              <w:t>推进职务科技成果产权制度改革</w:t>
            </w:r>
          </w:p>
        </w:tc>
        <w:tc>
          <w:tcPr>
            <w:tcW w:w="9346" w:type="dxa"/>
            <w:noWrap w:val="0"/>
            <w:vAlign w:val="center"/>
          </w:tcPr>
          <w:p>
            <w:pPr>
              <w:keepNext w:val="0"/>
              <w:keepLines w:val="0"/>
              <w:pageBreakBefore w:val="0"/>
              <w:widowControl/>
              <w:suppressLineNumbers w:val="0"/>
              <w:kinsoku/>
              <w:wordWrap/>
              <w:overflowPunct/>
              <w:topLinePunct w:val="0"/>
              <w:autoSpaceDE/>
              <w:autoSpaceDN/>
              <w:bidi w:val="0"/>
              <w:adjustRightInd/>
              <w:spacing w:line="512" w:lineRule="exact"/>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color w:val="000000"/>
                <w:spacing w:val="-6"/>
                <w:kern w:val="0"/>
                <w:sz w:val="28"/>
                <w:szCs w:val="28"/>
                <w:highlight w:val="none"/>
                <w:lang w:val="en-US" w:eastAsia="zh-CN" w:bidi="ar"/>
              </w:rPr>
              <w:t>1.鼓励支持安徽工业技术创新研究院六安院积极探索科技成果转化新机制、新模式，落实“高校和科研院所职务科技成果单列管理试点”和“以先投后股方式支持科技成果转化”两项全面创新改革任务，充分调动科研人员创新积极性，提高科技成果供给质量和转化效率。</w:t>
            </w:r>
          </w:p>
        </w:tc>
        <w:tc>
          <w:tcPr>
            <w:tcW w:w="248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市科技局、市财政局、市教体局、市发改委</w:t>
            </w:r>
            <w:r>
              <w:rPr>
                <w:rFonts w:hint="eastAsia" w:ascii="仿宋_GB2312" w:hAnsi="仿宋_GB2312" w:eastAsia="仿宋_GB2312" w:cs="仿宋_GB2312"/>
                <w:b w:val="0"/>
                <w:bCs w:val="0"/>
                <w:color w:val="auto"/>
                <w:spacing w:val="-6"/>
                <w:sz w:val="28"/>
                <w:szCs w:val="28"/>
                <w:highlight w:val="none"/>
                <w:vertAlign w:val="baseline"/>
                <w:lang w:val="en-US" w:eastAsia="zh-CN"/>
              </w:rPr>
              <w:t>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20.</w:t>
            </w:r>
            <w:r>
              <w:rPr>
                <w:rFonts w:hint="eastAsia" w:ascii="仿宋_GB2312" w:hAnsi="仿宋_GB2312" w:eastAsia="仿宋_GB2312" w:cs="仿宋_GB2312"/>
                <w:b w:val="0"/>
                <w:bCs w:val="0"/>
                <w:spacing w:val="-6"/>
                <w:sz w:val="28"/>
                <w:szCs w:val="28"/>
                <w:highlight w:val="none"/>
              </w:rPr>
              <w:t>推动知识产权和科技成果产权交易</w:t>
            </w:r>
          </w:p>
        </w:tc>
        <w:tc>
          <w:tcPr>
            <w:tcW w:w="934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lang w:val="en-US" w:eastAsia="zh-CN"/>
              </w:rPr>
            </w:pPr>
            <w:r>
              <w:rPr>
                <w:rFonts w:hint="eastAsia" w:ascii="仿宋_GB2312" w:hAnsi="仿宋_GB2312" w:eastAsia="仿宋_GB2312" w:cs="仿宋_GB2312"/>
                <w:b w:val="0"/>
                <w:bCs w:val="0"/>
                <w:spacing w:val="-6"/>
                <w:sz w:val="28"/>
                <w:szCs w:val="28"/>
                <w:highlight w:val="none"/>
                <w:lang w:val="en-US" w:eastAsia="zh-CN"/>
              </w:rPr>
              <w:t>1.</w:t>
            </w:r>
            <w:r>
              <w:rPr>
                <w:rFonts w:hint="eastAsia" w:ascii="仿宋_GB2312" w:hAnsi="仿宋_GB2312" w:eastAsia="仿宋_GB2312" w:cs="仿宋_GB2312"/>
                <w:b w:val="0"/>
                <w:bCs w:val="0"/>
                <w:spacing w:val="-6"/>
                <w:sz w:val="28"/>
                <w:szCs w:val="28"/>
                <w:highlight w:val="none"/>
                <w:lang w:eastAsia="zh-CN"/>
              </w:rPr>
              <w:t>创新推进市知识产权运营中心建设，开展知识产权交易转让工作。</w:t>
            </w:r>
          </w:p>
          <w:p>
            <w:pPr>
              <w:keepNext w:val="0"/>
              <w:keepLines w:val="0"/>
              <w:pageBreakBefore w:val="0"/>
              <w:widowControl/>
              <w:suppressLineNumbers w:val="0"/>
              <w:kinsoku/>
              <w:wordWrap/>
              <w:overflowPunct/>
              <w:topLinePunct w:val="0"/>
              <w:autoSpaceDE/>
              <w:autoSpaceDN/>
              <w:bidi w:val="0"/>
              <w:adjustRightInd/>
              <w:spacing w:line="512" w:lineRule="exact"/>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color w:val="000000"/>
                <w:spacing w:val="-6"/>
                <w:kern w:val="0"/>
                <w:sz w:val="28"/>
                <w:szCs w:val="28"/>
                <w:highlight w:val="none"/>
                <w:lang w:val="en-US" w:eastAsia="zh-CN" w:bidi="ar"/>
              </w:rPr>
              <w:t>2.深入推进合芜蚌国家科技成果转移转化示范区建设，不断提升区域创新能力。积极参加中国（安徽）科技创新成果转化交易会，推进安徽科技大市场六安市场建设。</w:t>
            </w:r>
          </w:p>
        </w:tc>
        <w:tc>
          <w:tcPr>
            <w:tcW w:w="248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市市场监管局、市科技局、市文旅局、市发改委、市财政局、市金融监管局</w:t>
            </w:r>
            <w:r>
              <w:rPr>
                <w:rFonts w:hint="eastAsia" w:ascii="仿宋_GB2312" w:hAnsi="仿宋_GB2312" w:eastAsia="仿宋_GB2312" w:cs="仿宋_GB2312"/>
                <w:b w:val="0"/>
                <w:bCs w:val="0"/>
                <w:color w:val="auto"/>
                <w:spacing w:val="-6"/>
                <w:sz w:val="28"/>
                <w:szCs w:val="28"/>
                <w:highlight w:val="none"/>
                <w:vertAlign w:val="baseline"/>
                <w:lang w:val="en-US" w:eastAsia="zh-CN"/>
              </w:rPr>
              <w:t>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21.</w:t>
            </w:r>
            <w:r>
              <w:rPr>
                <w:rFonts w:hint="eastAsia" w:ascii="仿宋_GB2312" w:hAnsi="仿宋_GB2312" w:eastAsia="仿宋_GB2312" w:cs="仿宋_GB2312"/>
                <w:b w:val="0"/>
                <w:bCs w:val="0"/>
                <w:spacing w:val="-6"/>
                <w:sz w:val="28"/>
                <w:szCs w:val="28"/>
                <w:highlight w:val="none"/>
              </w:rPr>
              <w:t>加快培育发展数据要素市场</w:t>
            </w:r>
          </w:p>
        </w:tc>
        <w:tc>
          <w:tcPr>
            <w:tcW w:w="9346" w:type="dxa"/>
            <w:noWrap w:val="0"/>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lang w:val="en-US" w:eastAsia="zh-CN"/>
              </w:rPr>
            </w:pPr>
            <w:r>
              <w:rPr>
                <w:rFonts w:hint="eastAsia" w:ascii="仿宋_GB2312" w:hAnsi="仿宋_GB2312" w:eastAsia="仿宋_GB2312" w:cs="仿宋_GB2312"/>
                <w:b w:val="0"/>
                <w:bCs w:val="0"/>
                <w:spacing w:val="-6"/>
                <w:sz w:val="28"/>
                <w:szCs w:val="28"/>
                <w:highlight w:val="none"/>
                <w:lang w:val="en-US" w:eastAsia="zh-CN"/>
              </w:rPr>
              <w:t>印发市级贯彻落实文件，积极争取全省试点，打造一体化数据基础平台。</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依托线上“政务数据大厅”消除部门间直连的数据共享通道，实现公共数据分钟级、秒级归集和高效流通、按需使用。推动社会治理、市场监管、生态环境以及水电气等数据向社会开放。</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深入开展数据产业发展调研，推动出台支持发展数据要素市场政策措施。</w:t>
            </w:r>
          </w:p>
        </w:tc>
        <w:tc>
          <w:tcPr>
            <w:tcW w:w="248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default"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市数管局、市公安局、市市场监管局、市生态环境局、市住建局、市城管局</w:t>
            </w:r>
            <w:r>
              <w:rPr>
                <w:rFonts w:hint="eastAsia" w:ascii="仿宋_GB2312" w:hAnsi="仿宋_GB2312" w:eastAsia="仿宋_GB2312" w:cs="仿宋_GB2312"/>
                <w:b w:val="0"/>
                <w:bCs w:val="0"/>
                <w:color w:val="auto"/>
                <w:spacing w:val="-6"/>
                <w:sz w:val="28"/>
                <w:szCs w:val="28"/>
                <w:highlight w:val="none"/>
                <w:vertAlign w:val="baseline"/>
                <w:lang w:val="en-US" w:eastAsia="zh-CN"/>
              </w:rPr>
              <w:t>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0" w:type="auto"/>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黑体" w:hAnsi="黑体" w:eastAsia="黑体" w:cs="黑体"/>
                <w:b w:val="0"/>
                <w:bCs w:val="0"/>
                <w:spacing w:val="-6"/>
                <w:sz w:val="28"/>
                <w:szCs w:val="28"/>
                <w:highlight w:val="none"/>
                <w:vertAlign w:val="baseline"/>
                <w:lang w:val="en-US" w:eastAsia="zh-CN"/>
              </w:rPr>
              <w:t>三、改善和提升市场环境和质量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楷体_GB2312" w:hAnsi="楷体_GB2312" w:eastAsia="楷体_GB2312" w:cs="楷体_GB2312"/>
                <w:b/>
                <w:bCs/>
                <w:spacing w:val="-6"/>
                <w:kern w:val="2"/>
                <w:sz w:val="28"/>
                <w:szCs w:val="28"/>
                <w:highlight w:val="none"/>
                <w:lang w:val="en-US" w:eastAsia="zh-CN" w:bidi="ar-SA"/>
              </w:rPr>
              <w:t>（八）提升商品和服务质量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22.</w:t>
            </w:r>
            <w:r>
              <w:rPr>
                <w:rFonts w:hint="eastAsia" w:ascii="仿宋_GB2312" w:hAnsi="仿宋_GB2312" w:eastAsia="仿宋_GB2312" w:cs="仿宋_GB2312"/>
                <w:b w:val="0"/>
                <w:bCs w:val="0"/>
                <w:spacing w:val="-6"/>
                <w:sz w:val="28"/>
                <w:szCs w:val="28"/>
                <w:highlight w:val="none"/>
              </w:rPr>
              <w:t>深入开展质量提升行动</w:t>
            </w:r>
          </w:p>
        </w:tc>
        <w:tc>
          <w:tcPr>
            <w:tcW w:w="9346" w:type="dxa"/>
            <w:noWrap w:val="0"/>
            <w:vAlign w:val="center"/>
          </w:tcPr>
          <w:p>
            <w:pPr>
              <w:pStyle w:val="3"/>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lang w:val="en-US" w:eastAsia="zh-CN"/>
              </w:rPr>
            </w:pPr>
            <w:r>
              <w:rPr>
                <w:rFonts w:hint="eastAsia" w:ascii="仿宋_GB2312" w:hAnsi="仿宋_GB2312" w:eastAsia="仿宋_GB2312" w:cs="仿宋_GB2312"/>
                <w:b w:val="0"/>
                <w:bCs w:val="0"/>
                <w:spacing w:val="-6"/>
                <w:sz w:val="28"/>
                <w:szCs w:val="28"/>
                <w:highlight w:val="none"/>
                <w:lang w:val="en-US" w:eastAsia="zh-CN"/>
              </w:rPr>
              <w:t>按照省部署要求，</w:t>
            </w:r>
            <w:r>
              <w:rPr>
                <w:rFonts w:hint="eastAsia" w:ascii="仿宋_GB2312" w:hAnsi="仿宋_GB2312" w:eastAsia="仿宋_GB2312" w:cs="仿宋_GB2312"/>
                <w:b w:val="0"/>
                <w:bCs w:val="0"/>
                <w:spacing w:val="-6"/>
                <w:sz w:val="28"/>
                <w:szCs w:val="28"/>
                <w:highlight w:val="none"/>
              </w:rPr>
              <w:t>深入</w:t>
            </w:r>
            <w:r>
              <w:rPr>
                <w:rFonts w:hint="eastAsia" w:ascii="仿宋_GB2312" w:hAnsi="仿宋_GB2312" w:eastAsia="仿宋_GB2312" w:cs="仿宋_GB2312"/>
                <w:b w:val="0"/>
                <w:bCs w:val="0"/>
                <w:spacing w:val="-6"/>
                <w:sz w:val="28"/>
                <w:szCs w:val="28"/>
                <w:highlight w:val="none"/>
                <w:lang w:val="en-US" w:eastAsia="zh-CN"/>
              </w:rPr>
              <w:t>开展“四个一”质量提升行动，推进重点产业、产品质量提升示范区创建。</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b w:val="0"/>
                <w:bCs w:val="0"/>
                <w:spacing w:val="-6"/>
                <w:kern w:val="2"/>
                <w:sz w:val="28"/>
                <w:szCs w:val="28"/>
                <w:highlight w:val="none"/>
                <w:lang w:val="en-US" w:eastAsia="zh-CN" w:bidi="ar-SA"/>
              </w:rPr>
            </w:pPr>
            <w:r>
              <w:rPr>
                <w:rFonts w:hint="eastAsia" w:ascii="仿宋_GB2312" w:hAnsi="仿宋_GB2312" w:eastAsia="仿宋_GB2312" w:cs="仿宋_GB2312"/>
                <w:b w:val="0"/>
                <w:bCs w:val="0"/>
                <w:spacing w:val="-6"/>
                <w:sz w:val="28"/>
                <w:szCs w:val="28"/>
                <w:highlight w:val="none"/>
                <w:lang w:val="en-US" w:eastAsia="zh-CN"/>
              </w:rPr>
              <w:t>鼓励推广应用先进的质量工具方法，树立质量标杆，推进企业首席质量官能力建设。</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b w:val="0"/>
                <w:bCs w:val="0"/>
                <w:spacing w:val="-6"/>
                <w:kern w:val="2"/>
                <w:sz w:val="28"/>
                <w:szCs w:val="28"/>
                <w:highlight w:val="none"/>
                <w:lang w:val="en-US" w:eastAsia="zh-CN" w:bidi="ar-SA"/>
              </w:rPr>
            </w:pPr>
            <w:r>
              <w:rPr>
                <w:rFonts w:hint="eastAsia" w:ascii="仿宋_GB2312" w:hAnsi="仿宋_GB2312" w:eastAsia="仿宋_GB2312" w:cs="仿宋_GB2312"/>
                <w:b w:val="0"/>
                <w:bCs w:val="0"/>
                <w:spacing w:val="-6"/>
                <w:sz w:val="28"/>
                <w:szCs w:val="28"/>
                <w:highlight w:val="none"/>
                <w:lang w:val="en-US" w:eastAsia="zh-CN"/>
              </w:rPr>
              <w:t>完善质量基础设施，推进质量基础设施一站式服务。加大市政府质量奖、皖美品牌示范企业宣传、培育力度。</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b w:val="0"/>
                <w:bCs w:val="0"/>
                <w:spacing w:val="-6"/>
                <w:kern w:val="2"/>
                <w:sz w:val="28"/>
                <w:szCs w:val="28"/>
                <w:highlight w:val="none"/>
                <w:lang w:val="en-US" w:eastAsia="zh-CN" w:bidi="ar-SA"/>
              </w:rPr>
            </w:pPr>
            <w:r>
              <w:rPr>
                <w:rFonts w:hint="eastAsia" w:ascii="仿宋_GB2312" w:hAnsi="仿宋_GB2312" w:eastAsia="仿宋_GB2312" w:cs="仿宋_GB2312"/>
                <w:b w:val="0"/>
                <w:bCs w:val="0"/>
                <w:spacing w:val="-6"/>
                <w:sz w:val="28"/>
                <w:szCs w:val="28"/>
                <w:highlight w:val="none"/>
                <w:lang w:val="en-US" w:eastAsia="zh-CN"/>
              </w:rPr>
              <w:t>建立完善缺陷产品召回工作机制，推进缺陷召回工作。加强后续监管，消除安全隐患。</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b w:val="0"/>
                <w:bCs w:val="0"/>
                <w:spacing w:val="-6"/>
                <w:kern w:val="2"/>
                <w:sz w:val="28"/>
                <w:szCs w:val="28"/>
                <w:highlight w:val="none"/>
                <w:lang w:val="en-US" w:eastAsia="zh-CN" w:bidi="ar-SA"/>
              </w:rPr>
            </w:pPr>
            <w:r>
              <w:rPr>
                <w:rFonts w:hint="eastAsia" w:ascii="仿宋_GB2312" w:hAnsi="仿宋_GB2312" w:eastAsia="仿宋_GB2312" w:cs="仿宋_GB2312"/>
                <w:b w:val="0"/>
                <w:bCs w:val="0"/>
                <w:spacing w:val="-6"/>
                <w:sz w:val="28"/>
                <w:szCs w:val="28"/>
                <w:highlight w:val="none"/>
                <w:lang w:val="en-US" w:eastAsia="zh-CN"/>
              </w:rPr>
              <w:t>配合省市场监管局推进产品伤害监测与预防干预体系建设，推进产品质量安全事故强制报告制度。</w:t>
            </w:r>
          </w:p>
        </w:tc>
        <w:tc>
          <w:tcPr>
            <w:tcW w:w="248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default"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市市场监管局负责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0" w:type="auto"/>
            <w:noWrap w:val="0"/>
            <w:vAlign w:val="center"/>
          </w:tcPr>
          <w:p>
            <w:pPr>
              <w:pStyle w:val="3"/>
              <w:keepNext w:val="0"/>
              <w:keepLines w:val="0"/>
              <w:pageBreakBefore w:val="0"/>
              <w:numPr>
                <w:ilvl w:val="0"/>
                <w:numId w:val="0"/>
              </w:numPr>
              <w:kinsoku/>
              <w:wordWrap/>
              <w:overflowPunct/>
              <w:topLinePunct w:val="0"/>
              <w:autoSpaceDE/>
              <w:autoSpaceDN/>
              <w:bidi w:val="0"/>
              <w:adjustRightInd/>
              <w:spacing w:line="512" w:lineRule="exact"/>
              <w:ind w:left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23.</w:t>
            </w:r>
            <w:r>
              <w:rPr>
                <w:rFonts w:hint="eastAsia" w:ascii="仿宋_GB2312" w:hAnsi="仿宋_GB2312" w:eastAsia="仿宋_GB2312" w:cs="仿宋_GB2312"/>
                <w:b w:val="0"/>
                <w:bCs w:val="0"/>
                <w:spacing w:val="-6"/>
                <w:sz w:val="28"/>
                <w:szCs w:val="28"/>
                <w:highlight w:val="none"/>
              </w:rPr>
              <w:t>落实企业标准“领跑者”制度</w:t>
            </w:r>
          </w:p>
        </w:tc>
        <w:tc>
          <w:tcPr>
            <w:tcW w:w="9346" w:type="dxa"/>
            <w:noWrap w:val="0"/>
            <w:vAlign w:val="center"/>
          </w:tcPr>
          <w:p>
            <w:pPr>
              <w:pStyle w:val="3"/>
              <w:keepNext w:val="0"/>
              <w:keepLines w:val="0"/>
              <w:pageBreakBefore w:val="0"/>
              <w:numPr>
                <w:ilvl w:val="0"/>
                <w:numId w:val="3"/>
              </w:numPr>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全面推行企业标准总监制度和企业标准“领跑者”制度。鼓励社会团体制定发布先进的团体标准。</w:t>
            </w:r>
            <w:r>
              <w:rPr>
                <w:rFonts w:hint="eastAsia" w:ascii="仿宋_GB2312" w:hAnsi="仿宋_GB2312" w:eastAsia="仿宋_GB2312" w:cs="仿宋_GB2312"/>
                <w:b w:val="0"/>
                <w:bCs w:val="0"/>
                <w:color w:val="auto"/>
                <w:spacing w:val="-6"/>
                <w:sz w:val="28"/>
                <w:szCs w:val="28"/>
                <w:highlight w:val="none"/>
              </w:rPr>
              <w:t>加强企业自我声明公开标准的评估监督，鼓励企业公开更高质量的标准。强化企业标准化体系建设，推进企业标准总监制度实施。</w:t>
            </w:r>
          </w:p>
        </w:tc>
        <w:tc>
          <w:tcPr>
            <w:tcW w:w="248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市市场监管局负责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3" w:hRule="atLeast"/>
        </w:trPr>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24.</w:t>
            </w:r>
            <w:r>
              <w:rPr>
                <w:rFonts w:hint="eastAsia" w:ascii="仿宋_GB2312" w:hAnsi="仿宋_GB2312" w:eastAsia="仿宋_GB2312" w:cs="仿宋_GB2312"/>
                <w:b w:val="0"/>
                <w:bCs w:val="0"/>
                <w:spacing w:val="-6"/>
                <w:sz w:val="28"/>
                <w:szCs w:val="28"/>
                <w:highlight w:val="none"/>
              </w:rPr>
              <w:t>进一步加强安徽品牌建设</w:t>
            </w:r>
          </w:p>
        </w:tc>
        <w:tc>
          <w:tcPr>
            <w:tcW w:w="9346" w:type="dxa"/>
            <w:noWrap w:val="0"/>
            <w:vAlign w:val="center"/>
          </w:tcPr>
          <w:p>
            <w:pPr>
              <w:pStyle w:val="3"/>
              <w:keepNext w:val="0"/>
              <w:keepLines w:val="0"/>
              <w:pageBreakBefore w:val="0"/>
              <w:numPr>
                <w:ilvl w:val="0"/>
                <w:numId w:val="0"/>
              </w:numPr>
              <w:kinsoku/>
              <w:wordWrap/>
              <w:overflowPunct/>
              <w:topLinePunct w:val="0"/>
              <w:autoSpaceDE/>
              <w:autoSpaceDN/>
              <w:bidi w:val="0"/>
              <w:adjustRightInd/>
              <w:spacing w:line="512" w:lineRule="exact"/>
              <w:ind w:leftChars="0"/>
              <w:jc w:val="both"/>
              <w:textAlignment w:val="auto"/>
              <w:rPr>
                <w:rFonts w:hint="eastAsia" w:ascii="仿宋_GB2312" w:hAnsi="仿宋_GB2312" w:eastAsia="仿宋_GB2312" w:cs="仿宋_GB2312"/>
                <w:b w:val="0"/>
                <w:bCs w:val="0"/>
                <w:spacing w:val="-6"/>
                <w:sz w:val="28"/>
                <w:szCs w:val="28"/>
                <w:highlight w:val="none"/>
                <w:lang w:val="en-US" w:eastAsia="zh-CN"/>
              </w:rPr>
            </w:pPr>
          </w:p>
          <w:p>
            <w:pPr>
              <w:pStyle w:val="3"/>
              <w:keepNext w:val="0"/>
              <w:keepLines w:val="0"/>
              <w:pageBreakBefore w:val="0"/>
              <w:numPr>
                <w:ilvl w:val="0"/>
                <w:numId w:val="0"/>
              </w:numPr>
              <w:kinsoku/>
              <w:wordWrap/>
              <w:overflowPunct/>
              <w:topLinePunct w:val="0"/>
              <w:autoSpaceDE/>
              <w:autoSpaceDN/>
              <w:bidi w:val="0"/>
              <w:adjustRightInd/>
              <w:spacing w:line="512" w:lineRule="exact"/>
              <w:ind w:leftChars="0"/>
              <w:jc w:val="both"/>
              <w:textAlignment w:val="auto"/>
              <w:rPr>
                <w:rFonts w:hint="eastAsia" w:ascii="仿宋_GB2312" w:hAnsi="仿宋_GB2312" w:eastAsia="仿宋_GB2312" w:cs="仿宋_GB2312"/>
                <w:b w:val="0"/>
                <w:bCs w:val="0"/>
                <w:spacing w:val="-6"/>
                <w:sz w:val="28"/>
                <w:szCs w:val="28"/>
                <w:highlight w:val="no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1.完善“安徽老字号”扶持政策。建立“安徽老字号”申报企业库，对符合申报条件的企业进行精准指导申报，对即将符合申报条件的企业进行孵化。</w:t>
            </w:r>
          </w:p>
          <w:p>
            <w:pPr>
              <w:pStyle w:val="3"/>
              <w:keepNext w:val="0"/>
              <w:keepLines w:val="0"/>
              <w:pageBreakBefore w:val="0"/>
              <w:numPr>
                <w:ilvl w:val="0"/>
                <w:numId w:val="0"/>
              </w:numPr>
              <w:kinsoku/>
              <w:wordWrap/>
              <w:overflowPunct/>
              <w:topLinePunct w:val="0"/>
              <w:autoSpaceDE/>
              <w:autoSpaceDN/>
              <w:bidi w:val="0"/>
              <w:adjustRightInd/>
              <w:spacing w:line="512" w:lineRule="exact"/>
              <w:ind w:leftChars="0"/>
              <w:jc w:val="both"/>
              <w:textAlignment w:val="auto"/>
              <w:rPr>
                <w:rFonts w:hint="eastAsia" w:ascii="仿宋_GB2312" w:hAnsi="仿宋_GB2312" w:eastAsia="仿宋_GB2312" w:cs="仿宋_GB2312"/>
                <w:b w:val="0"/>
                <w:bCs w:val="0"/>
                <w:spacing w:val="-6"/>
                <w:sz w:val="28"/>
                <w:szCs w:val="28"/>
                <w:highlight w:val="none"/>
                <w:lang w:val="en-US" w:eastAsia="zh-CN"/>
              </w:rPr>
            </w:pPr>
            <w:r>
              <w:rPr>
                <w:rFonts w:hint="eastAsia" w:ascii="仿宋_GB2312" w:hAnsi="仿宋_GB2312" w:eastAsia="仿宋_GB2312" w:cs="仿宋_GB2312"/>
                <w:b w:val="0"/>
                <w:bCs w:val="0"/>
                <w:spacing w:val="-6"/>
                <w:sz w:val="28"/>
                <w:szCs w:val="28"/>
                <w:highlight w:val="none"/>
                <w:lang w:val="en-US" w:eastAsia="zh-CN"/>
              </w:rPr>
              <w:t>2.</w:t>
            </w:r>
            <w:r>
              <w:rPr>
                <w:rFonts w:hint="eastAsia" w:ascii="仿宋_GB2312" w:hAnsi="仿宋_GB2312" w:eastAsia="仿宋_GB2312" w:cs="仿宋_GB2312"/>
                <w:b w:val="0"/>
                <w:bCs w:val="0"/>
                <w:spacing w:val="-6"/>
                <w:sz w:val="28"/>
                <w:szCs w:val="28"/>
                <w:highlight w:val="none"/>
                <w:lang w:eastAsia="zh-CN"/>
              </w:rPr>
              <w:t>认真落实六安市“十四五”地理标志培育申报计划。</w:t>
            </w:r>
            <w:r>
              <w:rPr>
                <w:rFonts w:hint="eastAsia" w:ascii="仿宋_GB2312" w:hAnsi="仿宋_GB2312" w:eastAsia="仿宋_GB2312" w:cs="仿宋_GB2312"/>
                <w:b w:val="0"/>
                <w:bCs w:val="0"/>
                <w:spacing w:val="-6"/>
                <w:sz w:val="28"/>
                <w:szCs w:val="28"/>
                <w:highlight w:val="none"/>
                <w:lang w:val="en-US" w:eastAsia="zh-CN"/>
              </w:rPr>
              <w:t>积极推进我市十二个省级商标品牌基地建设。深入实施六安瓜片、霍山石斛国家地理标志运用促进工程项目。</w:t>
            </w:r>
          </w:p>
          <w:p>
            <w:pPr>
              <w:pStyle w:val="3"/>
              <w:keepNext w:val="0"/>
              <w:keepLines w:val="0"/>
              <w:pageBreakBefore w:val="0"/>
              <w:numPr>
                <w:ilvl w:val="0"/>
                <w:numId w:val="0"/>
              </w:numPr>
              <w:kinsoku/>
              <w:wordWrap/>
              <w:overflowPunct/>
              <w:topLinePunct w:val="0"/>
              <w:autoSpaceDE/>
              <w:autoSpaceDN/>
              <w:bidi w:val="0"/>
              <w:adjustRightInd/>
              <w:spacing w:line="512" w:lineRule="exact"/>
              <w:ind w:leftChars="0"/>
              <w:jc w:val="both"/>
              <w:textAlignment w:val="auto"/>
              <w:rPr>
                <w:rFonts w:hint="eastAsia" w:ascii="仿宋_GB2312" w:hAnsi="仿宋_GB2312" w:eastAsia="仿宋_GB2312" w:cs="仿宋_GB2312"/>
                <w:b w:val="0"/>
                <w:bCs w:val="0"/>
                <w:spacing w:val="-6"/>
                <w:sz w:val="28"/>
                <w:szCs w:val="28"/>
                <w:highlight w:val="none"/>
                <w:lang w:val="en-US" w:eastAsia="zh-CN"/>
              </w:rPr>
            </w:pPr>
            <w:r>
              <w:rPr>
                <w:rFonts w:hint="eastAsia" w:ascii="仿宋_GB2312" w:hAnsi="仿宋_GB2312" w:eastAsia="仿宋_GB2312" w:cs="仿宋_GB2312"/>
                <w:b w:val="0"/>
                <w:bCs w:val="0"/>
                <w:spacing w:val="-6"/>
                <w:sz w:val="28"/>
                <w:szCs w:val="28"/>
                <w:highlight w:val="none"/>
                <w:lang w:val="en-US" w:eastAsia="zh-CN"/>
              </w:rPr>
              <w:t>3.成立争创中国质量奖和省政府质量奖工作专班，推进市、县区政府质量奖评选工作，遴选一批重点培育对象，举办培训和申报辅导活动。开展制造业和服务业皖美品牌培育、申报工作。提升六安质量品牌馆的影响力。</w:t>
            </w:r>
          </w:p>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4.积极</w:t>
            </w:r>
            <w:r>
              <w:rPr>
                <w:rFonts w:hint="eastAsia" w:ascii="仿宋_GB2312" w:hAnsi="仿宋_GB2312" w:eastAsia="仿宋_GB2312" w:cs="仿宋_GB2312"/>
                <w:b w:val="0"/>
                <w:bCs w:val="0"/>
                <w:spacing w:val="-6"/>
                <w:sz w:val="28"/>
                <w:szCs w:val="28"/>
                <w:highlight w:val="none"/>
              </w:rPr>
              <w:t>组织我市婚纱礼服、羽绒服装企业等优势生产企业参加“双品网购节”</w:t>
            </w:r>
            <w:r>
              <w:rPr>
                <w:rFonts w:hint="eastAsia" w:ascii="仿宋_GB2312" w:hAnsi="仿宋_GB2312" w:eastAsia="仿宋_GB2312" w:cs="仿宋_GB2312"/>
                <w:b w:val="0"/>
                <w:bCs w:val="0"/>
                <w:spacing w:val="-6"/>
                <w:sz w:val="28"/>
                <w:szCs w:val="28"/>
                <w:highlight w:val="none"/>
                <w:lang w:eastAsia="zh-CN"/>
              </w:rPr>
              <w:t>。</w:t>
            </w:r>
          </w:p>
        </w:tc>
        <w:tc>
          <w:tcPr>
            <w:tcW w:w="248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市市场监管局、市商务局、市经信局</w:t>
            </w:r>
            <w:r>
              <w:rPr>
                <w:rFonts w:hint="eastAsia" w:ascii="仿宋_GB2312" w:hAnsi="仿宋_GB2312" w:eastAsia="仿宋_GB2312" w:cs="仿宋_GB2312"/>
                <w:b w:val="0"/>
                <w:bCs w:val="0"/>
                <w:color w:val="auto"/>
                <w:spacing w:val="-6"/>
                <w:sz w:val="28"/>
                <w:szCs w:val="28"/>
                <w:highlight w:val="none"/>
                <w:vertAlign w:val="baseline"/>
                <w:lang w:val="en-US" w:eastAsia="zh-CN"/>
              </w:rPr>
              <w:t>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1" w:hRule="atLeast"/>
        </w:trPr>
        <w:tc>
          <w:tcPr>
            <w:tcW w:w="0" w:type="auto"/>
            <w:noWrap w:val="0"/>
            <w:vAlign w:val="center"/>
          </w:tcPr>
          <w:p>
            <w:pPr>
              <w:pStyle w:val="3"/>
              <w:keepNext w:val="0"/>
              <w:keepLines w:val="0"/>
              <w:pageBreakBefore w:val="0"/>
              <w:numPr>
                <w:ilvl w:val="0"/>
                <w:numId w:val="0"/>
              </w:numPr>
              <w:kinsoku/>
              <w:wordWrap/>
              <w:overflowPunct/>
              <w:topLinePunct w:val="0"/>
              <w:autoSpaceDE/>
              <w:autoSpaceDN/>
              <w:bidi w:val="0"/>
              <w:adjustRightInd/>
              <w:spacing w:line="512" w:lineRule="exact"/>
              <w:ind w:left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25.</w:t>
            </w:r>
            <w:r>
              <w:rPr>
                <w:rFonts w:hint="eastAsia" w:ascii="仿宋_GB2312" w:hAnsi="仿宋_GB2312" w:eastAsia="仿宋_GB2312" w:cs="仿宋_GB2312"/>
                <w:b w:val="0"/>
                <w:bCs w:val="0"/>
                <w:spacing w:val="-6"/>
                <w:sz w:val="28"/>
                <w:szCs w:val="28"/>
                <w:highlight w:val="none"/>
              </w:rPr>
              <w:t>推动商品市场创新发展</w:t>
            </w:r>
          </w:p>
        </w:tc>
        <w:tc>
          <w:tcPr>
            <w:tcW w:w="934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1.开展县域商业体系建设，提升县域商业主体品质。帮助企业申报省级农产品供应链项目，从升级改造公益性农产品批发市场、发展农产品冷链物流、加强产地流通设施建设、完善农产品零售网点、强化产销对接长效机制五个方面支持农产品供应链企业做大做强。</w:t>
            </w:r>
          </w:p>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color w:val="auto"/>
                <w:spacing w:val="-6"/>
                <w:sz w:val="28"/>
                <w:szCs w:val="28"/>
                <w:highlight w:val="none"/>
                <w:vertAlign w:val="baseline"/>
                <w:lang w:val="en-US" w:eastAsia="zh-CN"/>
              </w:rPr>
            </w:pPr>
            <w:r>
              <w:rPr>
                <w:rFonts w:hint="eastAsia" w:ascii="仿宋_GB2312" w:hAnsi="仿宋_GB2312" w:eastAsia="仿宋_GB2312" w:cs="仿宋_GB2312"/>
                <w:b w:val="0"/>
                <w:bCs w:val="0"/>
                <w:color w:val="auto"/>
                <w:spacing w:val="-6"/>
                <w:sz w:val="28"/>
                <w:szCs w:val="28"/>
                <w:highlight w:val="none"/>
                <w:vertAlign w:val="baseline"/>
                <w:lang w:val="en-US" w:eastAsia="zh-CN"/>
              </w:rPr>
              <w:t>2.推动中国供销大别山农产品物流园、大别山农产品冷链物流园、六安金太阳国际汽车城等新型专业市场服务业集聚区建设。</w:t>
            </w:r>
          </w:p>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kern w:val="2"/>
                <w:sz w:val="28"/>
                <w:szCs w:val="28"/>
                <w:highlight w:val="none"/>
                <w:vertAlign w:val="baseline"/>
                <w:lang w:val="en-US" w:eastAsia="zh-CN" w:bidi="ar-SA"/>
              </w:rPr>
            </w:pPr>
            <w:r>
              <w:rPr>
                <w:rFonts w:hint="eastAsia" w:ascii="仿宋_GB2312" w:hAnsi="仿宋_GB2312" w:eastAsia="仿宋_GB2312" w:cs="仿宋_GB2312"/>
                <w:b w:val="0"/>
                <w:bCs w:val="0"/>
                <w:spacing w:val="-6"/>
                <w:sz w:val="28"/>
                <w:szCs w:val="28"/>
                <w:highlight w:val="none"/>
                <w:vertAlign w:val="baseline"/>
                <w:lang w:val="en-US" w:eastAsia="zh-CN"/>
              </w:rPr>
              <w:t>3.加大涉农统筹整合资金和产业发展项目投入力度，加快6个绿色食品加工产业园建设，科学布局农产品加工基地、商贸物流园和冷链仓储设施，积极引导农业产业化“头部企业”、行业领军企业和链主企业集中入驻园区。</w:t>
            </w:r>
          </w:p>
        </w:tc>
        <w:tc>
          <w:tcPr>
            <w:tcW w:w="248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default"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市商务局、市发改委、市经信局、市农业农村局、六安海关、市市场监管局</w:t>
            </w:r>
            <w:r>
              <w:rPr>
                <w:rFonts w:hint="eastAsia" w:ascii="仿宋_GB2312" w:hAnsi="仿宋_GB2312" w:eastAsia="仿宋_GB2312" w:cs="仿宋_GB2312"/>
                <w:b w:val="0"/>
                <w:bCs w:val="0"/>
                <w:color w:val="auto"/>
                <w:spacing w:val="-6"/>
                <w:sz w:val="28"/>
                <w:szCs w:val="28"/>
                <w:highlight w:val="none"/>
                <w:vertAlign w:val="baseline"/>
                <w:lang w:val="en-US" w:eastAsia="zh-CN"/>
              </w:rPr>
              <w:t>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0" w:type="auto"/>
            <w:gridSpan w:val="3"/>
            <w:noWrap w:val="0"/>
            <w:vAlign w:val="center"/>
          </w:tcPr>
          <w:p>
            <w:pPr>
              <w:pStyle w:val="3"/>
              <w:keepNext w:val="0"/>
              <w:keepLines w:val="0"/>
              <w:pageBreakBefore w:val="0"/>
              <w:numPr>
                <w:ilvl w:val="0"/>
                <w:numId w:val="0"/>
              </w:numPr>
              <w:kinsoku/>
              <w:wordWrap/>
              <w:overflowPunct/>
              <w:topLinePunct w:val="0"/>
              <w:autoSpaceDE/>
              <w:autoSpaceDN/>
              <w:bidi w:val="0"/>
              <w:adjustRightInd/>
              <w:spacing w:line="512" w:lineRule="exact"/>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楷体_GB2312" w:hAnsi="楷体_GB2312" w:eastAsia="楷体_GB2312" w:cs="楷体_GB2312"/>
                <w:b/>
                <w:bCs/>
                <w:spacing w:val="-6"/>
                <w:kern w:val="2"/>
                <w:sz w:val="28"/>
                <w:szCs w:val="28"/>
                <w:highlight w:val="none"/>
                <w:lang w:val="en-US" w:eastAsia="zh-CN" w:bidi="ar-SA"/>
              </w:rPr>
              <w:t>（九）强化消费者权益保护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8" w:hRule="atLeast"/>
        </w:trPr>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26.</w:t>
            </w:r>
            <w:r>
              <w:rPr>
                <w:rFonts w:hint="eastAsia" w:ascii="仿宋_GB2312" w:hAnsi="仿宋_GB2312" w:eastAsia="仿宋_GB2312" w:cs="仿宋_GB2312"/>
                <w:b w:val="0"/>
                <w:bCs w:val="0"/>
                <w:spacing w:val="-6"/>
                <w:sz w:val="28"/>
                <w:szCs w:val="28"/>
                <w:highlight w:val="none"/>
              </w:rPr>
              <w:t>加强消费维权机制建设</w:t>
            </w:r>
          </w:p>
        </w:tc>
        <w:tc>
          <w:tcPr>
            <w:tcW w:w="934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1.强化消费者公益诉讼协作机制，深化食药等消费领域的工作成效，建立健全</w:t>
            </w:r>
            <w:r>
              <w:rPr>
                <w:rFonts w:hint="eastAsia" w:ascii="仿宋_GB2312" w:hAnsi="仿宋_GB2312" w:eastAsia="仿宋_GB2312" w:cs="仿宋_GB2312"/>
                <w:b w:val="0"/>
                <w:bCs w:val="0"/>
                <w:spacing w:val="-6"/>
                <w:sz w:val="28"/>
                <w:szCs w:val="28"/>
                <w:highlight w:val="none"/>
              </w:rPr>
              <w:t>刑事与消费民事公益诉讼、行政处罚与消费民事公益诉讼</w:t>
            </w:r>
            <w:r>
              <w:rPr>
                <w:rFonts w:hint="eastAsia" w:ascii="仿宋_GB2312" w:hAnsi="仿宋_GB2312" w:eastAsia="仿宋_GB2312" w:cs="仿宋_GB2312"/>
                <w:b w:val="0"/>
                <w:bCs w:val="0"/>
                <w:spacing w:val="-6"/>
                <w:sz w:val="28"/>
                <w:szCs w:val="28"/>
                <w:highlight w:val="none"/>
                <w:vertAlign w:val="baseline"/>
                <w:lang w:val="en-US" w:eastAsia="zh-CN"/>
              </w:rPr>
              <w:t>有效衔接。在</w:t>
            </w:r>
            <w:r>
              <w:rPr>
                <w:rFonts w:hint="eastAsia" w:ascii="仿宋_GB2312" w:hAnsi="仿宋_GB2312" w:eastAsia="仿宋_GB2312" w:cs="仿宋_GB2312"/>
                <w:b w:val="0"/>
                <w:bCs w:val="0"/>
                <w:spacing w:val="-6"/>
                <w:sz w:val="28"/>
                <w:szCs w:val="28"/>
                <w:highlight w:val="none"/>
              </w:rPr>
              <w:t>诉讼程序、庭审过程、举证责任等方面加强对消费者的司法保护</w:t>
            </w:r>
            <w:r>
              <w:rPr>
                <w:rFonts w:hint="eastAsia" w:ascii="仿宋_GB2312" w:hAnsi="仿宋_GB2312" w:eastAsia="仿宋_GB2312" w:cs="仿宋_GB2312"/>
                <w:b w:val="0"/>
                <w:bCs w:val="0"/>
                <w:spacing w:val="-6"/>
                <w:sz w:val="28"/>
                <w:szCs w:val="28"/>
                <w:highlight w:val="none"/>
                <w:vertAlign w:val="baseline"/>
                <w:lang w:val="en-US" w:eastAsia="zh-CN"/>
              </w:rPr>
              <w:t>。</w:t>
            </w:r>
          </w:p>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2.协助省消保委开展公益诉讼调查、及时报送案件线索。</w:t>
            </w:r>
          </w:p>
        </w:tc>
        <w:tc>
          <w:tcPr>
            <w:tcW w:w="248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市司法局、市法院、市市场监管局、市检察院</w:t>
            </w:r>
            <w:r>
              <w:rPr>
                <w:rFonts w:hint="eastAsia" w:ascii="仿宋_GB2312" w:hAnsi="仿宋_GB2312" w:eastAsia="仿宋_GB2312" w:cs="仿宋_GB2312"/>
                <w:b w:val="0"/>
                <w:bCs w:val="0"/>
                <w:color w:val="auto"/>
                <w:spacing w:val="-6"/>
                <w:sz w:val="28"/>
                <w:szCs w:val="28"/>
                <w:highlight w:val="none"/>
                <w:vertAlign w:val="baseline"/>
                <w:lang w:val="en-US" w:eastAsia="zh-CN"/>
              </w:rPr>
              <w:t>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27.</w:t>
            </w:r>
            <w:r>
              <w:rPr>
                <w:rFonts w:hint="eastAsia" w:ascii="仿宋_GB2312" w:hAnsi="仿宋_GB2312" w:eastAsia="仿宋_GB2312" w:cs="仿宋_GB2312"/>
                <w:b w:val="0"/>
                <w:bCs w:val="0"/>
                <w:spacing w:val="-6"/>
                <w:sz w:val="28"/>
                <w:szCs w:val="28"/>
                <w:highlight w:val="none"/>
              </w:rPr>
              <w:t>简化消费争议处理程序</w:t>
            </w:r>
          </w:p>
        </w:tc>
        <w:tc>
          <w:tcPr>
            <w:tcW w:w="9346" w:type="dxa"/>
            <w:noWrap w:val="0"/>
            <w:vAlign w:val="center"/>
          </w:tcPr>
          <w:p>
            <w:pPr>
              <w:pStyle w:val="3"/>
              <w:keepNext w:val="0"/>
              <w:keepLines w:val="0"/>
              <w:pageBreakBefore w:val="0"/>
              <w:kinsoku/>
              <w:wordWrap/>
              <w:overflowPunct/>
              <w:topLinePunct w:val="0"/>
              <w:autoSpaceDE/>
              <w:autoSpaceDN/>
              <w:bidi w:val="0"/>
              <w:adjustRightInd/>
              <w:snapToGrid/>
              <w:spacing w:line="460" w:lineRule="exact"/>
              <w:ind w:firstLine="0" w:firstLineChars="0"/>
              <w:jc w:val="both"/>
              <w:textAlignment w:val="auto"/>
              <w:rPr>
                <w:rFonts w:hint="eastAsia" w:ascii="仿宋_GB2312" w:hAnsi="仿宋_GB2312" w:eastAsia="仿宋_GB2312" w:cs="仿宋_GB2312"/>
                <w:b w:val="0"/>
                <w:bCs w:val="0"/>
                <w:spacing w:val="-6"/>
                <w:sz w:val="28"/>
                <w:szCs w:val="28"/>
                <w:highlight w:val="none"/>
              </w:rPr>
            </w:pPr>
            <w:r>
              <w:rPr>
                <w:rFonts w:hint="eastAsia" w:ascii="仿宋_GB2312" w:hAnsi="仿宋_GB2312" w:eastAsia="仿宋_GB2312" w:cs="仿宋_GB2312"/>
                <w:b w:val="0"/>
                <w:bCs w:val="0"/>
                <w:spacing w:val="-6"/>
                <w:sz w:val="28"/>
                <w:szCs w:val="28"/>
                <w:highlight w:val="none"/>
                <w:lang w:val="en-US" w:eastAsia="zh-CN"/>
              </w:rPr>
              <w:t>1.</w:t>
            </w:r>
            <w:r>
              <w:rPr>
                <w:rFonts w:hint="eastAsia" w:ascii="仿宋_GB2312" w:hAnsi="仿宋_GB2312" w:eastAsia="仿宋_GB2312" w:cs="仿宋_GB2312"/>
                <w:b w:val="0"/>
                <w:bCs w:val="0"/>
                <w:spacing w:val="-6"/>
                <w:sz w:val="28"/>
                <w:szCs w:val="28"/>
                <w:highlight w:val="none"/>
              </w:rPr>
              <w:t>运行消费纠纷小额速裁、简案速裁</w:t>
            </w:r>
            <w:r>
              <w:rPr>
                <w:rFonts w:hint="eastAsia" w:ascii="仿宋_GB2312" w:hAnsi="仿宋_GB2312" w:eastAsia="仿宋_GB2312" w:cs="仿宋_GB2312"/>
                <w:b w:val="0"/>
                <w:bCs w:val="0"/>
                <w:spacing w:val="-6"/>
                <w:sz w:val="28"/>
                <w:szCs w:val="28"/>
                <w:highlight w:val="none"/>
                <w:lang w:val="en-US" w:eastAsia="zh-CN"/>
              </w:rPr>
              <w:t>机制</w:t>
            </w:r>
            <w:r>
              <w:rPr>
                <w:rFonts w:hint="eastAsia" w:ascii="仿宋_GB2312" w:hAnsi="仿宋_GB2312" w:eastAsia="仿宋_GB2312" w:cs="仿宋_GB2312"/>
                <w:b w:val="0"/>
                <w:bCs w:val="0"/>
                <w:spacing w:val="-6"/>
                <w:sz w:val="28"/>
                <w:szCs w:val="28"/>
                <w:highlight w:val="none"/>
                <w:lang w:eastAsia="zh-CN"/>
              </w:rPr>
              <w:t>，</w:t>
            </w:r>
            <w:r>
              <w:rPr>
                <w:rFonts w:hint="eastAsia" w:ascii="仿宋_GB2312" w:hAnsi="仿宋_GB2312" w:eastAsia="仿宋_GB2312" w:cs="仿宋_GB2312"/>
                <w:b w:val="0"/>
                <w:bCs w:val="0"/>
                <w:spacing w:val="-6"/>
                <w:sz w:val="28"/>
                <w:szCs w:val="28"/>
                <w:highlight w:val="none"/>
              </w:rPr>
              <w:t>打通简易案件审理的“快车道”</w:t>
            </w:r>
            <w:r>
              <w:rPr>
                <w:rFonts w:hint="eastAsia" w:ascii="仿宋_GB2312" w:hAnsi="仿宋_GB2312" w:eastAsia="仿宋_GB2312" w:cs="仿宋_GB2312"/>
                <w:b w:val="0"/>
                <w:bCs w:val="0"/>
                <w:spacing w:val="-6"/>
                <w:sz w:val="28"/>
                <w:szCs w:val="28"/>
                <w:highlight w:val="none"/>
                <w:lang w:eastAsia="zh-CN"/>
              </w:rPr>
              <w:t>。</w:t>
            </w:r>
            <w:r>
              <w:rPr>
                <w:rFonts w:hint="eastAsia" w:ascii="仿宋_GB2312" w:hAnsi="仿宋_GB2312" w:eastAsia="仿宋_GB2312" w:cs="仿宋_GB2312"/>
                <w:b w:val="0"/>
                <w:bCs w:val="0"/>
                <w:spacing w:val="-6"/>
                <w:sz w:val="28"/>
                <w:szCs w:val="28"/>
                <w:highlight w:val="none"/>
              </w:rPr>
              <w:t>大力推动消费纠纷多元化解。</w:t>
            </w:r>
          </w:p>
          <w:p>
            <w:pPr>
              <w:pStyle w:val="3"/>
              <w:keepNext w:val="0"/>
              <w:keepLines w:val="0"/>
              <w:pageBreakBefore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rPr>
            </w:pPr>
            <w:r>
              <w:rPr>
                <w:rFonts w:hint="eastAsia" w:ascii="仿宋_GB2312" w:hAnsi="仿宋_GB2312" w:eastAsia="仿宋_GB2312" w:cs="仿宋_GB2312"/>
                <w:b w:val="0"/>
                <w:bCs w:val="0"/>
                <w:spacing w:val="-6"/>
                <w:sz w:val="28"/>
                <w:szCs w:val="28"/>
                <w:highlight w:val="none"/>
                <w:lang w:val="en-US" w:eastAsia="zh-CN"/>
              </w:rPr>
              <w:t>2.</w:t>
            </w:r>
            <w:r>
              <w:rPr>
                <w:rFonts w:hint="eastAsia" w:ascii="仿宋_GB2312" w:hAnsi="仿宋_GB2312" w:eastAsia="仿宋_GB2312" w:cs="仿宋_GB2312"/>
                <w:b w:val="0"/>
                <w:bCs w:val="0"/>
                <w:spacing w:val="-6"/>
                <w:sz w:val="28"/>
                <w:szCs w:val="28"/>
                <w:highlight w:val="none"/>
              </w:rPr>
              <w:t>完善有机衔接、相互协调的非诉讼消费纠纷多元化解机制。</w:t>
            </w:r>
          </w:p>
          <w:p>
            <w:pPr>
              <w:pStyle w:val="3"/>
              <w:keepNext w:val="0"/>
              <w:keepLines w:val="0"/>
              <w:pageBreakBefore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lang w:val="en-US" w:eastAsia="zh-CN"/>
              </w:rPr>
            </w:pPr>
            <w:r>
              <w:rPr>
                <w:rFonts w:hint="eastAsia" w:ascii="仿宋_GB2312" w:hAnsi="仿宋_GB2312" w:eastAsia="仿宋_GB2312" w:cs="仿宋_GB2312"/>
                <w:b w:val="0"/>
                <w:bCs w:val="0"/>
                <w:spacing w:val="-6"/>
                <w:sz w:val="28"/>
                <w:szCs w:val="28"/>
                <w:highlight w:val="none"/>
                <w:lang w:val="en-US" w:eastAsia="zh-CN"/>
              </w:rPr>
              <w:t>3.大力发展ODR在线消费纠纷解决企业，缩短投诉办结时间，化解消费矛盾。</w:t>
            </w:r>
          </w:p>
          <w:p>
            <w:pPr>
              <w:pStyle w:val="3"/>
              <w:keepNext w:val="0"/>
              <w:keepLines w:val="0"/>
              <w:pageBreakBefore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4.按照《六安市消费投诉公示工作实施方案》要求，对消费投诉信息进行公示。</w:t>
            </w:r>
            <w:r>
              <w:rPr>
                <w:rFonts w:hint="eastAsia" w:ascii="仿宋_GB2312" w:hAnsi="仿宋_GB2312" w:eastAsia="仿宋_GB2312" w:cs="仿宋_GB2312"/>
                <w:b w:val="0"/>
                <w:bCs w:val="0"/>
                <w:spacing w:val="-6"/>
                <w:sz w:val="28"/>
                <w:szCs w:val="28"/>
                <w:highlight w:val="none"/>
              </w:rPr>
              <w:t>探索建立维权处理结果消费者反馈评价机制。</w:t>
            </w:r>
          </w:p>
        </w:tc>
        <w:tc>
          <w:tcPr>
            <w:tcW w:w="248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市法院、市市场监管局等按职责分工负责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0" w:type="auto"/>
            <w:gridSpan w:val="3"/>
            <w:noWrap w:val="0"/>
            <w:vAlign w:val="center"/>
          </w:tcPr>
          <w:p>
            <w:pPr>
              <w:pStyle w:val="3"/>
              <w:keepNext w:val="0"/>
              <w:keepLines w:val="0"/>
              <w:pageBreakBefore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楷体_GB2312" w:hAnsi="楷体_GB2312" w:eastAsia="楷体_GB2312" w:cs="楷体_GB2312"/>
                <w:b/>
                <w:bCs/>
                <w:spacing w:val="-6"/>
                <w:sz w:val="28"/>
                <w:szCs w:val="28"/>
                <w:highlight w:val="none"/>
                <w:lang w:eastAsia="zh-CN"/>
              </w:rPr>
              <w:t>（</w:t>
            </w:r>
            <w:r>
              <w:rPr>
                <w:rFonts w:hint="eastAsia" w:ascii="楷体_GB2312" w:hAnsi="楷体_GB2312" w:eastAsia="楷体_GB2312" w:cs="楷体_GB2312"/>
                <w:b/>
                <w:bCs/>
                <w:spacing w:val="-6"/>
                <w:sz w:val="28"/>
                <w:szCs w:val="28"/>
                <w:highlight w:val="none"/>
                <w:lang w:val="en-US" w:eastAsia="zh-CN"/>
              </w:rPr>
              <w:t>十</w:t>
            </w:r>
            <w:r>
              <w:rPr>
                <w:rFonts w:hint="eastAsia" w:ascii="楷体_GB2312" w:hAnsi="楷体_GB2312" w:eastAsia="楷体_GB2312" w:cs="楷体_GB2312"/>
                <w:b/>
                <w:bCs/>
                <w:spacing w:val="-6"/>
                <w:sz w:val="28"/>
                <w:szCs w:val="28"/>
                <w:highlight w:val="none"/>
                <w:lang w:eastAsia="zh-CN"/>
              </w:rPr>
              <w:t>）</w:t>
            </w:r>
            <w:r>
              <w:rPr>
                <w:rFonts w:hint="eastAsia" w:ascii="楷体_GB2312" w:hAnsi="楷体_GB2312" w:eastAsia="楷体_GB2312" w:cs="楷体_GB2312"/>
                <w:b/>
                <w:bCs/>
                <w:spacing w:val="-6"/>
                <w:sz w:val="28"/>
                <w:szCs w:val="28"/>
                <w:highlight w:val="none"/>
              </w:rPr>
              <w:t>强化市场基础设施建设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28.</w:t>
            </w:r>
            <w:r>
              <w:rPr>
                <w:rFonts w:hint="eastAsia" w:ascii="仿宋_GB2312" w:hAnsi="仿宋_GB2312" w:eastAsia="仿宋_GB2312" w:cs="仿宋_GB2312"/>
                <w:b w:val="0"/>
                <w:bCs w:val="0"/>
                <w:spacing w:val="-6"/>
                <w:sz w:val="28"/>
                <w:szCs w:val="28"/>
                <w:highlight w:val="none"/>
              </w:rPr>
              <w:t>推动市场基础设施互联互通</w:t>
            </w:r>
          </w:p>
        </w:tc>
        <w:tc>
          <w:tcPr>
            <w:tcW w:w="9346" w:type="dxa"/>
            <w:noWrap w:val="0"/>
            <w:vAlign w:val="center"/>
          </w:tcPr>
          <w:p>
            <w:pPr>
              <w:pStyle w:val="3"/>
              <w:keepNext w:val="0"/>
              <w:keepLines w:val="0"/>
              <w:pageBreakBefore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1.</w:t>
            </w:r>
            <w:r>
              <w:rPr>
                <w:rFonts w:hint="eastAsia" w:ascii="仿宋_GB2312" w:hAnsi="仿宋_GB2312" w:eastAsia="仿宋_GB2312" w:cs="仿宋_GB2312"/>
                <w:b w:val="0"/>
                <w:bCs w:val="0"/>
                <w:spacing w:val="-6"/>
                <w:kern w:val="2"/>
                <w:sz w:val="28"/>
                <w:szCs w:val="28"/>
                <w:highlight w:val="none"/>
                <w:lang w:val="en-US" w:eastAsia="zh-CN" w:bidi="ar-SA"/>
              </w:rPr>
              <w:t>“十四五”期间，</w:t>
            </w:r>
            <w:r>
              <w:rPr>
                <w:rFonts w:hint="eastAsia" w:ascii="仿宋_GB2312" w:hAnsi="仿宋_GB2312" w:eastAsia="仿宋_GB2312" w:cs="仿宋_GB2312"/>
                <w:b w:val="0"/>
                <w:bCs w:val="0"/>
                <w:spacing w:val="-6"/>
                <w:sz w:val="28"/>
                <w:szCs w:val="28"/>
                <w:highlight w:val="none"/>
                <w:vertAlign w:val="baseline"/>
                <w:lang w:val="en-US" w:eastAsia="zh-CN"/>
              </w:rPr>
              <w:t>建成沿江高铁、六庆城际铁路、合六市域（郊）铁路、合肥经三河至万佛湖市域（郊）铁路，开展合康铁路、沿淮铁路、六庐铁路、阜六城际铁路前期工作，力争开工建设。</w:t>
            </w:r>
          </w:p>
          <w:p>
            <w:pPr>
              <w:pStyle w:val="3"/>
              <w:keepNext w:val="0"/>
              <w:keepLines w:val="0"/>
              <w:pageBreakBefore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kern w:val="2"/>
                <w:sz w:val="28"/>
                <w:szCs w:val="28"/>
                <w:highlight w:val="none"/>
                <w:lang w:val="en-US" w:eastAsia="zh-CN" w:bidi="ar-SA"/>
              </w:rPr>
            </w:pPr>
            <w:r>
              <w:rPr>
                <w:rFonts w:hint="eastAsia" w:ascii="仿宋_GB2312" w:hAnsi="仿宋_GB2312" w:eastAsia="仿宋_GB2312" w:cs="仿宋_GB2312"/>
                <w:b w:val="0"/>
                <w:bCs w:val="0"/>
                <w:spacing w:val="-6"/>
                <w:kern w:val="2"/>
                <w:sz w:val="28"/>
                <w:szCs w:val="28"/>
                <w:highlight w:val="none"/>
                <w:lang w:val="en-US" w:eastAsia="zh-CN" w:bidi="ar-SA"/>
              </w:rPr>
              <w:t>2.“十四五”期间，建成金安通用机场，推进金寨支线机场项目前期工作；建成合六叶高速公路六安段“四改八”改扩建、德上高速公路舒城段、合霍阜高速公路霍邱段、铜商高速公路六安段，开工建设铜商高速公路天堂寨支线、长丰至固始高速公路马店至皖豫界段，力争开工合肥至叶集高速公路（合六南部高速），高速公路密度达到4.14公里/百平方公里；配合开展引江济淮二期航运工程淠淮航道升级改造项目前期工作。</w:t>
            </w:r>
          </w:p>
          <w:p>
            <w:pPr>
              <w:pStyle w:val="3"/>
              <w:keepNext w:val="0"/>
              <w:keepLines w:val="0"/>
              <w:pageBreakBefore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kern w:val="2"/>
                <w:sz w:val="28"/>
                <w:szCs w:val="28"/>
                <w:highlight w:val="none"/>
                <w:lang w:val="en-US" w:eastAsia="zh-CN" w:bidi="ar-SA"/>
              </w:rPr>
            </w:pPr>
            <w:r>
              <w:rPr>
                <w:rFonts w:hint="eastAsia" w:ascii="仿宋_GB2312" w:hAnsi="仿宋_GB2312" w:eastAsia="仿宋_GB2312" w:cs="仿宋_GB2312"/>
                <w:b w:val="0"/>
                <w:bCs w:val="0"/>
                <w:spacing w:val="-6"/>
                <w:kern w:val="2"/>
                <w:sz w:val="28"/>
                <w:szCs w:val="28"/>
                <w:highlight w:val="none"/>
                <w:lang w:val="en-US" w:eastAsia="zh-CN" w:bidi="ar-SA"/>
              </w:rPr>
              <w:t>3.启动建设综合交通大数据应用平台，通过数据资源整合，推进以数据为关键要素的智慧交通发展，汇聚交通各行业数据；进一步完善乡镇综合运输服务站功能，新建、扩改建综合运输服务站35个以上。</w:t>
            </w:r>
          </w:p>
          <w:p>
            <w:pPr>
              <w:pStyle w:val="3"/>
              <w:keepNext w:val="0"/>
              <w:keepLines w:val="0"/>
              <w:pageBreakBefore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kern w:val="2"/>
                <w:sz w:val="28"/>
                <w:szCs w:val="28"/>
                <w:highlight w:val="none"/>
                <w:lang w:val="en-US" w:eastAsia="zh-CN" w:bidi="ar-SA"/>
              </w:rPr>
            </w:pPr>
            <w:r>
              <w:rPr>
                <w:rFonts w:hint="eastAsia" w:ascii="仿宋_GB2312" w:hAnsi="仿宋_GB2312" w:eastAsia="仿宋_GB2312" w:cs="仿宋_GB2312"/>
                <w:b w:val="0"/>
                <w:bCs w:val="0"/>
                <w:spacing w:val="-6"/>
                <w:kern w:val="2"/>
                <w:sz w:val="28"/>
                <w:szCs w:val="28"/>
                <w:highlight w:val="none"/>
                <w:lang w:val="en-US" w:eastAsia="zh-CN" w:bidi="ar-SA"/>
              </w:rPr>
              <w:t>4.</w:t>
            </w:r>
            <w:r>
              <w:rPr>
                <w:rFonts w:hint="eastAsia" w:ascii="仿宋_GB2312" w:hAnsi="仿宋_GB2312" w:eastAsia="仿宋_GB2312" w:cs="仿宋_GB2312"/>
                <w:i w:val="0"/>
                <w:caps w:val="0"/>
                <w:color w:val="auto"/>
                <w:spacing w:val="-6"/>
                <w:sz w:val="28"/>
                <w:szCs w:val="28"/>
                <w:highlight w:val="none"/>
                <w:shd w:val="clear" w:color="auto" w:fill="FFFFFF"/>
                <w:lang w:val="en-US" w:eastAsia="zh-CN"/>
              </w:rPr>
              <w:t>推进全市“三级三类”国土空间规划编制，优化各类基础设施空间布局，将交通、5G、物流等专项规划纳入国土空间基础信息平台，保障项目用地空间。积极服务公共设施和基础设施规划选址，将智能信报箱建设写入居住小区规划方案批复。</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5.</w:t>
            </w:r>
            <w:r>
              <w:rPr>
                <w:rFonts w:hint="eastAsia" w:ascii="仿宋_GB2312" w:hAnsi="仿宋_GB2312" w:eastAsia="仿宋_GB2312" w:cs="仿宋_GB2312"/>
                <w:b w:val="0"/>
                <w:bCs w:val="0"/>
                <w:spacing w:val="-6"/>
                <w:sz w:val="28"/>
                <w:szCs w:val="28"/>
                <w:highlight w:val="none"/>
                <w:lang w:eastAsia="zh-CN"/>
              </w:rPr>
              <w:t>深入推进邮政业“交通强国”支撑乡村振兴试点和三级物流体系建设，加快交邮快融合发展</w:t>
            </w:r>
            <w:r>
              <w:rPr>
                <w:rFonts w:hint="eastAsia" w:ascii="仿宋_GB2312" w:hAnsi="仿宋_GB2312" w:eastAsia="仿宋_GB2312" w:cs="仿宋_GB2312"/>
                <w:b w:val="0"/>
                <w:bCs w:val="0"/>
                <w:spacing w:val="-6"/>
                <w:sz w:val="28"/>
                <w:szCs w:val="28"/>
                <w:highlight w:val="none"/>
              </w:rPr>
              <w:t>，</w:t>
            </w:r>
            <w:r>
              <w:rPr>
                <w:rFonts w:hint="eastAsia" w:ascii="仿宋_GB2312" w:hAnsi="仿宋_GB2312" w:eastAsia="仿宋_GB2312" w:cs="仿宋_GB2312"/>
                <w:b w:val="0"/>
                <w:bCs w:val="0"/>
                <w:spacing w:val="-6"/>
                <w:sz w:val="28"/>
                <w:szCs w:val="28"/>
                <w:highlight w:val="none"/>
                <w:lang w:eastAsia="zh-CN"/>
              </w:rPr>
              <w:t>提升</w:t>
            </w:r>
            <w:r>
              <w:rPr>
                <w:rFonts w:hint="eastAsia" w:ascii="仿宋_GB2312" w:hAnsi="仿宋_GB2312" w:eastAsia="仿宋_GB2312" w:cs="仿宋_GB2312"/>
                <w:b w:val="0"/>
                <w:bCs w:val="0"/>
                <w:spacing w:val="-6"/>
                <w:sz w:val="28"/>
                <w:szCs w:val="28"/>
                <w:highlight w:val="none"/>
              </w:rPr>
              <w:t>快递进村工程</w:t>
            </w:r>
            <w:r>
              <w:rPr>
                <w:rFonts w:hint="eastAsia" w:ascii="仿宋_GB2312" w:hAnsi="仿宋_GB2312" w:eastAsia="仿宋_GB2312" w:cs="仿宋_GB2312"/>
                <w:b w:val="0"/>
                <w:bCs w:val="0"/>
                <w:spacing w:val="-6"/>
                <w:sz w:val="28"/>
                <w:szCs w:val="28"/>
                <w:highlight w:val="none"/>
                <w:lang w:eastAsia="zh-CN"/>
              </w:rPr>
              <w:t>质效</w:t>
            </w:r>
            <w:r>
              <w:rPr>
                <w:rFonts w:hint="eastAsia" w:ascii="仿宋_GB2312" w:hAnsi="仿宋_GB2312" w:eastAsia="仿宋_GB2312" w:cs="仿宋_GB2312"/>
                <w:b w:val="0"/>
                <w:bCs w:val="0"/>
                <w:spacing w:val="-6"/>
                <w:sz w:val="28"/>
                <w:szCs w:val="28"/>
                <w:highlight w:val="none"/>
              </w:rPr>
              <w:t>，</w:t>
            </w:r>
            <w:r>
              <w:rPr>
                <w:rFonts w:hint="eastAsia" w:ascii="仿宋_GB2312" w:hAnsi="仿宋_GB2312" w:eastAsia="仿宋_GB2312" w:cs="仿宋_GB2312"/>
                <w:b w:val="0"/>
                <w:bCs w:val="0"/>
                <w:spacing w:val="-6"/>
                <w:sz w:val="28"/>
                <w:szCs w:val="28"/>
                <w:highlight w:val="none"/>
                <w:lang w:eastAsia="zh-CN"/>
              </w:rPr>
              <w:t>强化快递末端服务能力。</w:t>
            </w:r>
          </w:p>
        </w:tc>
        <w:tc>
          <w:tcPr>
            <w:tcW w:w="248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市发改委、市交通局、市数管局、市自然资源局、市商务局、市自然资源局、市住建局、市邮政管理局等按职责分工负责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29.</w:t>
            </w:r>
            <w:r>
              <w:rPr>
                <w:rFonts w:hint="eastAsia" w:ascii="仿宋_GB2312" w:hAnsi="仿宋_GB2312" w:eastAsia="仿宋_GB2312" w:cs="仿宋_GB2312"/>
                <w:b w:val="0"/>
                <w:bCs w:val="0"/>
                <w:spacing w:val="-6"/>
                <w:sz w:val="28"/>
                <w:szCs w:val="28"/>
                <w:highlight w:val="none"/>
              </w:rPr>
              <w:t>实施智能市场发展示范工程</w:t>
            </w:r>
          </w:p>
        </w:tc>
        <w:tc>
          <w:tcPr>
            <w:tcW w:w="93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b w:val="0"/>
                <w:bCs w:val="0"/>
                <w:spacing w:val="-6"/>
                <w:sz w:val="28"/>
                <w:szCs w:val="28"/>
                <w:highlight w:val="none"/>
                <w:lang w:val="en-US" w:eastAsia="zh-CN"/>
              </w:rPr>
            </w:pPr>
            <w:r>
              <w:rPr>
                <w:rFonts w:hint="eastAsia" w:ascii="仿宋_GB2312" w:hAnsi="仿宋_GB2312" w:eastAsia="仿宋_GB2312" w:cs="仿宋_GB2312"/>
                <w:b w:val="0"/>
                <w:bCs w:val="0"/>
                <w:color w:val="000000"/>
                <w:spacing w:val="-6"/>
                <w:kern w:val="0"/>
                <w:sz w:val="28"/>
                <w:szCs w:val="28"/>
                <w:highlight w:val="none"/>
                <w:lang w:val="en-US" w:eastAsia="zh-CN" w:bidi="ar"/>
              </w:rPr>
              <w:t>1.围绕智能机器人、智能餐厨、自动驾驶、智能停车、智能制造、大数据等人工智能相关行业开展补链延链强链，大力招引产业链上下游企业，支持六安智谷产业园招引项目落地生效。</w:t>
            </w:r>
          </w:p>
          <w:p>
            <w:pPr>
              <w:pStyle w:val="3"/>
              <w:keepNext w:val="0"/>
              <w:keepLines w:val="0"/>
              <w:pageBreakBefore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rPr>
            </w:pPr>
            <w:r>
              <w:rPr>
                <w:rFonts w:hint="eastAsia" w:ascii="仿宋_GB2312" w:hAnsi="仿宋_GB2312" w:eastAsia="仿宋_GB2312" w:cs="仿宋_GB2312"/>
                <w:b w:val="0"/>
                <w:bCs w:val="0"/>
                <w:spacing w:val="-6"/>
                <w:sz w:val="28"/>
                <w:szCs w:val="28"/>
                <w:highlight w:val="none"/>
                <w:lang w:val="en-US" w:eastAsia="zh-CN"/>
              </w:rPr>
              <w:t>2.</w:t>
            </w:r>
            <w:r>
              <w:rPr>
                <w:rFonts w:hint="eastAsia" w:ascii="仿宋_GB2312" w:hAnsi="仿宋_GB2312" w:eastAsia="仿宋_GB2312" w:cs="仿宋_GB2312"/>
                <w:b w:val="0"/>
                <w:bCs w:val="0"/>
                <w:spacing w:val="-6"/>
                <w:sz w:val="28"/>
                <w:szCs w:val="28"/>
                <w:highlight w:val="none"/>
              </w:rPr>
              <w:t>加快推进5G基础设施建设，发挥省市县5G发展服务专班三级联动机制，充分调动各部门积极性和能动性，形成强大工作合力。</w:t>
            </w:r>
          </w:p>
          <w:p>
            <w:pPr>
              <w:pStyle w:val="3"/>
              <w:keepNext w:val="0"/>
              <w:keepLines w:val="0"/>
              <w:pageBreakBefore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rPr>
            </w:pPr>
            <w:r>
              <w:rPr>
                <w:rFonts w:hint="eastAsia" w:ascii="仿宋_GB2312" w:hAnsi="仿宋_GB2312" w:eastAsia="仿宋_GB2312" w:cs="仿宋_GB2312"/>
                <w:b w:val="0"/>
                <w:bCs w:val="0"/>
                <w:spacing w:val="-6"/>
                <w:sz w:val="28"/>
                <w:szCs w:val="28"/>
                <w:highlight w:val="none"/>
                <w:lang w:val="en-US" w:eastAsia="zh-CN"/>
              </w:rPr>
              <w:t>3.</w:t>
            </w:r>
            <w:r>
              <w:rPr>
                <w:rFonts w:hint="eastAsia" w:ascii="仿宋_GB2312" w:hAnsi="仿宋_GB2312" w:eastAsia="仿宋_GB2312" w:cs="仿宋_GB2312"/>
                <w:b w:val="0"/>
                <w:bCs w:val="0"/>
                <w:spacing w:val="-6"/>
                <w:sz w:val="28"/>
                <w:szCs w:val="28"/>
                <w:highlight w:val="none"/>
              </w:rPr>
              <w:t>开展“跨境人民币惠企便民专项行动”，支持更多市场主体使用人民币进行国际结算，帮助涉外企业健康发展。进一步落实外汇管理贸易投资便利化政策，便利涉汇主体跨境收支便利化结算。</w:t>
            </w:r>
          </w:p>
          <w:p>
            <w:pPr>
              <w:pStyle w:val="3"/>
              <w:keepNext w:val="0"/>
              <w:keepLines w:val="0"/>
              <w:pageBreakBefore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lang w:eastAsia="zh-CN"/>
              </w:rPr>
            </w:pPr>
            <w:r>
              <w:rPr>
                <w:rFonts w:hint="eastAsia" w:ascii="仿宋_GB2312" w:hAnsi="仿宋_GB2312" w:eastAsia="仿宋_GB2312" w:cs="仿宋_GB2312"/>
                <w:b w:val="0"/>
                <w:bCs w:val="0"/>
                <w:spacing w:val="-6"/>
                <w:sz w:val="28"/>
                <w:szCs w:val="28"/>
                <w:highlight w:val="none"/>
                <w:lang w:val="en-US" w:eastAsia="zh-CN"/>
              </w:rPr>
              <w:t>4.</w:t>
            </w:r>
            <w:r>
              <w:rPr>
                <w:rFonts w:hint="eastAsia" w:ascii="仿宋_GB2312" w:hAnsi="仿宋_GB2312" w:eastAsia="仿宋_GB2312" w:cs="仿宋_GB2312"/>
                <w:b w:val="0"/>
                <w:bCs w:val="0"/>
                <w:spacing w:val="-6"/>
                <w:sz w:val="28"/>
                <w:szCs w:val="28"/>
                <w:highlight w:val="none"/>
                <w:vertAlign w:val="baseline"/>
                <w:lang w:val="en-US" w:eastAsia="zh-CN"/>
              </w:rPr>
              <w:t>认定一批“智慧餐厨标准示范店”，促进“智慧餐厨”推广应用，</w:t>
            </w:r>
            <w:r>
              <w:rPr>
                <w:rFonts w:hint="eastAsia" w:ascii="仿宋_GB2312" w:hAnsi="仿宋_GB2312" w:eastAsia="仿宋_GB2312" w:cs="仿宋_GB2312"/>
                <w:b w:val="0"/>
                <w:bCs w:val="0"/>
                <w:spacing w:val="-6"/>
                <w:sz w:val="28"/>
                <w:szCs w:val="28"/>
                <w:highlight w:val="none"/>
              </w:rPr>
              <w:t>持续开展电商示范企业、示范园区和示范基地创建</w:t>
            </w:r>
            <w:r>
              <w:rPr>
                <w:rFonts w:hint="eastAsia" w:ascii="仿宋_GB2312" w:hAnsi="仿宋_GB2312" w:eastAsia="仿宋_GB2312" w:cs="仿宋_GB2312"/>
                <w:b w:val="0"/>
                <w:bCs w:val="0"/>
                <w:spacing w:val="-6"/>
                <w:sz w:val="28"/>
                <w:szCs w:val="28"/>
                <w:highlight w:val="none"/>
                <w:lang w:eastAsia="zh-CN"/>
              </w:rPr>
              <w:t>。</w:t>
            </w:r>
          </w:p>
          <w:p>
            <w:pPr>
              <w:pStyle w:val="3"/>
              <w:keepNext w:val="0"/>
              <w:keepLines w:val="0"/>
              <w:pageBreakBefore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rPr>
            </w:pPr>
          </w:p>
        </w:tc>
        <w:tc>
          <w:tcPr>
            <w:tcW w:w="248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市商务局、市经信局、市发改委、市科技局、市民政局、人行六安中支、六安海关、市邮政管理局等按职责分工负责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lang w:val="en-US" w:eastAsia="zh-CN"/>
              </w:rPr>
            </w:pPr>
            <w:r>
              <w:rPr>
                <w:rFonts w:hint="eastAsia" w:ascii="仿宋_GB2312" w:hAnsi="仿宋_GB2312" w:eastAsia="仿宋_GB2312" w:cs="仿宋_GB2312"/>
                <w:b w:val="0"/>
                <w:bCs w:val="0"/>
                <w:spacing w:val="-6"/>
                <w:sz w:val="28"/>
                <w:szCs w:val="28"/>
                <w:highlight w:val="none"/>
                <w:lang w:val="en-US" w:eastAsia="zh-CN"/>
              </w:rPr>
              <w:t>30.引导平台企业健康发展</w:t>
            </w:r>
          </w:p>
        </w:tc>
        <w:tc>
          <w:tcPr>
            <w:tcW w:w="934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lang w:val="en-US" w:eastAsia="zh-CN"/>
              </w:rPr>
            </w:pPr>
            <w:r>
              <w:rPr>
                <w:rFonts w:hint="eastAsia" w:ascii="仿宋_GB2312" w:hAnsi="仿宋_GB2312" w:eastAsia="仿宋_GB2312" w:cs="仿宋_GB2312"/>
                <w:b w:val="0"/>
                <w:bCs w:val="0"/>
                <w:spacing w:val="-6"/>
                <w:sz w:val="28"/>
                <w:szCs w:val="28"/>
                <w:highlight w:val="none"/>
                <w:lang w:val="en-US" w:eastAsia="zh-CN"/>
              </w:rPr>
              <w:t>1.推动平台企业规范健康持续发展，支持各县区加快引进一批创新能力强、行业地位突出、竞争优势明显的平台经济领域龙头企业。鼓励市内优质平台经济企业通过项目建设、战略重组等方式，加快培育发展成为大型企业和行业龙头企业。</w:t>
            </w:r>
          </w:p>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lang w:val="en-US" w:eastAsia="zh-CN"/>
              </w:rPr>
            </w:pPr>
            <w:r>
              <w:rPr>
                <w:rFonts w:hint="eastAsia" w:ascii="仿宋_GB2312" w:hAnsi="仿宋_GB2312" w:eastAsia="仿宋_GB2312" w:cs="仿宋_GB2312"/>
                <w:b w:val="0"/>
                <w:bCs w:val="0"/>
                <w:spacing w:val="-6"/>
                <w:sz w:val="28"/>
                <w:szCs w:val="28"/>
                <w:highlight w:val="none"/>
                <w:lang w:val="en-US" w:eastAsia="zh-CN"/>
              </w:rPr>
              <w:t>2.推动教育、医疗、快递物流等新型基础设施项目建设，提升智慧学校平台服务水平和优化市级教育云平台开放功能。推动第三方物流等新型服务平台发展。</w:t>
            </w:r>
          </w:p>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lang w:val="en-US" w:eastAsia="zh-CN"/>
              </w:rPr>
            </w:pPr>
            <w:r>
              <w:rPr>
                <w:rFonts w:hint="eastAsia" w:ascii="仿宋_GB2312" w:hAnsi="仿宋_GB2312" w:eastAsia="仿宋_GB2312" w:cs="仿宋_GB2312"/>
                <w:b w:val="0"/>
                <w:bCs w:val="0"/>
                <w:spacing w:val="-6"/>
                <w:sz w:val="28"/>
                <w:szCs w:val="28"/>
                <w:highlight w:val="none"/>
                <w:lang w:val="en-US" w:eastAsia="zh-CN"/>
              </w:rPr>
              <w:t>3.依托线上“政务数据大厅”的“按需共享、统一流转、随时调用”的数据共享机制，消除部门间直连的数据共享通道，实现公共数据分钟级、秒级归集和高效流通、按需使用。</w:t>
            </w:r>
          </w:p>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lang w:val="en-US" w:eastAsia="zh-CN"/>
              </w:rPr>
            </w:pPr>
            <w:r>
              <w:rPr>
                <w:rFonts w:hint="eastAsia" w:ascii="仿宋_GB2312" w:hAnsi="仿宋_GB2312" w:eastAsia="仿宋_GB2312" w:cs="仿宋_GB2312"/>
                <w:b w:val="0"/>
                <w:bCs w:val="0"/>
                <w:spacing w:val="-6"/>
                <w:sz w:val="28"/>
                <w:szCs w:val="28"/>
                <w:highlight w:val="none"/>
                <w:lang w:val="en-US" w:eastAsia="zh-CN"/>
              </w:rPr>
              <w:t>4.指导全市网络交易平台经营者履行主体责任，利用“双随机”对平台企业经营情况开展线上线下一体化监督检查，严厉查处平台出现的违法违规行为。聚焦互联网、平台经济等重点领域，加强反不正当竞争执法行动，有效规范市场竞争行为。</w:t>
            </w:r>
          </w:p>
        </w:tc>
        <w:tc>
          <w:tcPr>
            <w:tcW w:w="248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市发改委、市经信局、市市场监管局、</w:t>
            </w:r>
          </w:p>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市教体局、市科技局、市商务局、市卫健委、市数管局、人行六安中支、市邮政管理局等按职责分工负责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0" w:type="auto"/>
            <w:gridSpan w:val="3"/>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黑体" w:hAnsi="黑体" w:eastAsia="黑体" w:cs="黑体"/>
                <w:b w:val="0"/>
                <w:bCs w:val="0"/>
                <w:spacing w:val="-6"/>
                <w:sz w:val="28"/>
                <w:szCs w:val="28"/>
                <w:highlight w:val="none"/>
                <w:vertAlign w:val="baseline"/>
                <w:lang w:val="en-US" w:eastAsia="zh-CN"/>
              </w:rPr>
              <w:t>四、实施高水平市场开放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0" w:type="auto"/>
            <w:gridSpan w:val="3"/>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楷体_GB2312" w:hAnsi="楷体_GB2312" w:eastAsia="楷体_GB2312" w:cs="楷体_GB2312"/>
                <w:b/>
                <w:bCs/>
                <w:spacing w:val="-6"/>
                <w:kern w:val="2"/>
                <w:sz w:val="28"/>
                <w:szCs w:val="28"/>
                <w:highlight w:val="none"/>
                <w:lang w:val="en-US" w:eastAsia="zh-CN" w:bidi="ar-SA"/>
              </w:rPr>
              <w:t>（十一）有序扩大服务业市场开放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3" w:hRule="atLeast"/>
        </w:trPr>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31.</w:t>
            </w:r>
            <w:r>
              <w:rPr>
                <w:rFonts w:hint="eastAsia" w:ascii="仿宋_GB2312" w:hAnsi="仿宋_GB2312" w:eastAsia="仿宋_GB2312" w:cs="仿宋_GB2312"/>
                <w:b w:val="0"/>
                <w:bCs w:val="0"/>
                <w:spacing w:val="-6"/>
                <w:sz w:val="28"/>
                <w:szCs w:val="28"/>
                <w:highlight w:val="none"/>
              </w:rPr>
              <w:t>推动金融服务业交流合作</w:t>
            </w:r>
          </w:p>
        </w:tc>
        <w:tc>
          <w:tcPr>
            <w:tcW w:w="934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lang w:val="en-US" w:eastAsia="zh-CN"/>
              </w:rPr>
            </w:pPr>
            <w:r>
              <w:rPr>
                <w:rFonts w:hint="eastAsia" w:ascii="仿宋_GB2312" w:hAnsi="仿宋_GB2312" w:eastAsia="仿宋_GB2312" w:cs="仿宋_GB2312"/>
                <w:b w:val="0"/>
                <w:bCs w:val="0"/>
                <w:spacing w:val="-6"/>
                <w:sz w:val="28"/>
                <w:szCs w:val="28"/>
                <w:highlight w:val="none"/>
                <w:lang w:val="en-US" w:eastAsia="zh-CN"/>
              </w:rPr>
              <w:t>1.鼓励辖内银行业金融机构积极加入长三角跨区域重大项目联合授信、联合（银团）贷款协作机制，按照市场化原则支持六安长三角一体化重大项目、重点工程的跨区域银团贷款投放。推动银行业金融机构积极参与长三角区域“白名单”客户信息库建设。</w:t>
            </w:r>
          </w:p>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lang w:val="en-US" w:eastAsia="zh-CN"/>
              </w:rPr>
            </w:pPr>
            <w:r>
              <w:rPr>
                <w:rFonts w:hint="eastAsia" w:ascii="仿宋_GB2312" w:hAnsi="仿宋_GB2312" w:eastAsia="仿宋_GB2312" w:cs="仿宋_GB2312"/>
                <w:b w:val="0"/>
                <w:bCs w:val="0"/>
                <w:spacing w:val="-6"/>
                <w:sz w:val="28"/>
                <w:szCs w:val="28"/>
                <w:highlight w:val="none"/>
                <w:lang w:val="en-US" w:eastAsia="zh-CN"/>
              </w:rPr>
              <w:t>2.</w:t>
            </w:r>
            <w:r>
              <w:rPr>
                <w:rFonts w:hint="eastAsia" w:ascii="仿宋_GB2312" w:hAnsi="仿宋_GB2312" w:eastAsia="仿宋_GB2312" w:cs="仿宋_GB2312"/>
                <w:b w:val="0"/>
                <w:bCs w:val="0"/>
                <w:spacing w:val="-6"/>
                <w:sz w:val="28"/>
                <w:szCs w:val="28"/>
                <w:highlight w:val="none"/>
              </w:rPr>
              <w:t>加强长三角地区金融交流合作，支持金融机构互设分支机构，推动金融基础设施互联互通。</w:t>
            </w:r>
          </w:p>
        </w:tc>
        <w:tc>
          <w:tcPr>
            <w:tcW w:w="248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六安银保监分局、市金融监管局、人行六安中支等按职责分工负责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9" w:hRule="atLeast"/>
        </w:trPr>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32.</w:t>
            </w:r>
            <w:r>
              <w:rPr>
                <w:rFonts w:hint="eastAsia" w:ascii="仿宋_GB2312" w:hAnsi="仿宋_GB2312" w:eastAsia="仿宋_GB2312" w:cs="仿宋_GB2312"/>
                <w:b w:val="0"/>
                <w:bCs w:val="0"/>
                <w:spacing w:val="-6"/>
                <w:sz w:val="28"/>
                <w:szCs w:val="28"/>
                <w:highlight w:val="none"/>
              </w:rPr>
              <w:t>扩大社会服务业市场开放</w:t>
            </w:r>
          </w:p>
        </w:tc>
        <w:tc>
          <w:tcPr>
            <w:tcW w:w="934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lang w:val="en-US" w:eastAsia="zh-CN"/>
              </w:rPr>
            </w:pPr>
            <w:r>
              <w:rPr>
                <w:rFonts w:hint="eastAsia" w:ascii="仿宋_GB2312" w:hAnsi="仿宋_GB2312" w:eastAsia="仿宋_GB2312" w:cs="仿宋_GB2312"/>
                <w:b w:val="0"/>
                <w:bCs w:val="0"/>
                <w:spacing w:val="-6"/>
                <w:sz w:val="28"/>
                <w:szCs w:val="28"/>
                <w:highlight w:val="none"/>
                <w:lang w:val="en-US" w:eastAsia="zh-CN"/>
              </w:rPr>
              <w:t>1.</w:t>
            </w:r>
            <w:r>
              <w:rPr>
                <w:rFonts w:hint="eastAsia" w:ascii="仿宋_GB2312" w:hAnsi="仿宋_GB2312" w:eastAsia="仿宋_GB2312" w:cs="仿宋_GB2312"/>
                <w:b w:val="0"/>
                <w:bCs w:val="0"/>
                <w:spacing w:val="-6"/>
                <w:sz w:val="28"/>
                <w:szCs w:val="28"/>
                <w:highlight w:val="none"/>
              </w:rPr>
              <w:t>按照上级统一部署，以医疗、教育、体育、托幼、环保、市政等领域为重点，减少市场准入限制，</w:t>
            </w:r>
            <w:r>
              <w:rPr>
                <w:rFonts w:hint="eastAsia" w:ascii="仿宋_GB2312" w:hAnsi="仿宋_GB2312" w:eastAsia="仿宋_GB2312" w:cs="仿宋_GB2312"/>
                <w:b w:val="0"/>
                <w:bCs w:val="0"/>
                <w:spacing w:val="-6"/>
                <w:sz w:val="28"/>
                <w:szCs w:val="28"/>
                <w:highlight w:val="none"/>
                <w:lang w:val="en-US" w:eastAsia="zh-CN"/>
              </w:rPr>
              <w:t>降低公共服务领域市场准入门槛，鼓励政府向社会力量购买公共服务，扩大民间资本投资服务领域开放度。</w:t>
            </w:r>
          </w:p>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lang w:val="en-US" w:eastAsia="zh-CN"/>
              </w:rPr>
            </w:pPr>
            <w:r>
              <w:rPr>
                <w:rFonts w:hint="eastAsia" w:ascii="仿宋_GB2312" w:hAnsi="仿宋_GB2312" w:eastAsia="仿宋_GB2312" w:cs="仿宋_GB2312"/>
                <w:b w:val="0"/>
                <w:bCs w:val="0"/>
                <w:spacing w:val="-6"/>
                <w:sz w:val="28"/>
                <w:szCs w:val="28"/>
                <w:highlight w:val="none"/>
                <w:lang w:val="en-US" w:eastAsia="zh-CN"/>
              </w:rPr>
              <w:t>2.将提供基本医疗卫生服务的社会办非营利性医疗机构纳入政府补助范围，执行与公立医疗机构同等补助政策。落实社会办养老机构一次性建设补贴、运营补贴和贷款贴息政策。</w:t>
            </w:r>
          </w:p>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3.加强宣传，鼓励社会力量依法参与托育事业。加大招商力度，积极引进境外教育机构与市内学校开展合作。</w:t>
            </w:r>
          </w:p>
        </w:tc>
        <w:tc>
          <w:tcPr>
            <w:tcW w:w="248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市发改委、市财政局、</w:t>
            </w:r>
            <w:r>
              <w:rPr>
                <w:rFonts w:hint="eastAsia" w:ascii="仿宋_GB2312" w:hAnsi="仿宋_GB2312" w:eastAsia="仿宋_GB2312" w:cs="仿宋_GB2312"/>
                <w:b w:val="0"/>
                <w:bCs w:val="0"/>
                <w:strike w:val="0"/>
                <w:dstrike w:val="0"/>
                <w:spacing w:val="-6"/>
                <w:sz w:val="28"/>
                <w:szCs w:val="28"/>
                <w:highlight w:val="none"/>
                <w:vertAlign w:val="baseline"/>
                <w:lang w:val="en-US" w:eastAsia="zh-CN"/>
              </w:rPr>
              <w:t>市商务局、</w:t>
            </w:r>
            <w:r>
              <w:rPr>
                <w:rFonts w:hint="eastAsia" w:ascii="仿宋_GB2312" w:hAnsi="仿宋_GB2312" w:eastAsia="仿宋_GB2312" w:cs="仿宋_GB2312"/>
                <w:b w:val="0"/>
                <w:bCs w:val="0"/>
                <w:spacing w:val="-6"/>
                <w:sz w:val="28"/>
                <w:szCs w:val="28"/>
                <w:highlight w:val="none"/>
                <w:vertAlign w:val="baseline"/>
                <w:lang w:val="en-US" w:eastAsia="zh-CN"/>
              </w:rPr>
              <w:t>市卫健委、市教体局、市生态环境局等按职责分工负责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lang w:val="en-US" w:eastAsia="zh-CN"/>
              </w:rPr>
            </w:pPr>
            <w:r>
              <w:rPr>
                <w:rFonts w:hint="eastAsia" w:ascii="仿宋_GB2312" w:hAnsi="仿宋_GB2312" w:eastAsia="仿宋_GB2312" w:cs="仿宋_GB2312"/>
                <w:b w:val="0"/>
                <w:bCs w:val="0"/>
                <w:spacing w:val="-6"/>
                <w:sz w:val="28"/>
                <w:szCs w:val="28"/>
                <w:highlight w:val="none"/>
                <w:lang w:val="en-US" w:eastAsia="zh-CN"/>
              </w:rPr>
              <w:t>33.贯彻落实外商投资准入前国民待遇加负面清单管理制度</w:t>
            </w:r>
          </w:p>
        </w:tc>
        <w:tc>
          <w:tcPr>
            <w:tcW w:w="934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lang w:val="en-US" w:eastAsia="zh-CN"/>
              </w:rPr>
            </w:pPr>
            <w:r>
              <w:rPr>
                <w:rFonts w:hint="eastAsia" w:ascii="仿宋_GB2312" w:hAnsi="仿宋_GB2312" w:eastAsia="仿宋_GB2312" w:cs="仿宋_GB2312"/>
                <w:b w:val="0"/>
                <w:bCs w:val="0"/>
                <w:spacing w:val="-6"/>
                <w:sz w:val="28"/>
                <w:szCs w:val="28"/>
                <w:highlight w:val="none"/>
                <w:lang w:val="en-US" w:eastAsia="zh-CN"/>
              </w:rPr>
              <w:t>1.全面落实《外商投资法》及其实施条例，严格执行外商投资准入负面清单，清理外商投资隐性壁垒，贯彻执行非禁即入的规定。</w:t>
            </w:r>
          </w:p>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lang w:val="en-US" w:eastAsia="zh-CN"/>
              </w:rPr>
            </w:pPr>
            <w:r>
              <w:rPr>
                <w:rFonts w:hint="eastAsia" w:ascii="仿宋_GB2312" w:hAnsi="仿宋_GB2312" w:eastAsia="仿宋_GB2312" w:cs="仿宋_GB2312"/>
                <w:b w:val="0"/>
                <w:bCs w:val="0"/>
                <w:spacing w:val="-6"/>
                <w:sz w:val="28"/>
                <w:szCs w:val="28"/>
                <w:highlight w:val="none"/>
                <w:lang w:val="en-US" w:eastAsia="zh-CN"/>
              </w:rPr>
              <w:t>2.支持外资加大创新投入力度，积极争取外资激励资金，支持外资企业设立研发中心和参与科技创新平台建设。</w:t>
            </w:r>
          </w:p>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lang w:val="en-US" w:eastAsia="zh-CN"/>
              </w:rPr>
            </w:pPr>
            <w:r>
              <w:rPr>
                <w:rFonts w:hint="eastAsia" w:ascii="仿宋_GB2312" w:hAnsi="仿宋_GB2312" w:eastAsia="仿宋_GB2312" w:cs="仿宋_GB2312"/>
                <w:b w:val="0"/>
                <w:bCs w:val="0"/>
                <w:spacing w:val="-6"/>
                <w:sz w:val="28"/>
                <w:szCs w:val="28"/>
                <w:highlight w:val="none"/>
                <w:lang w:val="en-US" w:eastAsia="zh-CN"/>
              </w:rPr>
              <w:t>3.严格落实外商投资信息报告制度，准确了解和把握外商投资动态，加大服务指导力度。加强外商投资项目库建设，适时更新、定期跟踪。完善外商投诉体制机制建设，加大外商投诉协调处理工作力度。</w:t>
            </w:r>
          </w:p>
        </w:tc>
        <w:tc>
          <w:tcPr>
            <w:tcW w:w="248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市商务局、市发改委等按职责分工负责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0" w:type="auto"/>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楷体_GB2312" w:hAnsi="楷体_GB2312" w:eastAsia="楷体_GB2312" w:cs="楷体_GB2312"/>
                <w:b/>
                <w:bCs/>
                <w:spacing w:val="-6"/>
                <w:kern w:val="2"/>
                <w:sz w:val="28"/>
                <w:szCs w:val="28"/>
                <w:highlight w:val="none"/>
                <w:lang w:val="en-US" w:eastAsia="zh-CN" w:bidi="ar-SA"/>
              </w:rPr>
              <w:t>（十二）推动规则等制度型开放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34.</w:t>
            </w:r>
            <w:r>
              <w:rPr>
                <w:rFonts w:hint="eastAsia" w:ascii="仿宋_GB2312" w:hAnsi="仿宋_GB2312" w:eastAsia="仿宋_GB2312" w:cs="仿宋_GB2312"/>
                <w:b w:val="0"/>
                <w:bCs w:val="0"/>
                <w:spacing w:val="-6"/>
                <w:sz w:val="28"/>
                <w:szCs w:val="28"/>
                <w:highlight w:val="none"/>
              </w:rPr>
              <w:t>以自贸试验区建设为牵引构建制度型开放平台</w:t>
            </w:r>
          </w:p>
        </w:tc>
        <w:tc>
          <w:tcPr>
            <w:tcW w:w="9346" w:type="dxa"/>
            <w:noWrap w:val="0"/>
            <w:vAlign w:val="center"/>
          </w:tcPr>
          <w:p>
            <w:pPr>
              <w:pStyle w:val="3"/>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trike w:val="0"/>
                <w:dstrike w:val="0"/>
                <w:spacing w:val="-6"/>
                <w:sz w:val="28"/>
                <w:szCs w:val="28"/>
                <w:highlight w:val="none"/>
                <w:lang w:val="en-US" w:eastAsia="zh-CN"/>
              </w:rPr>
            </w:pPr>
            <w:r>
              <w:rPr>
                <w:rFonts w:hint="eastAsia" w:ascii="仿宋_GB2312" w:hAnsi="仿宋_GB2312" w:eastAsia="仿宋_GB2312" w:cs="仿宋_GB2312"/>
                <w:b w:val="0"/>
                <w:bCs w:val="0"/>
                <w:strike w:val="0"/>
                <w:dstrike w:val="0"/>
                <w:spacing w:val="-6"/>
                <w:sz w:val="28"/>
                <w:szCs w:val="28"/>
                <w:highlight w:val="none"/>
                <w:lang w:val="en-US" w:eastAsia="zh-CN"/>
              </w:rPr>
              <w:t>对标对表自贸试验区，积极复制推广自贸试验区建设成果。按照《中国（安徽）自由贸易试验区六安联动创新区实施方案》，加快推进联动创新区建设，打造高能级开放平台。</w:t>
            </w:r>
          </w:p>
          <w:p>
            <w:pPr>
              <w:pStyle w:val="3"/>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trike w:val="0"/>
                <w:dstrike w:val="0"/>
                <w:spacing w:val="-6"/>
                <w:sz w:val="28"/>
                <w:szCs w:val="28"/>
                <w:highlight w:val="none"/>
                <w:lang w:val="en-US" w:eastAsia="zh-CN"/>
              </w:rPr>
              <w:t>加强境外投资保护，建立健全境外投资政策和服务体系，提高对外投资水平。</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trike w:val="0"/>
                <w:dstrike w:val="0"/>
                <w:spacing w:val="-6"/>
                <w:sz w:val="28"/>
                <w:szCs w:val="28"/>
                <w:highlight w:val="none"/>
                <w:lang w:val="en-US" w:eastAsia="zh-CN"/>
              </w:rPr>
              <w:t>3.</w:t>
            </w:r>
            <w:r>
              <w:rPr>
                <w:rFonts w:hint="eastAsia" w:ascii="仿宋_GB2312" w:hAnsi="仿宋_GB2312" w:eastAsia="仿宋_GB2312" w:cs="仿宋_GB2312"/>
                <w:b w:val="0"/>
                <w:bCs w:val="0"/>
                <w:strike w:val="0"/>
                <w:dstrike w:val="0"/>
                <w:spacing w:val="-11"/>
                <w:sz w:val="28"/>
                <w:szCs w:val="28"/>
                <w:highlight w:val="none"/>
                <w:lang w:val="en-US" w:eastAsia="zh-CN"/>
              </w:rPr>
              <w:t>做好跨境贸易服务，推进跨境贸易提升行动贯彻落实，持续优化跨境贸易环境。</w:t>
            </w:r>
          </w:p>
        </w:tc>
        <w:tc>
          <w:tcPr>
            <w:tcW w:w="248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trike w:val="0"/>
                <w:dstrike w:val="0"/>
                <w:spacing w:val="-6"/>
                <w:sz w:val="28"/>
                <w:szCs w:val="28"/>
                <w:highlight w:val="none"/>
                <w:lang w:val="en-US" w:eastAsia="zh-CN"/>
              </w:rPr>
              <w:t>市商务局、六安海关</w:t>
            </w:r>
            <w:r>
              <w:rPr>
                <w:rFonts w:hint="eastAsia" w:ascii="仿宋_GB2312" w:hAnsi="仿宋_GB2312" w:eastAsia="仿宋_GB2312" w:cs="仿宋_GB2312"/>
                <w:b w:val="0"/>
                <w:bCs w:val="0"/>
                <w:spacing w:val="-6"/>
                <w:sz w:val="28"/>
                <w:szCs w:val="28"/>
                <w:highlight w:val="none"/>
                <w:vertAlign w:val="baseline"/>
                <w:lang w:val="en-US" w:eastAsia="zh-CN"/>
              </w:rPr>
              <w:t>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35.</w:t>
            </w:r>
            <w:r>
              <w:rPr>
                <w:rFonts w:hint="eastAsia" w:ascii="仿宋_GB2312" w:hAnsi="仿宋_GB2312" w:eastAsia="仿宋_GB2312" w:cs="仿宋_GB2312"/>
                <w:b w:val="0"/>
                <w:bCs w:val="0"/>
                <w:spacing w:val="-6"/>
                <w:sz w:val="28"/>
                <w:szCs w:val="28"/>
                <w:highlight w:val="none"/>
              </w:rPr>
              <w:t>推动落实消费品国内外标准接轨</w:t>
            </w:r>
          </w:p>
        </w:tc>
        <w:tc>
          <w:tcPr>
            <w:tcW w:w="934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1.做</w:t>
            </w:r>
            <w:r>
              <w:rPr>
                <w:rFonts w:hint="eastAsia" w:ascii="仿宋_GB2312" w:hAnsi="仿宋_GB2312" w:eastAsia="仿宋_GB2312" w:cs="仿宋_GB2312"/>
                <w:b w:val="0"/>
                <w:bCs w:val="0"/>
                <w:color w:val="auto"/>
                <w:spacing w:val="-6"/>
                <w:sz w:val="28"/>
                <w:szCs w:val="28"/>
                <w:highlight w:val="none"/>
                <w:vertAlign w:val="baseline"/>
                <w:lang w:val="en-US" w:eastAsia="zh-CN"/>
              </w:rPr>
              <w:t>好</w:t>
            </w:r>
            <w:r>
              <w:rPr>
                <w:rFonts w:hint="eastAsia" w:ascii="仿宋_GB2312" w:hAnsi="仿宋_GB2312" w:eastAsia="仿宋_GB2312" w:cs="仿宋_GB2312"/>
                <w:b w:val="0"/>
                <w:bCs w:val="0"/>
                <w:color w:val="auto"/>
                <w:spacing w:val="-6"/>
                <w:sz w:val="28"/>
                <w:szCs w:val="28"/>
                <w:highlight w:val="none"/>
              </w:rPr>
              <w:t>“同线同标</w:t>
            </w:r>
            <w:r>
              <w:rPr>
                <w:rFonts w:hint="eastAsia" w:ascii="仿宋_GB2312" w:hAnsi="仿宋_GB2312" w:eastAsia="仿宋_GB2312" w:cs="仿宋_GB2312"/>
                <w:b w:val="0"/>
                <w:bCs w:val="0"/>
                <w:spacing w:val="-6"/>
                <w:sz w:val="28"/>
                <w:szCs w:val="28"/>
                <w:highlight w:val="none"/>
              </w:rPr>
              <w:t>同质”</w:t>
            </w:r>
            <w:r>
              <w:rPr>
                <w:rFonts w:hint="eastAsia" w:ascii="仿宋_GB2312" w:hAnsi="仿宋_GB2312" w:eastAsia="仿宋_GB2312" w:cs="仿宋_GB2312"/>
                <w:b w:val="0"/>
                <w:bCs w:val="0"/>
                <w:spacing w:val="-6"/>
                <w:sz w:val="28"/>
                <w:szCs w:val="28"/>
                <w:highlight w:val="none"/>
                <w:lang w:val="en-US" w:eastAsia="zh-CN"/>
              </w:rPr>
              <w:t>产品</w:t>
            </w:r>
            <w:r>
              <w:rPr>
                <w:rFonts w:hint="eastAsia" w:ascii="仿宋_GB2312" w:hAnsi="仿宋_GB2312" w:eastAsia="仿宋_GB2312" w:cs="仿宋_GB2312"/>
                <w:b w:val="0"/>
                <w:bCs w:val="0"/>
                <w:spacing w:val="-6"/>
                <w:sz w:val="28"/>
                <w:szCs w:val="28"/>
                <w:highlight w:val="none"/>
                <w:vertAlign w:val="baseline"/>
                <w:lang w:val="en-US" w:eastAsia="zh-CN"/>
              </w:rPr>
              <w:t>的宣传推广活动，</w:t>
            </w:r>
            <w:r>
              <w:rPr>
                <w:rFonts w:hint="eastAsia" w:ascii="仿宋_GB2312" w:hAnsi="仿宋_GB2312" w:eastAsia="仿宋_GB2312" w:cs="仿宋_GB2312"/>
                <w:b w:val="0"/>
                <w:bCs w:val="0"/>
                <w:spacing w:val="-6"/>
                <w:sz w:val="28"/>
                <w:szCs w:val="28"/>
                <w:highlight w:val="none"/>
              </w:rPr>
              <w:t>提升知名度</w:t>
            </w:r>
            <w:r>
              <w:rPr>
                <w:rFonts w:hint="eastAsia" w:ascii="仿宋_GB2312" w:hAnsi="仿宋_GB2312" w:eastAsia="仿宋_GB2312" w:cs="仿宋_GB2312"/>
                <w:b w:val="0"/>
                <w:bCs w:val="0"/>
                <w:spacing w:val="-6"/>
                <w:sz w:val="28"/>
                <w:szCs w:val="28"/>
                <w:highlight w:val="none"/>
                <w:lang w:eastAsia="zh-CN"/>
              </w:rPr>
              <w:t>和</w:t>
            </w:r>
            <w:r>
              <w:rPr>
                <w:rFonts w:hint="eastAsia" w:ascii="仿宋_GB2312" w:hAnsi="仿宋_GB2312" w:eastAsia="仿宋_GB2312" w:cs="仿宋_GB2312"/>
                <w:b w:val="0"/>
                <w:bCs w:val="0"/>
                <w:spacing w:val="-6"/>
                <w:sz w:val="28"/>
                <w:szCs w:val="28"/>
                <w:highlight w:val="none"/>
              </w:rPr>
              <w:t>影响力</w:t>
            </w:r>
            <w:r>
              <w:rPr>
                <w:rFonts w:hint="eastAsia" w:ascii="仿宋_GB2312" w:hAnsi="仿宋_GB2312" w:eastAsia="仿宋_GB2312" w:cs="仿宋_GB2312"/>
                <w:b w:val="0"/>
                <w:bCs w:val="0"/>
                <w:spacing w:val="-6"/>
                <w:sz w:val="28"/>
                <w:szCs w:val="28"/>
                <w:highlight w:val="none"/>
                <w:vertAlign w:val="baseline"/>
                <w:lang w:val="en-US" w:eastAsia="zh-CN"/>
              </w:rPr>
              <w:t>。</w:t>
            </w:r>
            <w:r>
              <w:rPr>
                <w:rFonts w:hint="eastAsia" w:ascii="仿宋_GB2312" w:hAnsi="仿宋_GB2312" w:eastAsia="仿宋_GB2312" w:cs="仿宋_GB2312"/>
                <w:b w:val="0"/>
                <w:bCs w:val="0"/>
                <w:spacing w:val="-6"/>
                <w:sz w:val="28"/>
                <w:szCs w:val="28"/>
                <w:highlight w:val="none"/>
              </w:rPr>
              <w:t>在消费品领域积极推行绿色、节能、节水、环保等高端品质认证，借力质量认证“绿色通道”，鼓励认证机构加大高端品质自愿性认证项目供给。</w:t>
            </w:r>
          </w:p>
        </w:tc>
        <w:tc>
          <w:tcPr>
            <w:tcW w:w="248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default"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市市场监管局、市商务局、市卫健委</w:t>
            </w:r>
            <w:r>
              <w:rPr>
                <w:rFonts w:hint="eastAsia" w:ascii="仿宋_GB2312" w:hAnsi="仿宋_GB2312" w:eastAsia="仿宋_GB2312" w:cs="仿宋_GB2312"/>
                <w:b w:val="0"/>
                <w:bCs w:val="0"/>
                <w:color w:val="auto"/>
                <w:spacing w:val="-6"/>
                <w:sz w:val="28"/>
                <w:szCs w:val="28"/>
                <w:highlight w:val="none"/>
                <w:vertAlign w:val="baseline"/>
                <w:lang w:val="en-US" w:eastAsia="zh-CN"/>
              </w:rPr>
              <w:t>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0" w:type="auto"/>
            <w:gridSpan w:val="3"/>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黑体" w:hAnsi="黑体" w:eastAsia="黑体" w:cs="黑体"/>
                <w:b w:val="0"/>
                <w:bCs w:val="0"/>
                <w:spacing w:val="-6"/>
                <w:sz w:val="28"/>
                <w:szCs w:val="28"/>
                <w:highlight w:val="none"/>
                <w:vertAlign w:val="baseline"/>
                <w:lang w:val="en-US" w:eastAsia="zh-CN"/>
              </w:rPr>
              <w:t>五、完善现代化市场监管机制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0" w:type="auto"/>
            <w:gridSpan w:val="3"/>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楷体_GB2312" w:hAnsi="楷体_GB2312" w:eastAsia="楷体_GB2312" w:cs="楷体_GB2312"/>
                <w:b/>
                <w:bCs/>
                <w:spacing w:val="-6"/>
                <w:sz w:val="28"/>
                <w:szCs w:val="28"/>
                <w:highlight w:val="none"/>
                <w:lang w:eastAsia="zh-CN"/>
              </w:rPr>
              <w:t>（</w:t>
            </w:r>
            <w:r>
              <w:rPr>
                <w:rFonts w:hint="eastAsia" w:ascii="楷体_GB2312" w:hAnsi="楷体_GB2312" w:eastAsia="楷体_GB2312" w:cs="楷体_GB2312"/>
                <w:b/>
                <w:bCs/>
                <w:spacing w:val="-6"/>
                <w:sz w:val="28"/>
                <w:szCs w:val="28"/>
                <w:highlight w:val="none"/>
                <w:lang w:val="en-US" w:eastAsia="zh-CN"/>
              </w:rPr>
              <w:t>十三</w:t>
            </w:r>
            <w:r>
              <w:rPr>
                <w:rFonts w:hint="eastAsia" w:ascii="楷体_GB2312" w:hAnsi="楷体_GB2312" w:eastAsia="楷体_GB2312" w:cs="楷体_GB2312"/>
                <w:b/>
                <w:bCs/>
                <w:spacing w:val="-6"/>
                <w:sz w:val="28"/>
                <w:szCs w:val="28"/>
                <w:highlight w:val="none"/>
                <w:lang w:eastAsia="zh-CN"/>
              </w:rPr>
              <w:t>）</w:t>
            </w:r>
            <w:r>
              <w:rPr>
                <w:rFonts w:hint="eastAsia" w:ascii="楷体_GB2312" w:hAnsi="楷体_GB2312" w:eastAsia="楷体_GB2312" w:cs="楷体_GB2312"/>
                <w:b/>
                <w:bCs/>
                <w:spacing w:val="-6"/>
                <w:sz w:val="28"/>
                <w:szCs w:val="28"/>
                <w:highlight w:val="none"/>
              </w:rPr>
              <w:t>推进综合协同监管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36.</w:t>
            </w:r>
            <w:r>
              <w:rPr>
                <w:rFonts w:hint="eastAsia" w:ascii="仿宋_GB2312" w:hAnsi="仿宋_GB2312" w:eastAsia="仿宋_GB2312" w:cs="仿宋_GB2312"/>
                <w:b w:val="0"/>
                <w:bCs w:val="0"/>
                <w:spacing w:val="-6"/>
                <w:sz w:val="28"/>
                <w:szCs w:val="28"/>
                <w:highlight w:val="none"/>
              </w:rPr>
              <w:t>全面推行“双随机、一公开”监管</w:t>
            </w:r>
          </w:p>
        </w:tc>
        <w:tc>
          <w:tcPr>
            <w:tcW w:w="934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color w:val="auto"/>
                <w:spacing w:val="-6"/>
                <w:sz w:val="28"/>
                <w:szCs w:val="28"/>
                <w:highlight w:val="none"/>
                <w:lang w:eastAsia="zh-CN"/>
              </w:rPr>
            </w:pPr>
            <w:r>
              <w:rPr>
                <w:rFonts w:hint="eastAsia" w:ascii="仿宋_GB2312" w:hAnsi="仿宋_GB2312" w:eastAsia="仿宋_GB2312" w:cs="仿宋_GB2312"/>
                <w:b w:val="0"/>
                <w:bCs w:val="0"/>
                <w:color w:val="auto"/>
                <w:spacing w:val="-6"/>
                <w:sz w:val="28"/>
                <w:szCs w:val="28"/>
                <w:highlight w:val="none"/>
                <w:lang w:val="en-US" w:eastAsia="zh-CN"/>
              </w:rPr>
              <w:t>1.</w:t>
            </w:r>
            <w:r>
              <w:rPr>
                <w:rFonts w:hint="eastAsia" w:ascii="仿宋_GB2312" w:hAnsi="仿宋_GB2312" w:eastAsia="仿宋_GB2312" w:cs="仿宋_GB2312"/>
                <w:b w:val="0"/>
                <w:bCs w:val="0"/>
                <w:color w:val="auto"/>
                <w:spacing w:val="-6"/>
                <w:sz w:val="28"/>
                <w:szCs w:val="28"/>
                <w:highlight w:val="none"/>
                <w:lang w:eastAsia="zh-CN"/>
              </w:rPr>
              <w:t>完善并严格执行部门联合抽查实施办法和抽查事项清单，推进部门联合“双随机、一公开”监管常态化。强化双随机抽查与企业信用风险分类管理的有机结合，全面落实差异化监管措施，提升监管效能。</w:t>
            </w:r>
          </w:p>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color w:val="auto"/>
                <w:spacing w:val="-6"/>
                <w:sz w:val="28"/>
                <w:szCs w:val="28"/>
                <w:highlight w:val="none"/>
                <w:vertAlign w:val="baseline"/>
                <w:lang w:val="en-US" w:eastAsia="zh-CN"/>
              </w:rPr>
            </w:pPr>
            <w:r>
              <w:rPr>
                <w:rFonts w:hint="eastAsia" w:ascii="仿宋_GB2312" w:hAnsi="仿宋_GB2312" w:eastAsia="仿宋_GB2312" w:cs="仿宋_GB2312"/>
                <w:b w:val="0"/>
                <w:bCs w:val="0"/>
                <w:color w:val="auto"/>
                <w:spacing w:val="-6"/>
                <w:sz w:val="28"/>
                <w:szCs w:val="28"/>
                <w:highlight w:val="none"/>
                <w:lang w:val="en-US" w:eastAsia="zh-CN"/>
              </w:rPr>
              <w:t>2.</w:t>
            </w:r>
            <w:r>
              <w:rPr>
                <w:rFonts w:hint="eastAsia" w:ascii="仿宋_GB2312" w:hAnsi="仿宋_GB2312" w:eastAsia="仿宋_GB2312" w:cs="仿宋_GB2312"/>
                <w:b w:val="0"/>
                <w:bCs w:val="0"/>
                <w:color w:val="auto"/>
                <w:spacing w:val="-6"/>
                <w:sz w:val="28"/>
                <w:szCs w:val="28"/>
                <w:highlight w:val="none"/>
              </w:rPr>
              <w:t>加强政府部门间涉企信息的归集应用</w:t>
            </w:r>
            <w:r>
              <w:rPr>
                <w:rFonts w:hint="eastAsia" w:ascii="仿宋_GB2312" w:hAnsi="仿宋_GB2312" w:eastAsia="仿宋_GB2312" w:cs="仿宋_GB2312"/>
                <w:b w:val="0"/>
                <w:bCs w:val="0"/>
                <w:color w:val="auto"/>
                <w:spacing w:val="-6"/>
                <w:sz w:val="28"/>
                <w:szCs w:val="28"/>
                <w:highlight w:val="none"/>
                <w:lang w:eastAsia="zh-CN"/>
              </w:rPr>
              <w:t>，加强本地区</w:t>
            </w:r>
            <w:r>
              <w:rPr>
                <w:rFonts w:hint="eastAsia" w:ascii="仿宋_GB2312" w:hAnsi="仿宋_GB2312" w:eastAsia="仿宋_GB2312" w:cs="仿宋_GB2312"/>
                <w:b w:val="0"/>
                <w:bCs w:val="0"/>
                <w:color w:val="auto"/>
                <w:spacing w:val="-6"/>
                <w:sz w:val="28"/>
                <w:szCs w:val="28"/>
                <w:highlight w:val="none"/>
              </w:rPr>
              <w:t>信用信息</w:t>
            </w:r>
            <w:r>
              <w:rPr>
                <w:rFonts w:hint="eastAsia" w:ascii="仿宋_GB2312" w:hAnsi="仿宋_GB2312" w:eastAsia="仿宋_GB2312" w:cs="仿宋_GB2312"/>
                <w:b w:val="0"/>
                <w:bCs w:val="0"/>
                <w:color w:val="auto"/>
                <w:spacing w:val="-6"/>
                <w:sz w:val="28"/>
                <w:szCs w:val="28"/>
                <w:highlight w:val="none"/>
                <w:lang w:eastAsia="zh-CN"/>
              </w:rPr>
              <w:t>归集共享</w:t>
            </w:r>
            <w:r>
              <w:rPr>
                <w:rFonts w:hint="eastAsia" w:ascii="仿宋_GB2312" w:hAnsi="仿宋_GB2312" w:eastAsia="仿宋_GB2312" w:cs="仿宋_GB2312"/>
                <w:b w:val="0"/>
                <w:bCs w:val="0"/>
                <w:color w:val="auto"/>
                <w:spacing w:val="-6"/>
                <w:sz w:val="28"/>
                <w:szCs w:val="28"/>
                <w:highlight w:val="none"/>
              </w:rPr>
              <w:t>，</w:t>
            </w:r>
            <w:r>
              <w:rPr>
                <w:rFonts w:hint="eastAsia" w:ascii="仿宋_GB2312" w:hAnsi="仿宋_GB2312" w:eastAsia="仿宋_GB2312" w:cs="仿宋_GB2312"/>
                <w:b w:val="0"/>
                <w:bCs w:val="0"/>
                <w:color w:val="auto"/>
                <w:spacing w:val="-6"/>
                <w:sz w:val="28"/>
                <w:szCs w:val="28"/>
                <w:highlight w:val="none"/>
                <w:lang w:eastAsia="zh-CN"/>
              </w:rPr>
              <w:t>加强与省</w:t>
            </w:r>
            <w:r>
              <w:rPr>
                <w:rFonts w:hint="eastAsia" w:ascii="仿宋_GB2312" w:hAnsi="仿宋_GB2312" w:eastAsia="仿宋_GB2312" w:cs="仿宋_GB2312"/>
                <w:b w:val="0"/>
                <w:bCs w:val="0"/>
                <w:color w:val="auto"/>
                <w:spacing w:val="-6"/>
                <w:sz w:val="28"/>
                <w:szCs w:val="28"/>
                <w:highlight w:val="none"/>
              </w:rPr>
              <w:t>公共信用信息共享服务平台</w:t>
            </w:r>
            <w:r>
              <w:rPr>
                <w:rFonts w:hint="eastAsia" w:ascii="仿宋_GB2312" w:hAnsi="仿宋_GB2312" w:eastAsia="仿宋_GB2312" w:cs="仿宋_GB2312"/>
                <w:b w:val="0"/>
                <w:bCs w:val="0"/>
                <w:color w:val="auto"/>
                <w:spacing w:val="-6"/>
                <w:sz w:val="28"/>
                <w:szCs w:val="28"/>
                <w:highlight w:val="none"/>
                <w:lang w:eastAsia="zh-CN"/>
              </w:rPr>
              <w:t>对接，接收运用国家、省下发的信用信息</w:t>
            </w:r>
            <w:r>
              <w:rPr>
                <w:rFonts w:hint="eastAsia" w:ascii="仿宋_GB2312" w:hAnsi="仿宋_GB2312" w:eastAsia="仿宋_GB2312" w:cs="仿宋_GB2312"/>
                <w:b w:val="0"/>
                <w:bCs w:val="0"/>
                <w:color w:val="auto"/>
                <w:spacing w:val="-6"/>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12" w:lineRule="exact"/>
              <w:jc w:val="both"/>
              <w:textAlignment w:val="auto"/>
              <w:rPr>
                <w:rFonts w:hint="eastAsia" w:ascii="仿宋_GB2312" w:hAnsi="仿宋_GB2312" w:eastAsia="仿宋_GB2312" w:cs="仿宋_GB2312"/>
                <w:b w:val="0"/>
                <w:bCs w:val="0"/>
                <w:color w:val="auto"/>
                <w:spacing w:val="-6"/>
                <w:kern w:val="2"/>
                <w:sz w:val="28"/>
                <w:szCs w:val="28"/>
                <w:highlight w:val="none"/>
                <w:vertAlign w:val="baseline"/>
                <w:lang w:val="en-US" w:eastAsia="zh-CN" w:bidi="ar-SA"/>
              </w:rPr>
            </w:pPr>
            <w:r>
              <w:rPr>
                <w:rFonts w:hint="eastAsia" w:ascii="仿宋_GB2312" w:hAnsi="仿宋_GB2312" w:eastAsia="仿宋_GB2312" w:cs="仿宋_GB2312"/>
                <w:b w:val="0"/>
                <w:bCs w:val="0"/>
                <w:color w:val="auto"/>
                <w:spacing w:val="-6"/>
                <w:sz w:val="28"/>
                <w:szCs w:val="28"/>
                <w:highlight w:val="none"/>
                <w:lang w:val="en-US" w:eastAsia="zh-CN"/>
              </w:rPr>
              <w:t>3.</w:t>
            </w:r>
            <w:r>
              <w:rPr>
                <w:rFonts w:hint="eastAsia" w:ascii="仿宋_GB2312" w:hAnsi="仿宋_GB2312" w:eastAsia="仿宋_GB2312" w:cs="仿宋_GB2312"/>
                <w:b w:val="0"/>
                <w:bCs w:val="0"/>
                <w:color w:val="auto"/>
                <w:spacing w:val="-6"/>
                <w:kern w:val="2"/>
                <w:sz w:val="28"/>
                <w:szCs w:val="28"/>
                <w:highlight w:val="none"/>
                <w:lang w:val="en-US" w:eastAsia="zh-CN" w:bidi="ar-SA"/>
              </w:rPr>
              <w:t>积极推进双随机抽查清单与省“互联网+监管”清单衔接关联工作。</w:t>
            </w:r>
          </w:p>
        </w:tc>
        <w:tc>
          <w:tcPr>
            <w:tcW w:w="248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color w:val="auto"/>
                <w:spacing w:val="-6"/>
                <w:sz w:val="28"/>
                <w:szCs w:val="28"/>
                <w:highlight w:val="none"/>
                <w:vertAlign w:val="baseline"/>
                <w:lang w:val="en-US" w:eastAsia="zh-CN"/>
              </w:rPr>
              <w:t>市市场监管局、市发改委、市数管局等按职责分工负责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37.</w:t>
            </w:r>
            <w:r>
              <w:rPr>
                <w:rFonts w:hint="eastAsia" w:ascii="仿宋_GB2312" w:hAnsi="仿宋_GB2312" w:eastAsia="仿宋_GB2312" w:cs="仿宋_GB2312"/>
                <w:b w:val="0"/>
                <w:bCs w:val="0"/>
                <w:spacing w:val="-6"/>
                <w:sz w:val="28"/>
                <w:szCs w:val="28"/>
                <w:highlight w:val="none"/>
              </w:rPr>
              <w:t>健全对新业态的包容审慎监管机制</w:t>
            </w:r>
          </w:p>
        </w:tc>
        <w:tc>
          <w:tcPr>
            <w:tcW w:w="934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rPr>
            </w:pPr>
            <w:r>
              <w:rPr>
                <w:rFonts w:hint="eastAsia" w:ascii="仿宋_GB2312" w:hAnsi="仿宋_GB2312" w:eastAsia="仿宋_GB2312" w:cs="仿宋_GB2312"/>
                <w:b w:val="0"/>
                <w:bCs w:val="0"/>
                <w:spacing w:val="-6"/>
                <w:sz w:val="28"/>
                <w:szCs w:val="28"/>
                <w:highlight w:val="none"/>
                <w:lang w:val="en-US" w:eastAsia="zh-CN"/>
              </w:rPr>
              <w:t>1.</w:t>
            </w:r>
            <w:r>
              <w:rPr>
                <w:rFonts w:hint="eastAsia" w:ascii="仿宋_GB2312" w:hAnsi="仿宋_GB2312" w:eastAsia="仿宋_GB2312" w:cs="仿宋_GB2312"/>
                <w:b w:val="0"/>
                <w:bCs w:val="0"/>
                <w:spacing w:val="-6"/>
                <w:sz w:val="28"/>
                <w:szCs w:val="28"/>
                <w:highlight w:val="none"/>
              </w:rPr>
              <w:t>探索实施柔性监管，推动落实轻微违法免罚事项清单，建立不予行政强制措施清单。探索对全市新兴产业领域实施包容期“守信免查”、触发式监管模式。加强和规范事中事后监管，不得简单化予以禁止或者不予监管。</w:t>
            </w:r>
          </w:p>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2.大力推行轻微违法违规行为免罚制度，继续拓宽轻微违法违规行为免罚领域。</w:t>
            </w:r>
          </w:p>
        </w:tc>
        <w:tc>
          <w:tcPr>
            <w:tcW w:w="248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市市场监管局、市司法局等按职责分工负责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0" w:type="auto"/>
            <w:gridSpan w:val="3"/>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楷体_GB2312" w:hAnsi="楷体_GB2312" w:eastAsia="楷体_GB2312" w:cs="楷体_GB2312"/>
                <w:b/>
                <w:bCs/>
                <w:spacing w:val="-6"/>
                <w:sz w:val="28"/>
                <w:szCs w:val="28"/>
                <w:highlight w:val="none"/>
                <w:lang w:eastAsia="zh-CN"/>
              </w:rPr>
              <w:t>（</w:t>
            </w:r>
            <w:r>
              <w:rPr>
                <w:rFonts w:hint="eastAsia" w:ascii="楷体_GB2312" w:hAnsi="楷体_GB2312" w:eastAsia="楷体_GB2312" w:cs="楷体_GB2312"/>
                <w:b/>
                <w:bCs/>
                <w:spacing w:val="-6"/>
                <w:sz w:val="28"/>
                <w:szCs w:val="28"/>
                <w:highlight w:val="none"/>
                <w:lang w:val="en-US" w:eastAsia="zh-CN"/>
              </w:rPr>
              <w:t>十四</w:t>
            </w:r>
            <w:r>
              <w:rPr>
                <w:rFonts w:hint="eastAsia" w:ascii="楷体_GB2312" w:hAnsi="楷体_GB2312" w:eastAsia="楷体_GB2312" w:cs="楷体_GB2312"/>
                <w:b/>
                <w:bCs/>
                <w:spacing w:val="-6"/>
                <w:sz w:val="28"/>
                <w:szCs w:val="28"/>
                <w:highlight w:val="none"/>
                <w:lang w:eastAsia="zh-CN"/>
              </w:rPr>
              <w:t>）</w:t>
            </w:r>
            <w:r>
              <w:rPr>
                <w:rFonts w:hint="eastAsia" w:ascii="楷体_GB2312" w:hAnsi="楷体_GB2312" w:eastAsia="楷体_GB2312" w:cs="楷体_GB2312"/>
                <w:b/>
                <w:bCs/>
                <w:spacing w:val="-6"/>
                <w:sz w:val="28"/>
                <w:szCs w:val="28"/>
                <w:highlight w:val="none"/>
              </w:rPr>
              <w:t>加强重点领域监管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38.</w:t>
            </w:r>
            <w:r>
              <w:rPr>
                <w:rFonts w:hint="eastAsia" w:ascii="仿宋_GB2312" w:hAnsi="仿宋_GB2312" w:eastAsia="仿宋_GB2312" w:cs="仿宋_GB2312"/>
                <w:b w:val="0"/>
                <w:bCs w:val="0"/>
                <w:spacing w:val="-6"/>
                <w:sz w:val="28"/>
                <w:szCs w:val="28"/>
                <w:highlight w:val="none"/>
              </w:rPr>
              <w:t>加强重点商品价格监管</w:t>
            </w:r>
          </w:p>
        </w:tc>
        <w:tc>
          <w:tcPr>
            <w:tcW w:w="934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lang w:val="en-US" w:eastAsia="zh-CN"/>
              </w:rPr>
            </w:pPr>
            <w:r>
              <w:rPr>
                <w:rFonts w:hint="eastAsia" w:ascii="仿宋_GB2312" w:hAnsi="仿宋_GB2312" w:eastAsia="仿宋_GB2312" w:cs="仿宋_GB2312"/>
                <w:b w:val="0"/>
                <w:bCs w:val="0"/>
                <w:spacing w:val="-6"/>
                <w:sz w:val="28"/>
                <w:szCs w:val="28"/>
                <w:highlight w:val="none"/>
                <w:lang w:val="en-US" w:eastAsia="zh-CN"/>
              </w:rPr>
              <w:t>1.加大重要商品价格监管力度，持续强化</w:t>
            </w:r>
            <w:r>
              <w:rPr>
                <w:rFonts w:hint="eastAsia" w:ascii="仿宋_GB2312" w:hAnsi="仿宋_GB2312" w:eastAsia="仿宋_GB2312" w:cs="仿宋_GB2312"/>
                <w:b w:val="0"/>
                <w:bCs w:val="0"/>
                <w:spacing w:val="-6"/>
                <w:sz w:val="28"/>
                <w:szCs w:val="28"/>
                <w:highlight w:val="none"/>
              </w:rPr>
              <w:t>重要民生商品和服务价格监测</w:t>
            </w:r>
            <w:r>
              <w:rPr>
                <w:rFonts w:hint="eastAsia" w:ascii="仿宋_GB2312" w:hAnsi="仿宋_GB2312" w:eastAsia="仿宋_GB2312" w:cs="仿宋_GB2312"/>
                <w:b w:val="0"/>
                <w:bCs w:val="0"/>
                <w:spacing w:val="-6"/>
                <w:sz w:val="28"/>
                <w:szCs w:val="28"/>
                <w:highlight w:val="none"/>
                <w:lang w:val="en-US" w:eastAsia="zh-CN"/>
              </w:rPr>
              <w:t>，及时开展舆情预警和应急监管，从严查处哄抬价格、价格欺诈等违法行为，做好市场保供稳价工作，严防非市场因素导致价格异常上涨。</w:t>
            </w:r>
          </w:p>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lang w:val="en-US" w:eastAsia="zh-CN"/>
              </w:rPr>
            </w:pPr>
            <w:r>
              <w:rPr>
                <w:rFonts w:hint="eastAsia" w:ascii="仿宋_GB2312" w:hAnsi="仿宋_GB2312" w:eastAsia="仿宋_GB2312" w:cs="仿宋_GB2312"/>
                <w:b w:val="0"/>
                <w:bCs w:val="0"/>
                <w:spacing w:val="-6"/>
                <w:sz w:val="28"/>
                <w:szCs w:val="28"/>
                <w:highlight w:val="none"/>
                <w:lang w:val="en-US" w:eastAsia="zh-CN"/>
              </w:rPr>
              <w:t>2.完善价格监管工作机制，建立多部门沟通协作机制，拟定价格政策动态抄送、监管信息实时反馈、价格工作定期会商等相关制度。</w:t>
            </w:r>
          </w:p>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default" w:ascii="仿宋_GB2312" w:hAnsi="仿宋_GB2312" w:eastAsia="仿宋_GB2312" w:cs="仿宋_GB2312"/>
                <w:b w:val="0"/>
                <w:bCs w:val="0"/>
                <w:spacing w:val="-6"/>
                <w:sz w:val="28"/>
                <w:szCs w:val="28"/>
                <w:highlight w:val="none"/>
                <w:lang w:val="en-US" w:eastAsia="zh-CN"/>
              </w:rPr>
            </w:pPr>
            <w:r>
              <w:rPr>
                <w:rFonts w:hint="eastAsia" w:ascii="仿宋_GB2312" w:hAnsi="仿宋_GB2312" w:eastAsia="仿宋_GB2312" w:cs="仿宋_GB2312"/>
                <w:b w:val="0"/>
                <w:bCs w:val="0"/>
                <w:spacing w:val="-6"/>
                <w:sz w:val="28"/>
                <w:szCs w:val="28"/>
                <w:highlight w:val="none"/>
                <w:lang w:val="en-US" w:eastAsia="zh-CN"/>
              </w:rPr>
              <w:t>3.落实安徽省重要商品和服务价格监测报告制度，指导县区扎实开展重要商品和服务价格监测，及时发布价格动态分析，加强重要民生商品价格调研，适时提出调控建议，为政府决策提供价格信息支撑。</w:t>
            </w:r>
          </w:p>
        </w:tc>
        <w:tc>
          <w:tcPr>
            <w:tcW w:w="248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市市场监管局、市发改委、市农业农村局、市商务局、市医保局等按职责分工负责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39.</w:t>
            </w:r>
            <w:r>
              <w:rPr>
                <w:rFonts w:hint="eastAsia" w:ascii="仿宋_GB2312" w:hAnsi="仿宋_GB2312" w:eastAsia="仿宋_GB2312" w:cs="仿宋_GB2312"/>
                <w:b w:val="0"/>
                <w:bCs w:val="0"/>
                <w:spacing w:val="-6"/>
                <w:sz w:val="28"/>
                <w:szCs w:val="28"/>
                <w:highlight w:val="none"/>
              </w:rPr>
              <w:t>强化要素市场交易监管</w:t>
            </w:r>
          </w:p>
        </w:tc>
        <w:tc>
          <w:tcPr>
            <w:tcW w:w="934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1.持续加大投入，完善“省市共建、市县一体”公共资源交易电子化平台系统功能，推进全流程电子化交易和公共资源交易平台规范化建设，全面提升标准化服务能力。逐步建立健全土地、技术、数据等要素交易规则。</w:t>
            </w:r>
          </w:p>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2.</w:t>
            </w:r>
            <w:r>
              <w:rPr>
                <w:rFonts w:hint="eastAsia" w:ascii="仿宋_GB2312" w:hAnsi="仿宋_GB2312" w:eastAsia="仿宋_GB2312" w:cs="仿宋_GB2312"/>
                <w:b w:val="0"/>
                <w:bCs w:val="0"/>
                <w:spacing w:val="-6"/>
                <w:sz w:val="28"/>
                <w:szCs w:val="28"/>
                <w:highlight w:val="none"/>
              </w:rPr>
              <w:t>完善要素交易信息披露制度，健全投诉举报查处机制，规范交易行为。</w:t>
            </w:r>
          </w:p>
        </w:tc>
        <w:tc>
          <w:tcPr>
            <w:tcW w:w="248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92" w:lineRule="exact"/>
              <w:ind w:left="0" w:leftChars="0" w:firstLine="0" w:firstLineChars="0"/>
              <w:jc w:val="both"/>
              <w:textAlignment w:val="auto"/>
              <w:rPr>
                <w:rFonts w:hint="default"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11"/>
                <w:sz w:val="28"/>
                <w:szCs w:val="28"/>
                <w:highlight w:val="none"/>
                <w:vertAlign w:val="baseline"/>
                <w:lang w:val="en-US" w:eastAsia="zh-CN"/>
              </w:rPr>
              <w:t>市公管局、市自然资源局、市人社局、市科技局、市数管局、市财政局</w:t>
            </w:r>
            <w:r>
              <w:rPr>
                <w:rFonts w:hint="eastAsia" w:ascii="仿宋_GB2312" w:hAnsi="仿宋_GB2312" w:eastAsia="仿宋_GB2312" w:cs="仿宋_GB2312"/>
                <w:b w:val="0"/>
                <w:bCs w:val="0"/>
                <w:color w:val="auto"/>
                <w:spacing w:val="-11"/>
                <w:sz w:val="28"/>
                <w:szCs w:val="28"/>
                <w:highlight w:val="none"/>
                <w:vertAlign w:val="baseline"/>
                <w:lang w:val="en-US" w:eastAsia="zh-CN"/>
              </w:rPr>
              <w:t>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0" w:type="auto"/>
            <w:gridSpan w:val="3"/>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楷体_GB2312" w:hAnsi="楷体_GB2312" w:eastAsia="楷体_GB2312" w:cs="楷体_GB2312"/>
                <w:b/>
                <w:bCs/>
                <w:spacing w:val="-6"/>
                <w:sz w:val="28"/>
                <w:szCs w:val="28"/>
                <w:highlight w:val="none"/>
                <w:lang w:eastAsia="zh-CN"/>
              </w:rPr>
              <w:t>（</w:t>
            </w:r>
            <w:r>
              <w:rPr>
                <w:rFonts w:hint="eastAsia" w:ascii="楷体_GB2312" w:hAnsi="楷体_GB2312" w:eastAsia="楷体_GB2312" w:cs="楷体_GB2312"/>
                <w:b/>
                <w:bCs/>
                <w:spacing w:val="-6"/>
                <w:sz w:val="28"/>
                <w:szCs w:val="28"/>
                <w:highlight w:val="none"/>
                <w:lang w:val="en-US" w:eastAsia="zh-CN"/>
              </w:rPr>
              <w:t>十五</w:t>
            </w:r>
            <w:r>
              <w:rPr>
                <w:rFonts w:hint="eastAsia" w:ascii="楷体_GB2312" w:hAnsi="楷体_GB2312" w:eastAsia="楷体_GB2312" w:cs="楷体_GB2312"/>
                <w:b/>
                <w:bCs/>
                <w:spacing w:val="-6"/>
                <w:sz w:val="28"/>
                <w:szCs w:val="28"/>
                <w:highlight w:val="none"/>
                <w:lang w:eastAsia="zh-CN"/>
              </w:rPr>
              <w:t>）</w:t>
            </w:r>
            <w:r>
              <w:rPr>
                <w:rFonts w:hint="eastAsia" w:ascii="楷体_GB2312" w:hAnsi="楷体_GB2312" w:eastAsia="楷体_GB2312" w:cs="楷体_GB2312"/>
                <w:b/>
                <w:bCs/>
                <w:spacing w:val="-6"/>
                <w:sz w:val="28"/>
                <w:szCs w:val="28"/>
                <w:highlight w:val="none"/>
              </w:rPr>
              <w:t>健全依法诚信的自律机制和监管机制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40.</w:t>
            </w:r>
            <w:r>
              <w:rPr>
                <w:rFonts w:hint="eastAsia" w:ascii="仿宋_GB2312" w:hAnsi="仿宋_GB2312" w:eastAsia="仿宋_GB2312" w:cs="仿宋_GB2312"/>
                <w:b w:val="0"/>
                <w:bCs w:val="0"/>
                <w:spacing w:val="-6"/>
                <w:sz w:val="28"/>
                <w:szCs w:val="28"/>
                <w:highlight w:val="none"/>
              </w:rPr>
              <w:t>完善市场主体信用承诺机制</w:t>
            </w:r>
          </w:p>
        </w:tc>
        <w:tc>
          <w:tcPr>
            <w:tcW w:w="9346"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49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rPr>
            </w:pPr>
            <w:r>
              <w:rPr>
                <w:rFonts w:hint="eastAsia" w:ascii="仿宋_GB2312" w:hAnsi="仿宋_GB2312" w:eastAsia="仿宋_GB2312" w:cs="仿宋_GB2312"/>
                <w:b w:val="0"/>
                <w:bCs w:val="0"/>
                <w:spacing w:val="-6"/>
                <w:sz w:val="28"/>
                <w:szCs w:val="28"/>
                <w:highlight w:val="none"/>
                <w:lang w:val="en-US" w:eastAsia="zh-CN"/>
              </w:rPr>
              <w:t>1.</w:t>
            </w:r>
            <w:r>
              <w:rPr>
                <w:rFonts w:hint="eastAsia" w:ascii="仿宋_GB2312" w:hAnsi="仿宋_GB2312" w:eastAsia="仿宋_GB2312" w:cs="仿宋_GB2312"/>
                <w:b w:val="0"/>
                <w:bCs w:val="0"/>
                <w:spacing w:val="-6"/>
                <w:sz w:val="28"/>
                <w:szCs w:val="28"/>
                <w:highlight w:val="none"/>
              </w:rPr>
              <w:t>依托市</w:t>
            </w:r>
            <w:r>
              <w:rPr>
                <w:rFonts w:hint="eastAsia" w:ascii="仿宋_GB2312" w:hAnsi="仿宋_GB2312" w:eastAsia="仿宋_GB2312" w:cs="仿宋_GB2312"/>
                <w:b w:val="0"/>
                <w:bCs w:val="0"/>
                <w:spacing w:val="-6"/>
                <w:sz w:val="28"/>
                <w:szCs w:val="28"/>
                <w:highlight w:val="none"/>
                <w:lang w:eastAsia="zh-CN"/>
              </w:rPr>
              <w:t>公共</w:t>
            </w:r>
            <w:r>
              <w:rPr>
                <w:rFonts w:hint="eastAsia" w:ascii="仿宋_GB2312" w:hAnsi="仿宋_GB2312" w:eastAsia="仿宋_GB2312" w:cs="仿宋_GB2312"/>
                <w:b w:val="0"/>
                <w:bCs w:val="0"/>
                <w:spacing w:val="-6"/>
                <w:sz w:val="28"/>
                <w:szCs w:val="28"/>
                <w:highlight w:val="none"/>
              </w:rPr>
              <w:t>信用信息共享平台，按照有关规定将市场主体的承诺履行情况纳入信用记录，</w:t>
            </w:r>
            <w:r>
              <w:rPr>
                <w:rFonts w:hint="eastAsia" w:ascii="仿宋_GB2312" w:hAnsi="仿宋_GB2312" w:eastAsia="仿宋_GB2312" w:cs="仿宋_GB2312"/>
                <w:b w:val="0"/>
                <w:bCs w:val="0"/>
                <w:spacing w:val="-6"/>
                <w:sz w:val="28"/>
                <w:szCs w:val="28"/>
                <w:highlight w:val="none"/>
                <w:lang w:eastAsia="zh-CN"/>
              </w:rPr>
              <w:t>推进相关单位</w:t>
            </w:r>
            <w:r>
              <w:rPr>
                <w:rFonts w:hint="eastAsia" w:ascii="仿宋_GB2312" w:hAnsi="仿宋_GB2312" w:eastAsia="仿宋_GB2312" w:cs="仿宋_GB2312"/>
                <w:b w:val="0"/>
                <w:bCs w:val="0"/>
                <w:spacing w:val="-6"/>
                <w:sz w:val="28"/>
                <w:szCs w:val="28"/>
                <w:highlight w:val="none"/>
              </w:rPr>
              <w:t>对虚假承诺和未兑现承诺的依法实施相应惩戒措施。</w:t>
            </w:r>
          </w:p>
          <w:p>
            <w:pPr>
              <w:pStyle w:val="3"/>
              <w:keepNext w:val="0"/>
              <w:keepLines w:val="0"/>
              <w:pageBreakBefore w:val="0"/>
              <w:widowControl w:val="0"/>
              <w:kinsoku/>
              <w:wordWrap/>
              <w:overflowPunct/>
              <w:topLinePunct w:val="0"/>
              <w:autoSpaceDE/>
              <w:autoSpaceDN/>
              <w:bidi w:val="0"/>
              <w:adjustRightInd/>
              <w:snapToGrid w:val="0"/>
              <w:spacing w:line="49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rPr>
            </w:pPr>
            <w:r>
              <w:rPr>
                <w:rFonts w:hint="eastAsia" w:ascii="仿宋_GB2312" w:hAnsi="仿宋_GB2312" w:eastAsia="仿宋_GB2312" w:cs="仿宋_GB2312"/>
                <w:b w:val="0"/>
                <w:bCs w:val="0"/>
                <w:spacing w:val="-6"/>
                <w:sz w:val="28"/>
                <w:szCs w:val="28"/>
                <w:highlight w:val="none"/>
                <w:lang w:val="en-US" w:eastAsia="zh-CN"/>
              </w:rPr>
              <w:t>2.</w:t>
            </w:r>
            <w:r>
              <w:rPr>
                <w:rFonts w:hint="eastAsia" w:ascii="仿宋_GB2312" w:hAnsi="仿宋_GB2312" w:eastAsia="仿宋_GB2312" w:cs="仿宋_GB2312"/>
                <w:b w:val="0"/>
                <w:bCs w:val="0"/>
                <w:spacing w:val="-6"/>
                <w:sz w:val="28"/>
                <w:szCs w:val="28"/>
                <w:highlight w:val="none"/>
              </w:rPr>
              <w:t>对履行承诺的市场主体，根据信用记录为其提供便利措施；对不履行承诺的市场主体，视情节依法实施限制。</w:t>
            </w:r>
          </w:p>
          <w:p>
            <w:pPr>
              <w:pStyle w:val="3"/>
              <w:keepNext w:val="0"/>
              <w:keepLines w:val="0"/>
              <w:pageBreakBefore w:val="0"/>
              <w:widowControl w:val="0"/>
              <w:kinsoku/>
              <w:wordWrap/>
              <w:overflowPunct/>
              <w:topLinePunct w:val="0"/>
              <w:autoSpaceDE/>
              <w:autoSpaceDN/>
              <w:bidi w:val="0"/>
              <w:adjustRightInd/>
              <w:snapToGrid w:val="0"/>
              <w:spacing w:line="49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rPr>
            </w:pPr>
            <w:r>
              <w:rPr>
                <w:rFonts w:hint="eastAsia" w:ascii="仿宋_GB2312" w:hAnsi="仿宋_GB2312" w:eastAsia="仿宋_GB2312" w:cs="仿宋_GB2312"/>
                <w:b w:val="0"/>
                <w:bCs w:val="0"/>
                <w:spacing w:val="-6"/>
                <w:sz w:val="28"/>
                <w:szCs w:val="28"/>
                <w:highlight w:val="none"/>
                <w:lang w:val="en-US" w:eastAsia="zh-CN"/>
              </w:rPr>
              <w:t>3.</w:t>
            </w:r>
            <w:r>
              <w:rPr>
                <w:rFonts w:hint="eastAsia" w:ascii="仿宋_GB2312" w:hAnsi="仿宋_GB2312" w:eastAsia="仿宋_GB2312" w:cs="仿宋_GB2312"/>
                <w:b w:val="0"/>
                <w:bCs w:val="0"/>
                <w:spacing w:val="-6"/>
                <w:sz w:val="28"/>
                <w:szCs w:val="28"/>
                <w:highlight w:val="none"/>
              </w:rPr>
              <w:t>健全和完善企业信用修复机制。</w:t>
            </w:r>
          </w:p>
          <w:p>
            <w:pPr>
              <w:pStyle w:val="3"/>
              <w:keepNext w:val="0"/>
              <w:keepLines w:val="0"/>
              <w:pageBreakBefore w:val="0"/>
              <w:widowControl w:val="0"/>
              <w:kinsoku/>
              <w:wordWrap/>
              <w:overflowPunct/>
              <w:topLinePunct w:val="0"/>
              <w:autoSpaceDE/>
              <w:autoSpaceDN/>
              <w:bidi w:val="0"/>
              <w:adjustRightInd/>
              <w:snapToGrid w:val="0"/>
              <w:spacing w:line="49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lang w:val="en-US" w:eastAsia="zh-CN"/>
              </w:rPr>
            </w:pPr>
            <w:r>
              <w:rPr>
                <w:rFonts w:hint="eastAsia" w:ascii="仿宋_GB2312" w:hAnsi="仿宋_GB2312" w:eastAsia="仿宋_GB2312" w:cs="仿宋_GB2312"/>
                <w:b w:val="0"/>
                <w:bCs w:val="0"/>
                <w:spacing w:val="-6"/>
                <w:sz w:val="28"/>
                <w:szCs w:val="28"/>
                <w:highlight w:val="none"/>
                <w:lang w:val="en-US" w:eastAsia="zh-CN"/>
              </w:rPr>
              <w:t>4.</w:t>
            </w:r>
            <w:r>
              <w:rPr>
                <w:rFonts w:hint="eastAsia" w:ascii="仿宋_GB2312" w:hAnsi="仿宋_GB2312" w:eastAsia="仿宋_GB2312" w:cs="仿宋_GB2312"/>
                <w:b w:val="0"/>
                <w:bCs w:val="0"/>
                <w:spacing w:val="-6"/>
                <w:sz w:val="28"/>
                <w:szCs w:val="28"/>
                <w:highlight w:val="none"/>
              </w:rPr>
              <w:t>在具备条件的行政许可事项和政务服务事项中推行信用承诺制。鼓励市场主体主动向社会作出信用承诺。</w:t>
            </w:r>
          </w:p>
        </w:tc>
        <w:tc>
          <w:tcPr>
            <w:tcW w:w="2486"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49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color w:val="auto"/>
                <w:spacing w:val="-6"/>
                <w:sz w:val="28"/>
                <w:szCs w:val="28"/>
                <w:highlight w:val="none"/>
                <w:vertAlign w:val="baseline"/>
                <w:lang w:val="en-US" w:eastAsia="zh-CN"/>
              </w:rPr>
              <w:t>市发改委、市市场监管局、人行六安中支、市数管局等按职责分工负责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trPr>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41.</w:t>
            </w:r>
            <w:r>
              <w:rPr>
                <w:rFonts w:hint="eastAsia" w:ascii="仿宋_GB2312" w:hAnsi="仿宋_GB2312" w:eastAsia="仿宋_GB2312" w:cs="仿宋_GB2312"/>
                <w:b w:val="0"/>
                <w:bCs w:val="0"/>
                <w:spacing w:val="-6"/>
                <w:sz w:val="28"/>
                <w:szCs w:val="28"/>
                <w:highlight w:val="none"/>
              </w:rPr>
              <w:t>大力推进信用分级分类监管</w:t>
            </w:r>
          </w:p>
        </w:tc>
        <w:tc>
          <w:tcPr>
            <w:tcW w:w="934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lang w:eastAsia="zh-CN"/>
              </w:rPr>
            </w:pPr>
            <w:r>
              <w:rPr>
                <w:rFonts w:hint="eastAsia" w:ascii="仿宋_GB2312" w:hAnsi="仿宋_GB2312" w:eastAsia="仿宋_GB2312" w:cs="仿宋_GB2312"/>
                <w:b w:val="0"/>
                <w:bCs w:val="0"/>
                <w:spacing w:val="-6"/>
                <w:sz w:val="28"/>
                <w:szCs w:val="28"/>
                <w:highlight w:val="none"/>
                <w:lang w:val="en-US" w:eastAsia="zh-CN"/>
              </w:rPr>
              <w:t>1.</w:t>
            </w:r>
            <w:r>
              <w:rPr>
                <w:rFonts w:hint="eastAsia" w:ascii="仿宋_GB2312" w:hAnsi="仿宋_GB2312" w:eastAsia="仿宋_GB2312" w:cs="仿宋_GB2312"/>
                <w:b w:val="0"/>
                <w:bCs w:val="0"/>
                <w:spacing w:val="-6"/>
                <w:sz w:val="28"/>
                <w:szCs w:val="28"/>
                <w:highlight w:val="none"/>
              </w:rPr>
              <w:t>以市信用平台共享的公共信用综合评价结果、行业信用评价结果等为参考，</w:t>
            </w:r>
            <w:r>
              <w:rPr>
                <w:rFonts w:hint="eastAsia" w:ascii="仿宋_GB2312" w:hAnsi="仿宋_GB2312" w:eastAsia="仿宋_GB2312" w:cs="仿宋_GB2312"/>
                <w:b w:val="0"/>
                <w:bCs w:val="0"/>
                <w:spacing w:val="-6"/>
                <w:sz w:val="28"/>
                <w:szCs w:val="28"/>
                <w:highlight w:val="none"/>
                <w:lang w:eastAsia="zh-CN"/>
              </w:rPr>
              <w:t>推动税收管理、进出口、生态环保、医疗保障、基金监管、医药招采等更多重点领域深入实施信用分级分类监管。</w:t>
            </w:r>
          </w:p>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lang w:eastAsia="zh-CN"/>
              </w:rPr>
            </w:pPr>
            <w:r>
              <w:rPr>
                <w:rFonts w:hint="eastAsia" w:ascii="仿宋_GB2312" w:hAnsi="仿宋_GB2312" w:eastAsia="仿宋_GB2312" w:cs="仿宋_GB2312"/>
                <w:b w:val="0"/>
                <w:bCs w:val="0"/>
                <w:spacing w:val="-6"/>
                <w:sz w:val="28"/>
                <w:szCs w:val="28"/>
                <w:highlight w:val="none"/>
                <w:lang w:val="en-US" w:eastAsia="zh-CN"/>
              </w:rPr>
              <w:t>2.</w:t>
            </w:r>
            <w:r>
              <w:rPr>
                <w:rFonts w:hint="eastAsia" w:ascii="仿宋_GB2312" w:hAnsi="仿宋_GB2312" w:eastAsia="仿宋_GB2312" w:cs="仿宋_GB2312"/>
                <w:b w:val="0"/>
                <w:bCs w:val="0"/>
                <w:spacing w:val="-6"/>
                <w:sz w:val="28"/>
                <w:szCs w:val="28"/>
                <w:highlight w:val="none"/>
              </w:rPr>
              <w:t>严格执行全国统一的失信联合惩戒对象名单认定标准和失信联合惩戒措施清单，构建守信激励、失信惩戒机制，健全多部门、跨地区信用惩戒联动机制</w:t>
            </w:r>
            <w:r>
              <w:rPr>
                <w:rFonts w:hint="eastAsia" w:ascii="仿宋_GB2312" w:hAnsi="仿宋_GB2312" w:eastAsia="仿宋_GB2312" w:cs="仿宋_GB2312"/>
                <w:b w:val="0"/>
                <w:bCs w:val="0"/>
                <w:spacing w:val="-6"/>
                <w:sz w:val="28"/>
                <w:szCs w:val="28"/>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lang w:val="en-US" w:eastAsia="zh-CN"/>
              </w:rPr>
            </w:pPr>
            <w:r>
              <w:rPr>
                <w:rFonts w:hint="eastAsia" w:ascii="仿宋_GB2312" w:hAnsi="仿宋_GB2312" w:eastAsia="仿宋_GB2312" w:cs="仿宋_GB2312"/>
                <w:b w:val="0"/>
                <w:bCs w:val="0"/>
                <w:spacing w:val="-6"/>
                <w:sz w:val="28"/>
                <w:szCs w:val="28"/>
                <w:highlight w:val="none"/>
                <w:lang w:val="en-US" w:eastAsia="zh-CN"/>
              </w:rPr>
              <w:t>3.将企业信用分类与“双随机、一公开”监管有机结合，根据监管对象信用情况采取差异化监管，</w:t>
            </w:r>
            <w:r>
              <w:rPr>
                <w:rFonts w:hint="eastAsia" w:ascii="仿宋_GB2312" w:hAnsi="仿宋_GB2312" w:eastAsia="仿宋_GB2312" w:cs="仿宋_GB2312"/>
                <w:b w:val="0"/>
                <w:bCs w:val="0"/>
                <w:spacing w:val="-6"/>
                <w:sz w:val="28"/>
                <w:szCs w:val="28"/>
                <w:highlight w:val="none"/>
              </w:rPr>
              <w:t>为市场主体提供更加精准便利的服务。</w:t>
            </w:r>
          </w:p>
        </w:tc>
        <w:tc>
          <w:tcPr>
            <w:tcW w:w="248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color w:val="auto"/>
                <w:spacing w:val="-6"/>
                <w:sz w:val="28"/>
                <w:szCs w:val="28"/>
                <w:highlight w:val="none"/>
                <w:vertAlign w:val="baseline"/>
                <w:lang w:val="en-US" w:eastAsia="zh-CN"/>
              </w:rPr>
              <w:t>市市场监管局、市发改委、市税务局、六安海关、市生态环境局、市医保局等按职责分工负责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楷体_GB2312" w:hAnsi="楷体_GB2312" w:eastAsia="楷体_GB2312" w:cs="楷体_GB2312"/>
                <w:b/>
                <w:bCs/>
                <w:spacing w:val="-6"/>
                <w:sz w:val="28"/>
                <w:szCs w:val="28"/>
                <w:highlight w:val="none"/>
                <w:lang w:eastAsia="zh-CN"/>
              </w:rPr>
              <w:t>（</w:t>
            </w:r>
            <w:r>
              <w:rPr>
                <w:rFonts w:hint="eastAsia" w:ascii="楷体_GB2312" w:hAnsi="楷体_GB2312" w:eastAsia="楷体_GB2312" w:cs="楷体_GB2312"/>
                <w:b/>
                <w:bCs/>
                <w:spacing w:val="-6"/>
                <w:sz w:val="28"/>
                <w:szCs w:val="28"/>
                <w:highlight w:val="none"/>
                <w:lang w:val="en-US" w:eastAsia="zh-CN"/>
              </w:rPr>
              <w:t>十六</w:t>
            </w:r>
            <w:r>
              <w:rPr>
                <w:rFonts w:hint="eastAsia" w:ascii="楷体_GB2312" w:hAnsi="楷体_GB2312" w:eastAsia="楷体_GB2312" w:cs="楷体_GB2312"/>
                <w:b/>
                <w:bCs/>
                <w:spacing w:val="-6"/>
                <w:sz w:val="28"/>
                <w:szCs w:val="28"/>
                <w:highlight w:val="none"/>
                <w:lang w:eastAsia="zh-CN"/>
              </w:rPr>
              <w:t>）</w:t>
            </w:r>
            <w:r>
              <w:rPr>
                <w:rFonts w:hint="eastAsia" w:ascii="楷体_GB2312" w:hAnsi="楷体_GB2312" w:eastAsia="楷体_GB2312" w:cs="楷体_GB2312"/>
                <w:b/>
                <w:bCs/>
                <w:spacing w:val="-6"/>
                <w:sz w:val="28"/>
                <w:szCs w:val="28"/>
                <w:highlight w:val="none"/>
              </w:rPr>
              <w:t>健全社会监督机制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42.</w:t>
            </w:r>
            <w:r>
              <w:rPr>
                <w:rFonts w:hint="eastAsia" w:ascii="仿宋_GB2312" w:hAnsi="仿宋_GB2312" w:eastAsia="仿宋_GB2312" w:cs="仿宋_GB2312"/>
                <w:b w:val="0"/>
                <w:bCs w:val="0"/>
                <w:spacing w:val="-6"/>
                <w:sz w:val="28"/>
                <w:szCs w:val="28"/>
                <w:highlight w:val="none"/>
              </w:rPr>
              <w:t>充分发挥行业协会商会重要作用</w:t>
            </w:r>
          </w:p>
        </w:tc>
        <w:tc>
          <w:tcPr>
            <w:tcW w:w="934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lang w:val="en-US" w:eastAsia="zh-CN"/>
              </w:rPr>
            </w:pPr>
            <w:r>
              <w:rPr>
                <w:rFonts w:hint="eastAsia" w:ascii="仿宋_GB2312" w:hAnsi="仿宋_GB2312" w:eastAsia="仿宋_GB2312" w:cs="仿宋_GB2312"/>
                <w:b w:val="0"/>
                <w:bCs w:val="0"/>
                <w:spacing w:val="-6"/>
                <w:sz w:val="28"/>
                <w:szCs w:val="28"/>
                <w:highlight w:val="none"/>
                <w:lang w:val="en-US" w:eastAsia="zh-CN"/>
              </w:rPr>
              <w:t>1.</w:t>
            </w:r>
            <w:r>
              <w:rPr>
                <w:rFonts w:hint="eastAsia" w:ascii="仿宋_GB2312" w:hAnsi="仿宋_GB2312" w:eastAsia="仿宋_GB2312" w:cs="仿宋_GB2312"/>
                <w:b w:val="0"/>
                <w:bCs w:val="0"/>
                <w:spacing w:val="-6"/>
                <w:sz w:val="28"/>
                <w:szCs w:val="28"/>
                <w:highlight w:val="none"/>
              </w:rPr>
              <w:t>全面巩固商协会与行政机关脱钩改革成果，构建商协会自主管理与政府监管服务相结合的新型行业治理模式，贯彻落实商协会登记服务指南，持续做好商协会规范和服务工作。修订完善商协会登记管理相关制度，健全以章程为核心的商协会法人治理机制，持续为协会商会提供方便快捷的全程帮办服务。</w:t>
            </w:r>
          </w:p>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lang w:val="en-US" w:eastAsia="zh-CN"/>
              </w:rPr>
            </w:pPr>
            <w:r>
              <w:rPr>
                <w:rFonts w:hint="eastAsia" w:ascii="仿宋_GB2312" w:hAnsi="仿宋_GB2312" w:eastAsia="仿宋_GB2312" w:cs="仿宋_GB2312"/>
                <w:b w:val="0"/>
                <w:bCs w:val="0"/>
                <w:spacing w:val="-6"/>
                <w:sz w:val="28"/>
                <w:szCs w:val="28"/>
                <w:highlight w:val="none"/>
                <w:lang w:val="en-US" w:eastAsia="zh-CN"/>
              </w:rPr>
              <w:t>2.</w:t>
            </w:r>
            <w:r>
              <w:rPr>
                <w:rFonts w:hint="eastAsia" w:ascii="仿宋_GB2312" w:hAnsi="仿宋_GB2312" w:eastAsia="仿宋_GB2312" w:cs="仿宋_GB2312"/>
                <w:b w:val="0"/>
                <w:bCs w:val="0"/>
                <w:spacing w:val="-6"/>
                <w:sz w:val="28"/>
                <w:szCs w:val="28"/>
                <w:highlight w:val="none"/>
                <w:lang w:eastAsia="zh-CN"/>
              </w:rPr>
              <w:t>鼓励行业协会商会、企业制定发布产品和服务标准，组织参与制定国家标准、行业标准和团体标准。</w:t>
            </w:r>
          </w:p>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3.鼓励行业协会商会围绕“5+1”产业，搭建产业对接交流平台，针对企业专业服务需求，建立行业公共服务平台。建立健全向行业协会商会购买服务目录清单，将“双招双引”、行业服务、行业调研、行业辅助决策、行业标准规范制定等纳入政府购买服务目录。及时兑现支持行业协会商会发展政策。</w:t>
            </w:r>
          </w:p>
        </w:tc>
        <w:tc>
          <w:tcPr>
            <w:tcW w:w="248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市民政局、</w:t>
            </w:r>
            <w:r>
              <w:rPr>
                <w:rFonts w:hint="eastAsia" w:ascii="仿宋_GB2312" w:hAnsi="仿宋_GB2312" w:eastAsia="仿宋_GB2312" w:cs="仿宋_GB2312"/>
                <w:b w:val="0"/>
                <w:bCs w:val="0"/>
                <w:spacing w:val="-6"/>
                <w:sz w:val="28"/>
                <w:szCs w:val="28"/>
                <w:highlight w:val="none"/>
                <w:lang w:val="en-US" w:eastAsia="zh-CN"/>
              </w:rPr>
              <w:t>市发改委、</w:t>
            </w:r>
            <w:r>
              <w:rPr>
                <w:rFonts w:hint="eastAsia" w:ascii="仿宋_GB2312" w:hAnsi="仿宋_GB2312" w:eastAsia="仿宋_GB2312" w:cs="仿宋_GB2312"/>
                <w:b w:val="0"/>
                <w:bCs w:val="0"/>
                <w:spacing w:val="-6"/>
                <w:sz w:val="28"/>
                <w:szCs w:val="28"/>
                <w:highlight w:val="none"/>
                <w:vertAlign w:val="baseline"/>
                <w:lang w:val="en-US" w:eastAsia="zh-CN"/>
              </w:rPr>
              <w:t>市市场监管局、</w:t>
            </w:r>
            <w:r>
              <w:rPr>
                <w:rFonts w:hint="eastAsia" w:ascii="仿宋_GB2312" w:hAnsi="仿宋_GB2312" w:eastAsia="仿宋_GB2312" w:cs="仿宋_GB2312"/>
                <w:spacing w:val="-6"/>
                <w:sz w:val="28"/>
                <w:szCs w:val="28"/>
                <w:highlight w:val="none"/>
              </w:rPr>
              <w:t>市</w:t>
            </w:r>
            <w:r>
              <w:rPr>
                <w:rFonts w:hint="eastAsia" w:ascii="仿宋_GB2312" w:hAnsi="仿宋_GB2312" w:eastAsia="仿宋_GB2312" w:cs="仿宋_GB2312"/>
                <w:spacing w:val="-6"/>
                <w:kern w:val="0"/>
                <w:sz w:val="28"/>
                <w:szCs w:val="28"/>
                <w:highlight w:val="none"/>
              </w:rPr>
              <w:t>投创中心、市工商联</w:t>
            </w:r>
            <w:r>
              <w:rPr>
                <w:rFonts w:hint="eastAsia" w:ascii="仿宋_GB2312" w:hAnsi="仿宋_GB2312" w:eastAsia="仿宋_GB2312" w:cs="仿宋_GB2312"/>
                <w:b w:val="0"/>
                <w:bCs w:val="0"/>
                <w:color w:val="auto"/>
                <w:spacing w:val="-6"/>
                <w:sz w:val="28"/>
                <w:szCs w:val="28"/>
                <w:highlight w:val="none"/>
                <w:vertAlign w:val="baseline"/>
                <w:lang w:val="en-US" w:eastAsia="zh-CN"/>
              </w:rPr>
              <w:t>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0" w:type="auto"/>
            <w:noWrap w:val="0"/>
            <w:vAlign w:val="center"/>
          </w:tcPr>
          <w:p>
            <w:pPr>
              <w:pStyle w:val="3"/>
              <w:keepNext w:val="0"/>
              <w:keepLines w:val="0"/>
              <w:pageBreakBefore w:val="0"/>
              <w:widowControl w:val="0"/>
              <w:kinsoku/>
              <w:wordWrap/>
              <w:overflowPunct/>
              <w:topLinePunct w:val="0"/>
              <w:autoSpaceDE/>
              <w:autoSpaceDN/>
              <w:bidi w:val="0"/>
              <w:adjustRightInd/>
              <w:snapToGrid w:val="0"/>
              <w:spacing w:line="55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lang w:val="en-US" w:eastAsia="zh-CN"/>
              </w:rPr>
            </w:pPr>
            <w:r>
              <w:rPr>
                <w:rFonts w:hint="eastAsia" w:ascii="仿宋_GB2312" w:hAnsi="仿宋_GB2312" w:eastAsia="仿宋_GB2312" w:cs="仿宋_GB2312"/>
                <w:b w:val="0"/>
                <w:bCs w:val="0"/>
                <w:spacing w:val="-6"/>
                <w:sz w:val="28"/>
                <w:szCs w:val="28"/>
                <w:highlight w:val="none"/>
                <w:lang w:val="en-US" w:eastAsia="zh-CN"/>
              </w:rPr>
              <w:t>43.</w:t>
            </w:r>
            <w:r>
              <w:rPr>
                <w:rFonts w:hint="eastAsia" w:ascii="仿宋_GB2312" w:hAnsi="仿宋_GB2312" w:eastAsia="仿宋_GB2312" w:cs="仿宋_GB2312"/>
                <w:b w:val="0"/>
                <w:bCs w:val="0"/>
                <w:spacing w:val="-6"/>
                <w:sz w:val="28"/>
                <w:szCs w:val="28"/>
                <w:highlight w:val="none"/>
              </w:rPr>
              <w:t>大力发展市场专业化服务组织</w:t>
            </w:r>
          </w:p>
        </w:tc>
        <w:tc>
          <w:tcPr>
            <w:tcW w:w="9346"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55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lang w:val="en-US" w:eastAsia="zh-CN"/>
              </w:rPr>
            </w:pPr>
            <w:r>
              <w:rPr>
                <w:rFonts w:hint="eastAsia" w:ascii="仿宋_GB2312" w:hAnsi="仿宋_GB2312" w:eastAsia="仿宋_GB2312" w:cs="仿宋_GB2312"/>
                <w:b w:val="0"/>
                <w:bCs w:val="0"/>
                <w:spacing w:val="-6"/>
                <w:sz w:val="28"/>
                <w:szCs w:val="28"/>
                <w:highlight w:val="none"/>
                <w:lang w:val="en-US" w:eastAsia="zh-CN"/>
              </w:rPr>
              <w:t>1.加快培育第三方服务机构和市场中介组织，提升市场专业化服务能力。深化检验检测机构和认证机构市场化改革，积极培育和引进第三方检验检测机构和认证，鼓励不同所有制形式的技术机构平等参与市场竞争。</w:t>
            </w:r>
          </w:p>
          <w:p>
            <w:pPr>
              <w:pStyle w:val="3"/>
              <w:keepNext w:val="0"/>
              <w:keepLines w:val="0"/>
              <w:pageBreakBefore w:val="0"/>
              <w:widowControl w:val="0"/>
              <w:kinsoku/>
              <w:wordWrap/>
              <w:overflowPunct/>
              <w:topLinePunct w:val="0"/>
              <w:autoSpaceDE/>
              <w:autoSpaceDN/>
              <w:bidi w:val="0"/>
              <w:adjustRightInd/>
              <w:snapToGrid w:val="0"/>
              <w:spacing w:line="55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lang w:val="en-US" w:eastAsia="zh-CN"/>
              </w:rPr>
            </w:pPr>
            <w:r>
              <w:rPr>
                <w:rFonts w:hint="eastAsia" w:ascii="仿宋_GB2312" w:hAnsi="仿宋_GB2312" w:eastAsia="仿宋_GB2312" w:cs="仿宋_GB2312"/>
                <w:b w:val="0"/>
                <w:bCs w:val="0"/>
                <w:spacing w:val="-6"/>
                <w:sz w:val="28"/>
                <w:szCs w:val="28"/>
                <w:highlight w:val="none"/>
                <w:lang w:val="en-US" w:eastAsia="zh-CN"/>
              </w:rPr>
              <w:t>2.</w:t>
            </w:r>
            <w:r>
              <w:rPr>
                <w:rFonts w:hint="eastAsia" w:ascii="仿宋_GB2312" w:hAnsi="仿宋_GB2312" w:eastAsia="仿宋_GB2312" w:cs="仿宋_GB2312"/>
                <w:b w:val="0"/>
                <w:bCs w:val="0"/>
                <w:spacing w:val="-6"/>
                <w:sz w:val="28"/>
                <w:szCs w:val="28"/>
                <w:highlight w:val="none"/>
              </w:rPr>
              <w:t>清理现有检验检测机构和认证机构，对职能萎缩、规模较小、不符合经济社会发展需要的机构予以撤销。积极推进业务相同或相近的检验检测机构和认证机构整合工作。</w:t>
            </w:r>
          </w:p>
        </w:tc>
        <w:tc>
          <w:tcPr>
            <w:tcW w:w="2486"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55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市市场监管局、市委编办</w:t>
            </w:r>
            <w:r>
              <w:rPr>
                <w:rFonts w:hint="eastAsia" w:ascii="仿宋_GB2312" w:hAnsi="仿宋_GB2312" w:eastAsia="仿宋_GB2312" w:cs="仿宋_GB2312"/>
                <w:b w:val="0"/>
                <w:bCs w:val="0"/>
                <w:color w:val="auto"/>
                <w:spacing w:val="-6"/>
                <w:sz w:val="28"/>
                <w:szCs w:val="28"/>
                <w:highlight w:val="none"/>
                <w:vertAlign w:val="baseline"/>
                <w:lang w:val="en-US" w:eastAsia="zh-CN"/>
              </w:rPr>
              <w:t>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7" w:hRule="atLeast"/>
        </w:trPr>
        <w:tc>
          <w:tcPr>
            <w:tcW w:w="0" w:type="auto"/>
            <w:noWrap w:val="0"/>
            <w:vAlign w:val="center"/>
          </w:tcPr>
          <w:p>
            <w:pPr>
              <w:pStyle w:val="3"/>
              <w:keepNext w:val="0"/>
              <w:keepLines w:val="0"/>
              <w:pageBreakBefore w:val="0"/>
              <w:widowControl w:val="0"/>
              <w:kinsoku/>
              <w:wordWrap/>
              <w:overflowPunct/>
              <w:topLinePunct w:val="0"/>
              <w:autoSpaceDE/>
              <w:autoSpaceDN/>
              <w:bidi w:val="0"/>
              <w:adjustRightInd/>
              <w:snapToGrid w:val="0"/>
              <w:spacing w:line="55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44.</w:t>
            </w:r>
            <w:r>
              <w:rPr>
                <w:rFonts w:hint="eastAsia" w:ascii="仿宋_GB2312" w:hAnsi="仿宋_GB2312" w:eastAsia="仿宋_GB2312" w:cs="仿宋_GB2312"/>
                <w:b w:val="0"/>
                <w:bCs w:val="0"/>
                <w:spacing w:val="-6"/>
                <w:sz w:val="28"/>
                <w:szCs w:val="28"/>
                <w:highlight w:val="none"/>
              </w:rPr>
              <w:t>发挥公众和舆论监督作用</w:t>
            </w:r>
          </w:p>
        </w:tc>
        <w:tc>
          <w:tcPr>
            <w:tcW w:w="9346"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55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lang w:val="en-US" w:eastAsia="zh-CN"/>
              </w:rPr>
            </w:pPr>
            <w:r>
              <w:rPr>
                <w:rFonts w:hint="eastAsia" w:ascii="仿宋_GB2312" w:hAnsi="仿宋_GB2312" w:eastAsia="仿宋_GB2312" w:cs="仿宋_GB2312"/>
                <w:b w:val="0"/>
                <w:bCs w:val="0"/>
                <w:spacing w:val="-6"/>
                <w:sz w:val="28"/>
                <w:szCs w:val="28"/>
                <w:highlight w:val="none"/>
                <w:lang w:val="en-US" w:eastAsia="zh-CN"/>
              </w:rPr>
              <w:t>1.</w:t>
            </w:r>
            <w:r>
              <w:rPr>
                <w:rFonts w:hint="eastAsia" w:ascii="仿宋_GB2312" w:hAnsi="仿宋_GB2312" w:eastAsia="仿宋_GB2312" w:cs="仿宋_GB2312"/>
                <w:b w:val="0"/>
                <w:bCs w:val="0"/>
                <w:spacing w:val="-6"/>
                <w:sz w:val="28"/>
                <w:szCs w:val="28"/>
                <w:highlight w:val="none"/>
              </w:rPr>
              <w:t>加强政策宣传，落实行政执法信息公开制度</w:t>
            </w:r>
            <w:r>
              <w:rPr>
                <w:rFonts w:hint="eastAsia" w:ascii="仿宋_GB2312" w:hAnsi="仿宋_GB2312" w:eastAsia="仿宋_GB2312" w:cs="仿宋_GB2312"/>
                <w:b w:val="0"/>
                <w:bCs w:val="0"/>
                <w:spacing w:val="-6"/>
                <w:sz w:val="28"/>
                <w:szCs w:val="28"/>
                <w:highlight w:val="none"/>
                <w:lang w:eastAsia="zh-CN"/>
              </w:rPr>
              <w:t>，</w:t>
            </w:r>
            <w:r>
              <w:rPr>
                <w:rFonts w:hint="eastAsia" w:ascii="仿宋_GB2312" w:hAnsi="仿宋_GB2312" w:eastAsia="仿宋_GB2312" w:cs="仿宋_GB2312"/>
                <w:b w:val="0"/>
                <w:bCs w:val="0"/>
                <w:spacing w:val="-6"/>
                <w:sz w:val="28"/>
                <w:szCs w:val="28"/>
                <w:highlight w:val="none"/>
                <w:lang w:val="en-US" w:eastAsia="zh-CN"/>
              </w:rPr>
              <w:t>更</w:t>
            </w:r>
            <w:r>
              <w:rPr>
                <w:rFonts w:hint="eastAsia" w:ascii="仿宋_GB2312" w:hAnsi="仿宋_GB2312" w:eastAsia="仿宋_GB2312" w:cs="仿宋_GB2312"/>
                <w:b w:val="0"/>
                <w:bCs w:val="0"/>
                <w:spacing w:val="-6"/>
                <w:sz w:val="28"/>
                <w:szCs w:val="28"/>
                <w:highlight w:val="none"/>
              </w:rPr>
              <w:t>好发挥舆论监督作用</w:t>
            </w:r>
            <w:r>
              <w:rPr>
                <w:rFonts w:hint="eastAsia" w:ascii="仿宋_GB2312" w:hAnsi="仿宋_GB2312" w:eastAsia="仿宋_GB2312" w:cs="仿宋_GB2312"/>
                <w:b w:val="0"/>
                <w:bCs w:val="0"/>
                <w:spacing w:val="-6"/>
                <w:sz w:val="28"/>
                <w:szCs w:val="28"/>
                <w:highlight w:val="none"/>
                <w:lang w:eastAsia="zh-CN"/>
              </w:rPr>
              <w:t>。</w:t>
            </w:r>
            <w:r>
              <w:rPr>
                <w:rFonts w:hint="eastAsia" w:ascii="仿宋_GB2312" w:hAnsi="仿宋_GB2312" w:eastAsia="仿宋_GB2312" w:cs="仿宋_GB2312"/>
                <w:b w:val="0"/>
                <w:bCs w:val="0"/>
                <w:spacing w:val="-6"/>
                <w:sz w:val="28"/>
                <w:szCs w:val="28"/>
                <w:highlight w:val="none"/>
              </w:rPr>
              <w:t>健全公众参与监督的激励机制，</w:t>
            </w:r>
            <w:r>
              <w:rPr>
                <w:rFonts w:hint="eastAsia" w:ascii="仿宋_GB2312" w:hAnsi="仿宋_GB2312" w:eastAsia="仿宋_GB2312" w:cs="仿宋_GB2312"/>
                <w:b w:val="0"/>
                <w:bCs w:val="0"/>
                <w:spacing w:val="-6"/>
                <w:sz w:val="28"/>
                <w:szCs w:val="28"/>
                <w:highlight w:val="none"/>
                <w:lang w:val="en-US" w:eastAsia="zh-CN"/>
              </w:rPr>
              <w:t>严格执行《市场监管领域重大违法行为举报奖励暂行办法》和行政处罚自由裁量权适用规则、裁量权基准，</w:t>
            </w:r>
            <w:r>
              <w:rPr>
                <w:rFonts w:hint="eastAsia" w:ascii="仿宋_GB2312" w:hAnsi="仿宋_GB2312" w:eastAsia="仿宋_GB2312" w:cs="仿宋_GB2312"/>
                <w:b w:val="0"/>
                <w:bCs w:val="0"/>
                <w:spacing w:val="-6"/>
                <w:sz w:val="28"/>
                <w:szCs w:val="28"/>
                <w:highlight w:val="none"/>
              </w:rPr>
              <w:t>积极应对“职业打假”</w:t>
            </w:r>
            <w:r>
              <w:rPr>
                <w:rFonts w:hint="eastAsia" w:ascii="仿宋_GB2312" w:hAnsi="仿宋_GB2312" w:eastAsia="仿宋_GB2312" w:cs="仿宋_GB2312"/>
                <w:b w:val="0"/>
                <w:bCs w:val="0"/>
                <w:spacing w:val="-6"/>
                <w:sz w:val="28"/>
                <w:szCs w:val="28"/>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val="0"/>
              <w:spacing w:line="55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rPr>
            </w:pPr>
            <w:r>
              <w:rPr>
                <w:rFonts w:hint="eastAsia" w:ascii="仿宋_GB2312" w:hAnsi="仿宋_GB2312" w:eastAsia="仿宋_GB2312" w:cs="仿宋_GB2312"/>
                <w:b w:val="0"/>
                <w:bCs w:val="0"/>
                <w:spacing w:val="-6"/>
                <w:sz w:val="28"/>
                <w:szCs w:val="28"/>
                <w:highlight w:val="none"/>
                <w:lang w:val="en-US" w:eastAsia="zh-CN"/>
              </w:rPr>
              <w:t>2.拓展消费投诉信息公示途径，加大对投诉量大的问题和商品种类公示力度。</w:t>
            </w:r>
          </w:p>
          <w:p>
            <w:pPr>
              <w:pStyle w:val="3"/>
              <w:keepNext w:val="0"/>
              <w:keepLines w:val="0"/>
              <w:pageBreakBefore w:val="0"/>
              <w:widowControl w:val="0"/>
              <w:kinsoku/>
              <w:wordWrap/>
              <w:overflowPunct/>
              <w:topLinePunct w:val="0"/>
              <w:autoSpaceDE/>
              <w:autoSpaceDN/>
              <w:bidi w:val="0"/>
              <w:adjustRightInd/>
              <w:snapToGrid w:val="0"/>
              <w:spacing w:line="55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3.开展舆论监督报道，对于群众反映突出的行政执法案件，在深入调查核准事实的基础上，推出舆论监督报道，曝光一批典型案例。</w:t>
            </w:r>
          </w:p>
        </w:tc>
        <w:tc>
          <w:tcPr>
            <w:tcW w:w="2486"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55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vertAlign w:val="baseline"/>
                <w:lang w:val="en-US" w:eastAsia="zh-CN"/>
              </w:rPr>
              <w:t>市市场监管局、市委宣传部、市文旅局等按职责分工负责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0" w:type="auto"/>
            <w:gridSpan w:val="3"/>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楷体_GB2312" w:hAnsi="楷体_GB2312" w:eastAsia="楷体_GB2312" w:cs="楷体_GB2312"/>
                <w:b/>
                <w:bCs/>
                <w:spacing w:val="-6"/>
                <w:sz w:val="28"/>
                <w:szCs w:val="28"/>
                <w:highlight w:val="none"/>
                <w:lang w:eastAsia="zh-CN"/>
              </w:rPr>
              <w:t>（</w:t>
            </w:r>
            <w:r>
              <w:rPr>
                <w:rFonts w:hint="eastAsia" w:ascii="楷体_GB2312" w:hAnsi="楷体_GB2312" w:eastAsia="楷体_GB2312" w:cs="楷体_GB2312"/>
                <w:b/>
                <w:bCs/>
                <w:spacing w:val="-6"/>
                <w:sz w:val="28"/>
                <w:szCs w:val="28"/>
                <w:highlight w:val="none"/>
                <w:lang w:val="en-US" w:eastAsia="zh-CN"/>
              </w:rPr>
              <w:t>十七</w:t>
            </w:r>
            <w:r>
              <w:rPr>
                <w:rFonts w:hint="eastAsia" w:ascii="楷体_GB2312" w:hAnsi="楷体_GB2312" w:eastAsia="楷体_GB2312" w:cs="楷体_GB2312"/>
                <w:b/>
                <w:bCs/>
                <w:spacing w:val="-6"/>
                <w:sz w:val="28"/>
                <w:szCs w:val="28"/>
                <w:highlight w:val="none"/>
                <w:lang w:eastAsia="zh-CN"/>
              </w:rPr>
              <w:t>）</w:t>
            </w:r>
            <w:r>
              <w:rPr>
                <w:rFonts w:hint="eastAsia" w:ascii="楷体_GB2312" w:hAnsi="楷体_GB2312" w:eastAsia="楷体_GB2312" w:cs="楷体_GB2312"/>
                <w:b/>
                <w:bCs/>
                <w:spacing w:val="-6"/>
                <w:sz w:val="28"/>
                <w:szCs w:val="28"/>
                <w:highlight w:val="none"/>
              </w:rPr>
              <w:t>加强对监管机构的监督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7" w:hRule="atLeast"/>
        </w:trPr>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45.</w:t>
            </w:r>
            <w:r>
              <w:rPr>
                <w:rFonts w:hint="eastAsia" w:ascii="仿宋_GB2312" w:hAnsi="仿宋_GB2312" w:eastAsia="仿宋_GB2312" w:cs="仿宋_GB2312"/>
                <w:b w:val="0"/>
                <w:bCs w:val="0"/>
                <w:spacing w:val="-6"/>
                <w:sz w:val="28"/>
                <w:szCs w:val="28"/>
                <w:highlight w:val="none"/>
              </w:rPr>
              <w:t>健全对监管机构履行职责的监督机制</w:t>
            </w:r>
          </w:p>
        </w:tc>
        <w:tc>
          <w:tcPr>
            <w:tcW w:w="934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1.</w:t>
            </w:r>
            <w:r>
              <w:rPr>
                <w:rFonts w:hint="eastAsia" w:ascii="仿宋_GB2312" w:hAnsi="仿宋_GB2312" w:eastAsia="仿宋_GB2312" w:cs="仿宋_GB2312"/>
                <w:b w:val="0"/>
                <w:bCs w:val="0"/>
                <w:spacing w:val="-6"/>
                <w:sz w:val="28"/>
                <w:szCs w:val="28"/>
                <w:highlight w:val="none"/>
              </w:rPr>
              <w:t>强化对监管机构依法履行监管职责情况的监督检查，促进监管权力规范透明运行。</w:t>
            </w:r>
            <w:r>
              <w:rPr>
                <w:rFonts w:hint="eastAsia" w:ascii="仿宋_GB2312" w:hAnsi="仿宋_GB2312" w:eastAsia="仿宋_GB2312" w:cs="仿宋_GB2312"/>
                <w:b w:val="0"/>
                <w:bCs w:val="0"/>
                <w:spacing w:val="-6"/>
                <w:sz w:val="28"/>
                <w:szCs w:val="28"/>
                <w:highlight w:val="none"/>
                <w:lang w:val="en-US" w:eastAsia="zh-CN"/>
              </w:rPr>
              <w:t>着力构建横向到边、纵向到底的立体监督防控体系，健全完善党风廉政建设联动工作机制，确保全面从严治党各项工作同频共振、同向发力。围绕许可、审批、执法等权力运行关键环节，有针对性的进行抽查、回访，进一步规范行政行为。对监管机构不作为、乱作为行为依规依纪依法严肃追责问责。</w:t>
            </w:r>
          </w:p>
        </w:tc>
        <w:tc>
          <w:tcPr>
            <w:tcW w:w="248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default" w:ascii="仿宋_GB2312" w:hAnsi="仿宋_GB2312" w:eastAsia="仿宋_GB2312" w:cs="仿宋_GB2312"/>
                <w:b w:val="0"/>
                <w:bCs w:val="0"/>
                <w:spacing w:val="-6"/>
                <w:kern w:val="2"/>
                <w:sz w:val="28"/>
                <w:szCs w:val="28"/>
                <w:highlight w:val="none"/>
                <w:vertAlign w:val="baseline"/>
                <w:lang w:val="en-US" w:eastAsia="zh-CN" w:bidi="ar-SA"/>
              </w:rPr>
            </w:pPr>
            <w:r>
              <w:rPr>
                <w:rFonts w:hint="eastAsia" w:ascii="仿宋_GB2312" w:hAnsi="仿宋_GB2312" w:eastAsia="仿宋_GB2312" w:cs="仿宋_GB2312"/>
                <w:b w:val="0"/>
                <w:bCs w:val="0"/>
                <w:spacing w:val="-6"/>
                <w:sz w:val="28"/>
                <w:szCs w:val="28"/>
                <w:highlight w:val="none"/>
                <w:vertAlign w:val="baseline"/>
                <w:lang w:val="en-US" w:eastAsia="zh-CN"/>
              </w:rPr>
              <w:t>市纪委监委负责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0" w:type="auto"/>
            <w:gridSpan w:val="3"/>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楷体_GB2312" w:hAnsi="楷体_GB2312" w:eastAsia="楷体_GB2312" w:cs="楷体_GB2312"/>
                <w:b/>
                <w:bCs/>
                <w:spacing w:val="-6"/>
                <w:sz w:val="28"/>
                <w:szCs w:val="28"/>
                <w:highlight w:val="none"/>
                <w:lang w:eastAsia="zh-CN"/>
              </w:rPr>
              <w:t>（</w:t>
            </w:r>
            <w:r>
              <w:rPr>
                <w:rFonts w:hint="eastAsia" w:ascii="楷体_GB2312" w:hAnsi="楷体_GB2312" w:eastAsia="楷体_GB2312" w:cs="楷体_GB2312"/>
                <w:b/>
                <w:bCs/>
                <w:spacing w:val="-6"/>
                <w:sz w:val="28"/>
                <w:szCs w:val="28"/>
                <w:highlight w:val="none"/>
                <w:lang w:val="en-US" w:eastAsia="zh-CN"/>
              </w:rPr>
              <w:t>十八</w:t>
            </w:r>
            <w:r>
              <w:rPr>
                <w:rFonts w:hint="eastAsia" w:ascii="楷体_GB2312" w:hAnsi="楷体_GB2312" w:eastAsia="楷体_GB2312" w:cs="楷体_GB2312"/>
                <w:b/>
                <w:bCs/>
                <w:spacing w:val="-6"/>
                <w:sz w:val="28"/>
                <w:szCs w:val="28"/>
                <w:highlight w:val="none"/>
                <w:lang w:eastAsia="zh-CN"/>
              </w:rPr>
              <w:t>）</w:t>
            </w:r>
            <w:r>
              <w:rPr>
                <w:rFonts w:hint="eastAsia" w:ascii="楷体_GB2312" w:hAnsi="楷体_GB2312" w:eastAsia="楷体_GB2312" w:cs="楷体_GB2312"/>
                <w:b/>
                <w:bCs/>
                <w:spacing w:val="-6"/>
                <w:sz w:val="28"/>
                <w:szCs w:val="28"/>
                <w:highlight w:val="none"/>
              </w:rPr>
              <w:t>维护市场安全和稳定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trPr>
        <w:tc>
          <w:tcPr>
            <w:tcW w:w="0" w:type="auto"/>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46.</w:t>
            </w:r>
            <w:r>
              <w:rPr>
                <w:rFonts w:hint="eastAsia" w:ascii="仿宋_GB2312" w:hAnsi="仿宋_GB2312" w:eastAsia="仿宋_GB2312" w:cs="仿宋_GB2312"/>
                <w:b w:val="0"/>
                <w:bCs w:val="0"/>
                <w:spacing w:val="-6"/>
                <w:sz w:val="28"/>
                <w:szCs w:val="28"/>
                <w:highlight w:val="none"/>
              </w:rPr>
              <w:t>完善维护市场安全的体制机制</w:t>
            </w:r>
          </w:p>
        </w:tc>
        <w:tc>
          <w:tcPr>
            <w:tcW w:w="9346" w:type="dxa"/>
            <w:noWrap w:val="0"/>
            <w:vAlign w:val="center"/>
          </w:tcPr>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color w:val="auto"/>
                <w:spacing w:val="-6"/>
                <w:sz w:val="28"/>
                <w:szCs w:val="28"/>
                <w:highlight w:val="none"/>
                <w:vertAlign w:val="baseline"/>
                <w:lang w:val="en-US" w:eastAsia="zh-CN"/>
              </w:rPr>
              <w:t>1.落实防范化解经济领域重大风险机制，定期召开市委财经委会、经济形势分析会，开展防范化解经济领域重大风险分析研判，加强经济运行监测和调度。</w:t>
            </w:r>
          </w:p>
          <w:p>
            <w:pPr>
              <w:pStyle w:val="3"/>
              <w:keepNext w:val="0"/>
              <w:keepLines w:val="0"/>
              <w:pageBreakBefore w:val="0"/>
              <w:kinsoku/>
              <w:wordWrap/>
              <w:overflowPunct/>
              <w:topLinePunct w:val="0"/>
              <w:autoSpaceDE/>
              <w:autoSpaceDN/>
              <w:bidi w:val="0"/>
              <w:adjustRightInd/>
              <w:spacing w:line="512" w:lineRule="exact"/>
              <w:ind w:left="0" w:leftChars="0" w:firstLine="0" w:firstLineChars="0"/>
              <w:jc w:val="both"/>
              <w:textAlignment w:val="auto"/>
              <w:rPr>
                <w:rFonts w:hint="eastAsia"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6"/>
                <w:sz w:val="28"/>
                <w:szCs w:val="28"/>
                <w:highlight w:val="none"/>
                <w:lang w:val="en-US" w:eastAsia="zh-CN"/>
              </w:rPr>
              <w:t>2.</w:t>
            </w:r>
            <w:r>
              <w:rPr>
                <w:rFonts w:hint="eastAsia" w:ascii="仿宋_GB2312" w:hAnsi="仿宋_GB2312" w:eastAsia="仿宋_GB2312" w:cs="仿宋_GB2312"/>
                <w:b w:val="0"/>
                <w:bCs w:val="0"/>
                <w:spacing w:val="-6"/>
                <w:sz w:val="28"/>
                <w:szCs w:val="28"/>
                <w:highlight w:val="none"/>
              </w:rPr>
              <w:t>充分发挥金融监管协作机制作用，持续推深做实金融风险监测评估、央行金融机构评级提升、存款保险等工作，</w:t>
            </w:r>
            <w:r>
              <w:rPr>
                <w:rFonts w:hint="eastAsia" w:ascii="仿宋_GB2312" w:hAnsi="仿宋_GB2312" w:eastAsia="仿宋_GB2312" w:cs="仿宋_GB2312"/>
                <w:b w:val="0"/>
                <w:bCs w:val="0"/>
                <w:spacing w:val="-6"/>
                <w:sz w:val="28"/>
                <w:szCs w:val="28"/>
                <w:highlight w:val="none"/>
                <w:lang w:val="en-US" w:eastAsia="zh-CN"/>
              </w:rPr>
              <w:t>强化工作联动和信息共享，提高发现风险和处置风险的能力，</w:t>
            </w:r>
            <w:r>
              <w:rPr>
                <w:rFonts w:hint="eastAsia" w:ascii="仿宋_GB2312" w:hAnsi="仿宋_GB2312" w:eastAsia="仿宋_GB2312" w:cs="仿宋_GB2312"/>
                <w:b w:val="0"/>
                <w:bCs w:val="0"/>
                <w:spacing w:val="-6"/>
                <w:sz w:val="28"/>
                <w:szCs w:val="28"/>
                <w:highlight w:val="none"/>
              </w:rPr>
              <w:t>开展重大风险隐患分析研判，推动金融风险有力化解，确保金融风险早发现、早报告、早预警、早处置，切实维护区域金融稳定。</w:t>
            </w:r>
          </w:p>
        </w:tc>
        <w:tc>
          <w:tcPr>
            <w:tcW w:w="248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default"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b w:val="0"/>
                <w:bCs w:val="0"/>
                <w:spacing w:val="-11"/>
                <w:sz w:val="28"/>
                <w:szCs w:val="28"/>
                <w:highlight w:val="none"/>
                <w:vertAlign w:val="baseline"/>
                <w:lang w:val="en-US" w:eastAsia="zh-CN"/>
              </w:rPr>
              <w:t>市市场监管局、市发改委、市商务局、市科技局、市金融监管局、人行六安中支、六安银保监分局、市经信局、市财政局、市住建局等按职责分工负责</w:t>
            </w:r>
          </w:p>
        </w:tc>
      </w:tr>
    </w:tbl>
    <w:p>
      <w:pPr>
        <w:pStyle w:val="3"/>
        <w:keepNext w:val="0"/>
        <w:keepLines w:val="0"/>
        <w:pageBreakBefore w:val="0"/>
        <w:kinsoku/>
        <w:wordWrap/>
        <w:overflowPunct/>
        <w:topLinePunct w:val="0"/>
        <w:autoSpaceDN/>
        <w:bidi w:val="0"/>
        <w:adjustRightInd/>
        <w:spacing w:line="572" w:lineRule="exact"/>
        <w:ind w:left="0" w:leftChars="0" w:firstLine="0" w:firstLineChars="0"/>
        <w:jc w:val="both"/>
        <w:textAlignment w:val="auto"/>
        <w:rPr>
          <w:rFonts w:hint="eastAsia" w:ascii="仿宋_GB2312" w:hAnsi="仿宋_GB2312" w:eastAsia="仿宋_GB2312" w:cs="仿宋_GB2312"/>
          <w:sz w:val="32"/>
          <w:szCs w:val="32"/>
          <w:lang w:eastAsia="zh-CN"/>
        </w:rPr>
      </w:pPr>
    </w:p>
    <w:sectPr>
      <w:pgSz w:w="16838" w:h="11906" w:orient="landscape"/>
      <w:pgMar w:top="1417" w:right="1383" w:bottom="1304" w:left="138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B6C99"/>
    <w:multiLevelType w:val="singleLevel"/>
    <w:tmpl w:val="8A1B6C99"/>
    <w:lvl w:ilvl="0" w:tentative="0">
      <w:start w:val="1"/>
      <w:numFmt w:val="decimal"/>
      <w:lvlText w:val="%1."/>
      <w:lvlJc w:val="left"/>
      <w:pPr>
        <w:tabs>
          <w:tab w:val="left" w:pos="312"/>
        </w:tabs>
      </w:pPr>
    </w:lvl>
  </w:abstractNum>
  <w:abstractNum w:abstractNumId="1">
    <w:nsid w:val="D42144D1"/>
    <w:multiLevelType w:val="singleLevel"/>
    <w:tmpl w:val="D42144D1"/>
    <w:lvl w:ilvl="0" w:tentative="0">
      <w:start w:val="1"/>
      <w:numFmt w:val="decimal"/>
      <w:lvlText w:val="%1."/>
      <w:lvlJc w:val="left"/>
      <w:pPr>
        <w:tabs>
          <w:tab w:val="left" w:pos="312"/>
        </w:tabs>
      </w:pPr>
    </w:lvl>
  </w:abstractNum>
  <w:abstractNum w:abstractNumId="2">
    <w:nsid w:val="E17E6712"/>
    <w:multiLevelType w:val="singleLevel"/>
    <w:tmpl w:val="E17E6712"/>
    <w:lvl w:ilvl="0" w:tentative="0">
      <w:start w:val="1"/>
      <w:numFmt w:val="decimal"/>
      <w:lvlText w:val="%1."/>
      <w:lvlJc w:val="left"/>
      <w:pPr>
        <w:tabs>
          <w:tab w:val="left" w:pos="312"/>
        </w:tabs>
      </w:pPr>
    </w:lvl>
  </w:abstractNum>
  <w:abstractNum w:abstractNumId="3">
    <w:nsid w:val="7DA2F34D"/>
    <w:multiLevelType w:val="singleLevel"/>
    <w:tmpl w:val="7DA2F34D"/>
    <w:lvl w:ilvl="0" w:tentative="0">
      <w:start w:val="1"/>
      <w:numFmt w:val="decimal"/>
      <w:lvlText w:val="%1."/>
      <w:lvlJc w:val="left"/>
      <w:pPr>
        <w:tabs>
          <w:tab w:val="left" w:pos="312"/>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4NzU1MDdkODljNjgwNjk0MzNmODg3OWYyOGQyNWYifQ=="/>
  </w:docVars>
  <w:rsids>
    <w:rsidRoot w:val="37BC1725"/>
    <w:rsid w:val="00130380"/>
    <w:rsid w:val="002D269B"/>
    <w:rsid w:val="004D4AEB"/>
    <w:rsid w:val="00936276"/>
    <w:rsid w:val="00A93FE7"/>
    <w:rsid w:val="00CA7EEA"/>
    <w:rsid w:val="010827C0"/>
    <w:rsid w:val="01717C3B"/>
    <w:rsid w:val="01B841E6"/>
    <w:rsid w:val="02A62291"/>
    <w:rsid w:val="02C1531D"/>
    <w:rsid w:val="03934259"/>
    <w:rsid w:val="03C54999"/>
    <w:rsid w:val="03E37F54"/>
    <w:rsid w:val="04194CE4"/>
    <w:rsid w:val="045F6B9B"/>
    <w:rsid w:val="0526590B"/>
    <w:rsid w:val="05685F23"/>
    <w:rsid w:val="0599619C"/>
    <w:rsid w:val="069074E0"/>
    <w:rsid w:val="07034156"/>
    <w:rsid w:val="071271F5"/>
    <w:rsid w:val="075B5D40"/>
    <w:rsid w:val="078B5EF9"/>
    <w:rsid w:val="07DB656F"/>
    <w:rsid w:val="07F15473"/>
    <w:rsid w:val="08220BEC"/>
    <w:rsid w:val="08226517"/>
    <w:rsid w:val="087A37B4"/>
    <w:rsid w:val="08892439"/>
    <w:rsid w:val="08BE19B7"/>
    <w:rsid w:val="08D12032"/>
    <w:rsid w:val="08D221DF"/>
    <w:rsid w:val="08E27D9B"/>
    <w:rsid w:val="09771B66"/>
    <w:rsid w:val="0A73514E"/>
    <w:rsid w:val="0B015CCF"/>
    <w:rsid w:val="0CAA0BCF"/>
    <w:rsid w:val="0CBD3065"/>
    <w:rsid w:val="0CD81BE1"/>
    <w:rsid w:val="0CE57E5A"/>
    <w:rsid w:val="0D5A03EC"/>
    <w:rsid w:val="0D646FD0"/>
    <w:rsid w:val="0D725B91"/>
    <w:rsid w:val="0D884323"/>
    <w:rsid w:val="0DD405FA"/>
    <w:rsid w:val="0E0312D3"/>
    <w:rsid w:val="0E032C8D"/>
    <w:rsid w:val="0E3A5C1C"/>
    <w:rsid w:val="0E634F4C"/>
    <w:rsid w:val="0ECA7307"/>
    <w:rsid w:val="0FD22674"/>
    <w:rsid w:val="107E113A"/>
    <w:rsid w:val="109A0F5B"/>
    <w:rsid w:val="11D34725"/>
    <w:rsid w:val="12D40754"/>
    <w:rsid w:val="136441CE"/>
    <w:rsid w:val="138F0B1F"/>
    <w:rsid w:val="13F91BDF"/>
    <w:rsid w:val="141554C8"/>
    <w:rsid w:val="141C7212"/>
    <w:rsid w:val="144705DE"/>
    <w:rsid w:val="1462322D"/>
    <w:rsid w:val="146D70B2"/>
    <w:rsid w:val="148461AA"/>
    <w:rsid w:val="14EA425F"/>
    <w:rsid w:val="15475B55"/>
    <w:rsid w:val="159D0AD4"/>
    <w:rsid w:val="160752E5"/>
    <w:rsid w:val="16A82624"/>
    <w:rsid w:val="16C83E57"/>
    <w:rsid w:val="16E44C4A"/>
    <w:rsid w:val="175D340E"/>
    <w:rsid w:val="177B3894"/>
    <w:rsid w:val="17AC4789"/>
    <w:rsid w:val="17B30BF8"/>
    <w:rsid w:val="17FD5746"/>
    <w:rsid w:val="17FF6273"/>
    <w:rsid w:val="18511F7B"/>
    <w:rsid w:val="18602A8A"/>
    <w:rsid w:val="18694035"/>
    <w:rsid w:val="186D46D8"/>
    <w:rsid w:val="18A94431"/>
    <w:rsid w:val="196D36B1"/>
    <w:rsid w:val="19EC2827"/>
    <w:rsid w:val="1A3D6036"/>
    <w:rsid w:val="1A7C5990"/>
    <w:rsid w:val="1B4D485A"/>
    <w:rsid w:val="1B5C45FF"/>
    <w:rsid w:val="1C2F10F1"/>
    <w:rsid w:val="1CA15BC2"/>
    <w:rsid w:val="1CE75717"/>
    <w:rsid w:val="1CEF0117"/>
    <w:rsid w:val="1D72307A"/>
    <w:rsid w:val="1DA53129"/>
    <w:rsid w:val="1DB16262"/>
    <w:rsid w:val="1DC67833"/>
    <w:rsid w:val="1E0F3692"/>
    <w:rsid w:val="1E403142"/>
    <w:rsid w:val="1EB31B66"/>
    <w:rsid w:val="1F2952CA"/>
    <w:rsid w:val="1F745799"/>
    <w:rsid w:val="1FD6525C"/>
    <w:rsid w:val="20166850"/>
    <w:rsid w:val="2061790D"/>
    <w:rsid w:val="20855784"/>
    <w:rsid w:val="20F372F7"/>
    <w:rsid w:val="216059B1"/>
    <w:rsid w:val="21824023"/>
    <w:rsid w:val="21955589"/>
    <w:rsid w:val="22363451"/>
    <w:rsid w:val="225D0766"/>
    <w:rsid w:val="22D327D6"/>
    <w:rsid w:val="2312511C"/>
    <w:rsid w:val="232836D2"/>
    <w:rsid w:val="23A93537"/>
    <w:rsid w:val="23B00D6A"/>
    <w:rsid w:val="2452597D"/>
    <w:rsid w:val="24C01874"/>
    <w:rsid w:val="254B3330"/>
    <w:rsid w:val="25EE0662"/>
    <w:rsid w:val="26BE72FA"/>
    <w:rsid w:val="26F471BF"/>
    <w:rsid w:val="27B36B06"/>
    <w:rsid w:val="27DF5779"/>
    <w:rsid w:val="28735B5C"/>
    <w:rsid w:val="28A65224"/>
    <w:rsid w:val="28F90ABD"/>
    <w:rsid w:val="294E0E09"/>
    <w:rsid w:val="29AF561F"/>
    <w:rsid w:val="29DD6F6D"/>
    <w:rsid w:val="2ABC2ADD"/>
    <w:rsid w:val="2B165956"/>
    <w:rsid w:val="2B4C1378"/>
    <w:rsid w:val="2BAF7B59"/>
    <w:rsid w:val="2BBD471E"/>
    <w:rsid w:val="2D1B3B7E"/>
    <w:rsid w:val="2E443E5D"/>
    <w:rsid w:val="2ED55B28"/>
    <w:rsid w:val="2F67545E"/>
    <w:rsid w:val="30843362"/>
    <w:rsid w:val="30B9255C"/>
    <w:rsid w:val="318F3DA3"/>
    <w:rsid w:val="31905D36"/>
    <w:rsid w:val="31C0634F"/>
    <w:rsid w:val="31D00412"/>
    <w:rsid w:val="32851613"/>
    <w:rsid w:val="33062754"/>
    <w:rsid w:val="332130EA"/>
    <w:rsid w:val="33920A53"/>
    <w:rsid w:val="33B0178C"/>
    <w:rsid w:val="33D242E9"/>
    <w:rsid w:val="34A04A94"/>
    <w:rsid w:val="34D153D7"/>
    <w:rsid w:val="351A24E7"/>
    <w:rsid w:val="35C6441D"/>
    <w:rsid w:val="35EA1EB9"/>
    <w:rsid w:val="3608233F"/>
    <w:rsid w:val="364C4922"/>
    <w:rsid w:val="36A24542"/>
    <w:rsid w:val="37701206"/>
    <w:rsid w:val="37BC1725"/>
    <w:rsid w:val="37F05781"/>
    <w:rsid w:val="38084878"/>
    <w:rsid w:val="384A30E3"/>
    <w:rsid w:val="387243E8"/>
    <w:rsid w:val="38F96FA8"/>
    <w:rsid w:val="39365415"/>
    <w:rsid w:val="39CB382F"/>
    <w:rsid w:val="3A5A5133"/>
    <w:rsid w:val="3A616ADF"/>
    <w:rsid w:val="3A6A35C8"/>
    <w:rsid w:val="3A9462A2"/>
    <w:rsid w:val="3B007A89"/>
    <w:rsid w:val="3B2B0521"/>
    <w:rsid w:val="3B8F00A5"/>
    <w:rsid w:val="3BAC188F"/>
    <w:rsid w:val="3C4C02AC"/>
    <w:rsid w:val="3C683B0B"/>
    <w:rsid w:val="3C9D5278"/>
    <w:rsid w:val="3CBC20D5"/>
    <w:rsid w:val="3CE21B3C"/>
    <w:rsid w:val="3D504E6F"/>
    <w:rsid w:val="3DFB0F8D"/>
    <w:rsid w:val="3E09759C"/>
    <w:rsid w:val="3E2C6DE7"/>
    <w:rsid w:val="3E511A06"/>
    <w:rsid w:val="3EA22C06"/>
    <w:rsid w:val="3EB412B6"/>
    <w:rsid w:val="3F051B12"/>
    <w:rsid w:val="3FBA6DA0"/>
    <w:rsid w:val="40583EC3"/>
    <w:rsid w:val="40610FCA"/>
    <w:rsid w:val="40AA3400"/>
    <w:rsid w:val="412F2E76"/>
    <w:rsid w:val="42D762AE"/>
    <w:rsid w:val="430B79A8"/>
    <w:rsid w:val="430D5439"/>
    <w:rsid w:val="43140575"/>
    <w:rsid w:val="448D4A83"/>
    <w:rsid w:val="45191E0F"/>
    <w:rsid w:val="45322F35"/>
    <w:rsid w:val="45335F7D"/>
    <w:rsid w:val="456652D4"/>
    <w:rsid w:val="457C0654"/>
    <w:rsid w:val="4582210E"/>
    <w:rsid w:val="45B428D7"/>
    <w:rsid w:val="45E71F71"/>
    <w:rsid w:val="466B75CE"/>
    <w:rsid w:val="46BF2EEE"/>
    <w:rsid w:val="470703F1"/>
    <w:rsid w:val="47317C5F"/>
    <w:rsid w:val="47892A29"/>
    <w:rsid w:val="47F646ED"/>
    <w:rsid w:val="480706DF"/>
    <w:rsid w:val="488E0DCA"/>
    <w:rsid w:val="488E7D1A"/>
    <w:rsid w:val="48FD1AAC"/>
    <w:rsid w:val="4950607F"/>
    <w:rsid w:val="49A5461D"/>
    <w:rsid w:val="49C65387"/>
    <w:rsid w:val="4A450144"/>
    <w:rsid w:val="4A552E74"/>
    <w:rsid w:val="4A733E0A"/>
    <w:rsid w:val="4A950118"/>
    <w:rsid w:val="4ADA20A4"/>
    <w:rsid w:val="4ADD3943"/>
    <w:rsid w:val="4AE61433"/>
    <w:rsid w:val="4B032C7E"/>
    <w:rsid w:val="4B06733D"/>
    <w:rsid w:val="4B313C8F"/>
    <w:rsid w:val="4B7F592B"/>
    <w:rsid w:val="4B906C07"/>
    <w:rsid w:val="4BB74194"/>
    <w:rsid w:val="4BC0573E"/>
    <w:rsid w:val="4C3C0B3D"/>
    <w:rsid w:val="4C6A13A1"/>
    <w:rsid w:val="4CAE388B"/>
    <w:rsid w:val="4D185106"/>
    <w:rsid w:val="4D700A9E"/>
    <w:rsid w:val="4EDE5EDB"/>
    <w:rsid w:val="4EE71CFB"/>
    <w:rsid w:val="4EF10E5A"/>
    <w:rsid w:val="4EF84337"/>
    <w:rsid w:val="4F2D651C"/>
    <w:rsid w:val="4F5C39D0"/>
    <w:rsid w:val="4F691C49"/>
    <w:rsid w:val="4F781E8C"/>
    <w:rsid w:val="4F8C3B89"/>
    <w:rsid w:val="4F90765D"/>
    <w:rsid w:val="4F93316A"/>
    <w:rsid w:val="4FC14273"/>
    <w:rsid w:val="4FF37764"/>
    <w:rsid w:val="500100D3"/>
    <w:rsid w:val="50B415EA"/>
    <w:rsid w:val="50C233F5"/>
    <w:rsid w:val="51F03348"/>
    <w:rsid w:val="52896A02"/>
    <w:rsid w:val="52FA61D9"/>
    <w:rsid w:val="537209A5"/>
    <w:rsid w:val="53C27B7A"/>
    <w:rsid w:val="53EC4BF7"/>
    <w:rsid w:val="54917826"/>
    <w:rsid w:val="549239F0"/>
    <w:rsid w:val="54A0435F"/>
    <w:rsid w:val="54AB4C46"/>
    <w:rsid w:val="54C067AF"/>
    <w:rsid w:val="55055F70"/>
    <w:rsid w:val="55BB2AD2"/>
    <w:rsid w:val="563B3D44"/>
    <w:rsid w:val="56486BF8"/>
    <w:rsid w:val="56660C90"/>
    <w:rsid w:val="56811F6E"/>
    <w:rsid w:val="56815584"/>
    <w:rsid w:val="56D83211"/>
    <w:rsid w:val="56F664B8"/>
    <w:rsid w:val="58180B14"/>
    <w:rsid w:val="58387355"/>
    <w:rsid w:val="585F1E3B"/>
    <w:rsid w:val="58DE7204"/>
    <w:rsid w:val="58DF1A4B"/>
    <w:rsid w:val="58F033DB"/>
    <w:rsid w:val="591E1CF6"/>
    <w:rsid w:val="59486D73"/>
    <w:rsid w:val="59AF5437"/>
    <w:rsid w:val="59B111B0"/>
    <w:rsid w:val="59E97F18"/>
    <w:rsid w:val="5A9C7376"/>
    <w:rsid w:val="5AE1122D"/>
    <w:rsid w:val="5BAD062F"/>
    <w:rsid w:val="5BB12283"/>
    <w:rsid w:val="5BB27DF8"/>
    <w:rsid w:val="5C1967A5"/>
    <w:rsid w:val="5C78363C"/>
    <w:rsid w:val="5C7E485A"/>
    <w:rsid w:val="5CA17555"/>
    <w:rsid w:val="5CB729B4"/>
    <w:rsid w:val="5CC6692D"/>
    <w:rsid w:val="5D0D455B"/>
    <w:rsid w:val="5D121B72"/>
    <w:rsid w:val="5D8277EF"/>
    <w:rsid w:val="5E525F9E"/>
    <w:rsid w:val="5F313E05"/>
    <w:rsid w:val="5FDF3861"/>
    <w:rsid w:val="61323845"/>
    <w:rsid w:val="617E5117"/>
    <w:rsid w:val="618D5FBE"/>
    <w:rsid w:val="62161091"/>
    <w:rsid w:val="62600BCB"/>
    <w:rsid w:val="627E7362"/>
    <w:rsid w:val="62877F8A"/>
    <w:rsid w:val="62DA4EE0"/>
    <w:rsid w:val="63096226"/>
    <w:rsid w:val="63534C92"/>
    <w:rsid w:val="63F778CD"/>
    <w:rsid w:val="64BE613B"/>
    <w:rsid w:val="64FF0C2E"/>
    <w:rsid w:val="651144BD"/>
    <w:rsid w:val="65243AC5"/>
    <w:rsid w:val="65DB7308"/>
    <w:rsid w:val="660B1854"/>
    <w:rsid w:val="663568D1"/>
    <w:rsid w:val="66B4284B"/>
    <w:rsid w:val="676236F6"/>
    <w:rsid w:val="683821E8"/>
    <w:rsid w:val="68B57855"/>
    <w:rsid w:val="68BC1201"/>
    <w:rsid w:val="68EF720B"/>
    <w:rsid w:val="697D0493"/>
    <w:rsid w:val="6A154A4F"/>
    <w:rsid w:val="6A507835"/>
    <w:rsid w:val="6B2B3DFF"/>
    <w:rsid w:val="6C382C77"/>
    <w:rsid w:val="6C9C1458"/>
    <w:rsid w:val="6D7B222A"/>
    <w:rsid w:val="6D844A0C"/>
    <w:rsid w:val="6D9B526C"/>
    <w:rsid w:val="6E05713B"/>
    <w:rsid w:val="6E31797E"/>
    <w:rsid w:val="6E6B10E2"/>
    <w:rsid w:val="6EB56801"/>
    <w:rsid w:val="6EC64279"/>
    <w:rsid w:val="6F03131A"/>
    <w:rsid w:val="6F21072E"/>
    <w:rsid w:val="6F3239AE"/>
    <w:rsid w:val="6FD23C51"/>
    <w:rsid w:val="6FEF5D43"/>
    <w:rsid w:val="70057314"/>
    <w:rsid w:val="701D465E"/>
    <w:rsid w:val="70787AE6"/>
    <w:rsid w:val="70CB40BA"/>
    <w:rsid w:val="70FF1FB5"/>
    <w:rsid w:val="71571203"/>
    <w:rsid w:val="717D279B"/>
    <w:rsid w:val="72035AD5"/>
    <w:rsid w:val="725B321B"/>
    <w:rsid w:val="72D10620"/>
    <w:rsid w:val="72EC0317"/>
    <w:rsid w:val="73864413"/>
    <w:rsid w:val="73AF7CC3"/>
    <w:rsid w:val="74031DBD"/>
    <w:rsid w:val="740F5855"/>
    <w:rsid w:val="743E5E20"/>
    <w:rsid w:val="746C0790"/>
    <w:rsid w:val="74B1005D"/>
    <w:rsid w:val="75047B9A"/>
    <w:rsid w:val="756D1BE3"/>
    <w:rsid w:val="75B776F6"/>
    <w:rsid w:val="75F714AD"/>
    <w:rsid w:val="762B1157"/>
    <w:rsid w:val="776112D4"/>
    <w:rsid w:val="785540F6"/>
    <w:rsid w:val="7866291A"/>
    <w:rsid w:val="787119EB"/>
    <w:rsid w:val="78C3206F"/>
    <w:rsid w:val="78E201F2"/>
    <w:rsid w:val="78E8335C"/>
    <w:rsid w:val="799136BA"/>
    <w:rsid w:val="79EA1ADF"/>
    <w:rsid w:val="7A3F62BF"/>
    <w:rsid w:val="7A5275FA"/>
    <w:rsid w:val="7B191EC6"/>
    <w:rsid w:val="7B2C578C"/>
    <w:rsid w:val="7B71191C"/>
    <w:rsid w:val="7C0861C2"/>
    <w:rsid w:val="7C1A4147"/>
    <w:rsid w:val="7C4E5B9F"/>
    <w:rsid w:val="7C56738F"/>
    <w:rsid w:val="7CC40AA1"/>
    <w:rsid w:val="7CE309DD"/>
    <w:rsid w:val="7CE65DD7"/>
    <w:rsid w:val="7CEFBCB0"/>
    <w:rsid w:val="7D1964E9"/>
    <w:rsid w:val="7D24527D"/>
    <w:rsid w:val="7D515947"/>
    <w:rsid w:val="7D7004C3"/>
    <w:rsid w:val="7E046E5D"/>
    <w:rsid w:val="7E7B3E16"/>
    <w:rsid w:val="7FCC2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Indent"/>
    <w:basedOn w:val="1"/>
    <w:qFormat/>
    <w:uiPriority w:val="0"/>
    <w:pPr>
      <w:ind w:firstLine="420" w:firstLineChars="200"/>
    </w:pPr>
    <w:rPr>
      <w:rFonts w:ascii="Calibri" w:hAnsi="Calibri" w:eastAsia="宋体" w:cs="Times New Roman"/>
      <w:szCs w:val="22"/>
    </w:rPr>
  </w:style>
  <w:style w:type="paragraph" w:styleId="4">
    <w:name w:val="Body Text Indent"/>
    <w:basedOn w:val="1"/>
    <w:qFormat/>
    <w:uiPriority w:val="0"/>
    <w:pPr>
      <w:spacing w:after="120"/>
      <w:ind w:left="420" w:leftChars="200"/>
    </w:p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99"/>
    <w:pPr>
      <w:jc w:val="left"/>
    </w:pPr>
    <w:rPr>
      <w:rFonts w:ascii="Calibri" w:hAnsi="Calibri" w:eastAsia="宋体" w:cs="Times New Roman"/>
      <w:kern w:val="0"/>
      <w:sz w:val="24"/>
      <w:szCs w:val="24"/>
    </w:rPr>
  </w:style>
  <w:style w:type="paragraph" w:styleId="9">
    <w:name w:val="Body Text First Indent 2"/>
    <w:basedOn w:val="4"/>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12998</Words>
  <Characters>13232</Characters>
  <Lines>0</Lines>
  <Paragraphs>0</Paragraphs>
  <TotalTime>11</TotalTime>
  <ScaleCrop>false</ScaleCrop>
  <LinksUpToDate>false</LinksUpToDate>
  <CharactersWithSpaces>13234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2022-04-20T10:22:00Z</dcterms:created>
  <dc:creator>小小乳酸菌</dc:creator>
  <cp:lastModifiedBy>小小乳酸菌</cp:lastModifiedBy>
  <dcterms:modified xsi:type="dcterms:W3CDTF">2023-01-03T07:58:44Z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BB65785A613E4EDB930A1D1FC8499B23</vt:lpwstr>
  </property>
</Properties>
</file>