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576" w:lineRule="exact"/>
        <w:jc w:val="center"/>
        <w:textAlignment w:val="baseline"/>
        <w:rPr>
          <w:rFonts w:hint="eastAsia" w:ascii="Times New Roman" w:hAnsi="Times New Roman" w:eastAsia="方正小标宋简体"/>
          <w:b w:val="0"/>
          <w:i w:val="0"/>
          <w:caps w:val="0"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/>
          <w:b w:val="0"/>
          <w:i w:val="0"/>
          <w:caps w:val="0"/>
          <w:color w:val="000000" w:themeColor="text1"/>
          <w:spacing w:val="0"/>
          <w:w w:val="10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六安市公益性</w:t>
      </w:r>
      <w:r>
        <w:rPr>
          <w:rFonts w:hint="eastAsia" w:ascii="Times New Roman" w:hAnsi="Times New Roman" w:eastAsia="方正小标宋简体"/>
          <w:b w:val="0"/>
          <w:i w:val="0"/>
          <w:caps w:val="0"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  <w:t>公墓管理办法</w:t>
      </w:r>
    </w:p>
    <w:p>
      <w:pPr>
        <w:snapToGrid w:val="0"/>
        <w:spacing w:before="0" w:beforeAutospacing="0" w:after="0" w:afterAutospacing="0" w:line="576" w:lineRule="exact"/>
        <w:jc w:val="center"/>
        <w:textAlignment w:val="baseline"/>
        <w:rPr>
          <w:rFonts w:hint="eastAsia" w:ascii="楷体_GB2312" w:hAnsi="楷体_GB2312" w:eastAsia="楷体_GB2312" w:cs="楷体_GB2312"/>
          <w:b w:val="0"/>
          <w:i w:val="0"/>
          <w:caps w:val="0"/>
          <w:color w:val="000000" w:themeColor="text1"/>
          <w:spacing w:val="0"/>
          <w:w w:val="10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 w:themeColor="text1"/>
          <w:spacing w:val="0"/>
          <w:w w:val="10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（征求意见稿）</w:t>
      </w:r>
    </w:p>
    <w:p>
      <w:pPr>
        <w:snapToGrid w:val="0"/>
        <w:spacing w:before="0" w:beforeAutospacing="0" w:after="0" w:afterAutospacing="0" w:line="576" w:lineRule="exact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20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napToGrid w:val="0"/>
        <w:spacing w:before="0" w:beforeAutospacing="0" w:after="0" w:afterAutospacing="0" w:line="576" w:lineRule="exact"/>
        <w:ind w:firstLine="643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i w:val="0"/>
          <w:caps w:val="0"/>
          <w:color w:val="auto"/>
          <w:spacing w:val="0"/>
          <w:w w:val="100"/>
          <w:sz w:val="32"/>
          <w:lang w:eastAsia="zh-CN"/>
        </w:rPr>
        <w:t>第一条</w:t>
      </w:r>
      <w:r>
        <w:rPr>
          <w:rFonts w:hint="eastAsia" w:ascii="仿宋_GB2312" w:eastAsia="仿宋_GB2312"/>
          <w:b/>
          <w:i w:val="0"/>
          <w:caps w:val="0"/>
          <w:color w:val="auto"/>
          <w:spacing w:val="0"/>
          <w:w w:val="100"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</w:rPr>
        <w:t>为加强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lang w:eastAsia="zh-CN"/>
        </w:rPr>
        <w:t>对公益性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</w:rPr>
        <w:t>公墓管理，根据国务院《殡葬管理条例》</w:t>
      </w:r>
      <w:r>
        <w:rPr>
          <w:rFonts w:hint="eastAsia" w:ascii="仿宋_GB2312" w:eastAsia="仿宋_GB2312"/>
          <w:b w:val="0"/>
          <w:i w:val="0"/>
          <w:caps w:val="0"/>
          <w:strike w:val="0"/>
          <w:dstrike w:val="0"/>
          <w:color w:val="auto"/>
          <w:spacing w:val="0"/>
          <w:w w:val="100"/>
          <w:sz w:val="32"/>
          <w:shd w:val="clear" w:color="auto" w:fill="auto"/>
          <w:lang w:eastAsia="zh-CN"/>
        </w:rPr>
        <w:t>、民政部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</w:rPr>
        <w:t>《公墓管理暂行办法》《安徽省殡葬管理办法》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lang w:eastAsia="zh-CN"/>
        </w:rPr>
        <w:t>等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</w:rPr>
        <w:t>规定，结合我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lang w:eastAsia="zh-CN"/>
        </w:rPr>
        <w:t>市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</w:rPr>
        <w:t>实际，制定本办法。</w:t>
      </w:r>
    </w:p>
    <w:p>
      <w:pPr>
        <w:numPr>
          <w:ilvl w:val="0"/>
          <w:numId w:val="0"/>
        </w:numPr>
        <w:snapToGrid w:val="0"/>
        <w:spacing w:before="0" w:beforeAutospacing="0" w:after="0" w:afterAutospacing="0" w:line="576" w:lineRule="exact"/>
        <w:ind w:firstLine="643" w:firstLineChars="200"/>
        <w:jc w:val="both"/>
        <w:textAlignment w:val="baseline"/>
        <w:rPr>
          <w:rFonts w:ascii="仿宋_GB2312" w:hAnsi="Times New Roman" w:eastAsia="仿宋_GB2312"/>
          <w:b w:val="0"/>
          <w:i w:val="0"/>
          <w:caps w:val="0"/>
          <w:color w:val="auto"/>
          <w:spacing w:val="0"/>
          <w:w w:val="100"/>
          <w:sz w:val="20"/>
        </w:rPr>
      </w:pPr>
      <w:r>
        <w:rPr>
          <w:rFonts w:hint="eastAsia" w:ascii="仿宋_GB2312" w:eastAsia="仿宋_GB2312"/>
          <w:b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>第二条</w:t>
      </w:r>
      <w:r>
        <w:rPr>
          <w:rFonts w:hint="eastAsia"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</w:rPr>
        <w:t>本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lang w:eastAsia="zh-CN"/>
        </w:rPr>
        <w:t>市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</w:rPr>
        <w:t>行政区域内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lang w:eastAsia="zh-CN"/>
        </w:rPr>
        <w:t>公益性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</w:rPr>
        <w:t>公墓的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lang w:eastAsia="zh-CN"/>
        </w:rPr>
        <w:t>规划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</w:rPr>
        <w:t>建设、运营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lang w:eastAsia="zh-CN"/>
        </w:rPr>
        <w:t>服务、监督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</w:rPr>
        <w:t>管理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lang w:eastAsia="zh-CN"/>
        </w:rPr>
        <w:t>等活动，适用本办法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</w:rPr>
        <w:t>国家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lang w:eastAsia="zh-CN"/>
        </w:rPr>
        <w:t>、省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</w:rPr>
        <w:t>对烈士公墓、回民公墓等另有规定的，依照其规定。</w:t>
      </w:r>
    </w:p>
    <w:p>
      <w:pPr>
        <w:numPr>
          <w:ilvl w:val="0"/>
          <w:numId w:val="0"/>
        </w:numPr>
        <w:snapToGrid w:val="0"/>
        <w:spacing w:before="0" w:beforeAutospacing="0" w:after="0" w:afterAutospacing="0" w:line="576" w:lineRule="exact"/>
        <w:ind w:firstLine="643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lang w:eastAsia="zh-CN"/>
        </w:rPr>
      </w:pPr>
      <w:r>
        <w:rPr>
          <w:rFonts w:hint="eastAsia" w:ascii="仿宋_GB2312" w:eastAsia="仿宋_GB2312"/>
          <w:b/>
          <w:i w:val="0"/>
          <w:caps w:val="0"/>
          <w:color w:val="000000" w:themeColor="text1"/>
          <w:spacing w:val="0"/>
          <w:w w:val="100"/>
          <w:sz w:val="32"/>
          <w:lang w:eastAsia="zh-CN"/>
          <w14:textFill>
            <w14:solidFill>
              <w14:schemeClr w14:val="tx1"/>
            </w14:solidFill>
          </w14:textFill>
        </w:rPr>
        <w:t>第三条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</w:rPr>
        <w:t>本办法所称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lang w:eastAsia="zh-CN"/>
        </w:rPr>
        <w:t>公益性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</w:rPr>
        <w:t>公墓是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lang w:eastAsia="zh-CN"/>
        </w:rPr>
        <w:t>指不以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</w:rPr>
        <w:t>营利为目的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lang w:eastAsia="zh-CN"/>
        </w:rPr>
        <w:t>，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</w:rPr>
        <w:t>为居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lang w:eastAsia="zh-CN"/>
        </w:rPr>
        <w:t>（村）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</w:rPr>
        <w:t>民提供安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lang w:eastAsia="zh-CN"/>
        </w:rPr>
        <w:t>葬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</w:rPr>
        <w:t>骨灰或遗体的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lang w:eastAsia="zh-CN"/>
        </w:rPr>
        <w:t>社会公共服务设施。公益性公墓分为农村公益性公墓和城市公益性公墓。</w:t>
      </w:r>
    </w:p>
    <w:p>
      <w:pPr>
        <w:numPr>
          <w:ilvl w:val="0"/>
          <w:numId w:val="0"/>
        </w:numPr>
        <w:snapToGrid w:val="0"/>
        <w:spacing w:before="0" w:beforeAutospacing="0" w:after="0" w:afterAutospacing="0" w:line="576" w:lineRule="exact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highlight w:val="yellow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highlight w:val="none"/>
          <w:lang w:eastAsia="zh-CN"/>
          <w14:textFill>
            <w14:solidFill>
              <w14:schemeClr w14:val="tx1"/>
            </w14:solidFill>
          </w14:textFill>
        </w:rPr>
        <w:t>公墓运营单位是指管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lang w:eastAsia="zh-CN"/>
        </w:rPr>
        <w:t>理公益性公墓的机构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highlight w:val="none"/>
          <w:lang w:eastAsia="zh-CN"/>
          <w14:textFill>
            <w14:solidFill>
              <w14:schemeClr w14:val="tx1"/>
            </w14:solidFill>
          </w14:textFill>
        </w:rPr>
        <w:t>或组织。</w:t>
      </w:r>
    </w:p>
    <w:p>
      <w:pPr>
        <w:numPr>
          <w:ilvl w:val="0"/>
          <w:numId w:val="0"/>
        </w:numPr>
        <w:snapToGrid w:val="0"/>
        <w:spacing w:before="0" w:beforeAutospacing="0" w:after="0" w:afterAutospacing="0" w:line="576" w:lineRule="exact"/>
        <w:ind w:firstLine="643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lang w:eastAsia="zh-CN"/>
        </w:rPr>
      </w:pPr>
      <w:r>
        <w:rPr>
          <w:rFonts w:hint="eastAsia" w:ascii="仿宋_GB2312" w:eastAsia="仿宋_GB2312"/>
          <w:b/>
          <w:bCs/>
          <w:i w:val="0"/>
          <w:caps w:val="0"/>
          <w:color w:val="auto"/>
          <w:spacing w:val="0"/>
          <w:w w:val="100"/>
          <w:sz w:val="32"/>
          <w:lang w:val="en-US" w:eastAsia="zh-CN"/>
        </w:rPr>
        <w:t>第四条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lang w:val="en-US" w:eastAsia="zh-CN"/>
        </w:rPr>
        <w:t xml:space="preserve">  市、县（区）人民政府应当加强对公益性公墓工作的领导，统筹规划、协调推进公墓管理工作，将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lang w:eastAsia="zh-CN"/>
        </w:rPr>
        <w:t>公益性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</w:rPr>
        <w:t>公墓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lang w:eastAsia="zh-CN"/>
        </w:rPr>
        <w:t>建设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</w:rPr>
        <w:t>纳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lang w:eastAsia="zh-CN"/>
        </w:rPr>
        <w:t>入国土空间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</w:rPr>
        <w:t>规划，保障公益性公墓用地，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lang w:eastAsia="zh-CN"/>
        </w:rPr>
        <w:t>工作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</w:rPr>
        <w:t>经费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lang w:eastAsia="zh-CN"/>
        </w:rPr>
        <w:t>纳入财政预算。</w:t>
      </w:r>
    </w:p>
    <w:p>
      <w:pPr>
        <w:numPr>
          <w:ilvl w:val="0"/>
          <w:numId w:val="0"/>
        </w:numPr>
        <w:snapToGrid w:val="0"/>
        <w:spacing w:before="0" w:beforeAutospacing="0" w:after="0" w:afterAutospacing="0" w:line="576" w:lineRule="exact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highlight w:val="none"/>
          <w:lang w:val="en-US" w:eastAsia="zh-CN"/>
        </w:rPr>
      </w:pP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highlight w:val="none"/>
          <w:lang w:val="en-US" w:eastAsia="zh-CN"/>
        </w:rPr>
        <w:t>乡（镇）人民政府、街道办事处在本行政区域内做好公益性公墓的管理工作。</w:t>
      </w:r>
    </w:p>
    <w:p>
      <w:pPr>
        <w:numPr>
          <w:ilvl w:val="0"/>
          <w:numId w:val="0"/>
        </w:numPr>
        <w:snapToGrid w:val="0"/>
        <w:spacing w:before="0" w:beforeAutospacing="0" w:after="0" w:afterAutospacing="0" w:line="576" w:lineRule="exact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highlight w:val="yellow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highlight w:val="none"/>
          <w:lang w:val="en-US" w:eastAsia="zh-CN"/>
        </w:rPr>
        <w:t>居（村）民委员会依法做好公益性公墓相关工作，引导居（村）民将骨灰或遗体入公墓安葬，文明节俭操办丧事。</w:t>
      </w:r>
    </w:p>
    <w:p>
      <w:pPr>
        <w:numPr>
          <w:ilvl w:val="0"/>
          <w:numId w:val="0"/>
        </w:numPr>
        <w:snapToGrid w:val="0"/>
        <w:spacing w:before="0" w:beforeAutospacing="0" w:after="0" w:afterAutospacing="0" w:line="576" w:lineRule="exact"/>
        <w:ind w:firstLine="643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i w:val="0"/>
          <w:caps w:val="0"/>
          <w:color w:val="auto"/>
          <w:spacing w:val="0"/>
          <w:w w:val="100"/>
          <w:sz w:val="32"/>
          <w:lang w:val="en-US" w:eastAsia="zh-CN"/>
        </w:rPr>
        <w:t xml:space="preserve">第五条 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highlight w:val="none"/>
          <w:lang w:val="en-US" w:eastAsia="zh-CN"/>
        </w:rPr>
        <w:t xml:space="preserve"> 市、县（区）民政部门负责本行政区域内公墓管理工作。</w:t>
      </w:r>
    </w:p>
    <w:p>
      <w:pPr>
        <w:snapToGrid w:val="0"/>
        <w:spacing w:before="0" w:beforeAutospacing="0" w:after="0" w:afterAutospacing="0" w:line="576" w:lineRule="exact"/>
        <w:ind w:firstLine="0" w:firstLineChars="0"/>
        <w:jc w:val="both"/>
        <w:textAlignment w:val="baseline"/>
        <w:rPr>
          <w:rFonts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highlight w:val="none"/>
          <w:lang w:val="en-US" w:eastAsia="zh-CN"/>
        </w:rPr>
        <w:t>发展改革部门配合民政部门公益性公墓价格核定、公益性公墓建设规划编制、项目立项等工作；财政部门做好公益性公墓建设的资金保障工作；公安、人社、自然资源和规划、生态环境、应急、林业、市场监管等部门应当按照各自职责，做好公益性公墓管理相关工作。</w:t>
      </w:r>
    </w:p>
    <w:p>
      <w:pPr>
        <w:numPr>
          <w:ilvl w:val="0"/>
          <w:numId w:val="0"/>
        </w:numPr>
        <w:snapToGrid w:val="0"/>
        <w:spacing w:before="0" w:beforeAutospacing="0" w:after="0" w:afterAutospacing="0" w:line="576" w:lineRule="exact"/>
        <w:ind w:firstLine="643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bCs/>
          <w:i w:val="0"/>
          <w:caps w:val="0"/>
          <w:color w:val="000000" w:themeColor="text1"/>
          <w:spacing w:val="0"/>
          <w:w w:val="100"/>
          <w:sz w:val="32"/>
          <w:lang w:val="en-US" w:eastAsia="zh-CN"/>
          <w14:textFill>
            <w14:solidFill>
              <w14:schemeClr w14:val="tx1"/>
            </w14:solidFill>
          </w14:textFill>
        </w:rPr>
        <w:t>第六条</w:t>
      </w:r>
      <w:r>
        <w:rPr>
          <w:rFonts w:hint="eastAsia"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>县（区）民政部门应当会同自然资源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lang w:eastAsia="zh-CN"/>
          <w14:textFill>
            <w14:solidFill>
              <w14:schemeClr w14:val="tx1"/>
            </w14:solidFill>
          </w14:textFill>
        </w:rPr>
        <w:t>和规划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>等有关部门，编制公益性公墓建设规划，经本级人民政府批准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lang w:eastAsia="zh-CN"/>
          <w14:textFill>
            <w14:solidFill>
              <w14:schemeClr w14:val="tx1"/>
            </w14:solidFill>
          </w14:textFill>
        </w:rPr>
        <w:t>后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>，报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>民政部门备案。</w:t>
      </w:r>
    </w:p>
    <w:p>
      <w:pPr>
        <w:numPr>
          <w:ilvl w:val="0"/>
          <w:numId w:val="0"/>
        </w:numPr>
        <w:snapToGrid w:val="0"/>
        <w:spacing w:before="0" w:beforeAutospacing="0" w:after="0" w:afterAutospacing="0" w:line="576" w:lineRule="exact"/>
        <w:ind w:firstLine="643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i w:val="0"/>
          <w:caps w:val="0"/>
          <w:color w:val="auto"/>
          <w:spacing w:val="0"/>
          <w:w w:val="100"/>
          <w:sz w:val="32"/>
          <w:lang w:eastAsia="zh-CN"/>
        </w:rPr>
        <w:t>第七条</w:t>
      </w:r>
      <w:r>
        <w:rPr>
          <w:rFonts w:hint="eastAsia" w:ascii="仿宋_GB2312" w:eastAsia="仿宋_GB2312"/>
          <w:b w:val="0"/>
          <w:i w:val="0"/>
          <w:caps w:val="0"/>
          <w:color w:val="FF0000"/>
          <w:spacing w:val="0"/>
          <w:w w:val="100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lang w:val="en-US" w:eastAsia="zh-CN"/>
          <w14:textFill>
            <w14:solidFill>
              <w14:schemeClr w14:val="tx1"/>
            </w14:solidFill>
          </w14:textFill>
        </w:rPr>
        <w:t>农村公益性公墓由乡镇人民政府和基层自治组织负责建设。城市公益性公墓由县（区）人民政府负责建设。</w:t>
      </w:r>
    </w:p>
    <w:p>
      <w:pPr>
        <w:spacing w:line="600" w:lineRule="atLeast"/>
        <w:ind w:firstLine="640" w:firstLineChars="200"/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lang w:val="en-US" w:eastAsia="zh-CN"/>
          <w14:textFill>
            <w14:solidFill>
              <w14:schemeClr w14:val="tx1"/>
            </w14:solidFill>
          </w14:textFill>
        </w:rPr>
        <w:t>公墓布局应当方便群众安葬骨灰和祭扫，满足多层次安葬需求。</w:t>
      </w:r>
      <w:r>
        <w:rPr>
          <w:rFonts w:ascii="宋体" w:hAnsi="宋体" w:eastAsia="宋体" w:cs="宋体"/>
          <w:color w:val="000000"/>
          <w:sz w:val="27"/>
          <w:szCs w:val="27"/>
        </w:rPr>
        <w:fldChar w:fldCharType="begin"/>
      </w:r>
      <w:r>
        <w:rPr>
          <w:rFonts w:ascii="宋体" w:hAnsi="宋体" w:eastAsia="宋体" w:cs="宋体"/>
          <w:color w:val="000000"/>
          <w:sz w:val="27"/>
          <w:szCs w:val="27"/>
        </w:rPr>
        <w:instrText xml:space="preserve"> HYPERLINK "javascript:void(0);" </w:instrText>
      </w:r>
      <w:r>
        <w:rPr>
          <w:rFonts w:ascii="宋体" w:hAnsi="宋体" w:eastAsia="宋体" w:cs="宋体"/>
          <w:color w:val="000000"/>
          <w:sz w:val="27"/>
          <w:szCs w:val="27"/>
        </w:rPr>
        <w:fldChar w:fldCharType="separate"/>
      </w:r>
      <w:bookmarkStart w:id="0" w:name="tiao6_kuan1"/>
      <w:r>
        <w:rPr>
          <w:rFonts w:ascii="宋体" w:hAnsi="宋体" w:eastAsia="宋体" w:cs="宋体"/>
          <w:color w:val="000000"/>
          <w:sz w:val="27"/>
          <w:szCs w:val="27"/>
        </w:rPr>
        <w:fldChar w:fldCharType="end"/>
      </w:r>
      <w:bookmarkEnd w:id="0"/>
    </w:p>
    <w:p>
      <w:pPr>
        <w:numPr>
          <w:numId w:val="0"/>
        </w:numPr>
        <w:snapToGrid w:val="0"/>
        <w:spacing w:before="0" w:beforeAutospacing="0" w:after="0" w:afterAutospacing="0" w:line="576" w:lineRule="exact"/>
        <w:ind w:firstLine="643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highlight w:val="none"/>
        </w:rPr>
      </w:pPr>
      <w:r>
        <w:rPr>
          <w:rFonts w:hint="eastAsia" w:ascii="仿宋_GB2312" w:eastAsia="仿宋_GB2312"/>
          <w:b/>
          <w:bCs w:val="0"/>
          <w:i w:val="0"/>
          <w:caps w:val="0"/>
          <w:color w:val="auto"/>
          <w:spacing w:val="0"/>
          <w:w w:val="100"/>
          <w:sz w:val="32"/>
          <w:highlight w:val="none"/>
          <w:lang w:val="en-US" w:eastAsia="zh-CN"/>
        </w:rPr>
        <w:t>第八条</w:t>
      </w:r>
      <w:r>
        <w:rPr>
          <w:rFonts w:hint="eastAsia" w:ascii="仿宋_GB2312" w:eastAsia="仿宋_GB2312"/>
          <w:b w:val="0"/>
          <w:bCs/>
          <w:i w:val="0"/>
          <w:caps w:val="0"/>
          <w:color w:val="auto"/>
          <w:spacing w:val="0"/>
          <w:w w:val="100"/>
          <w:sz w:val="32"/>
          <w:highlight w:val="none"/>
          <w:lang w:val="en-US" w:eastAsia="zh-CN"/>
        </w:rPr>
        <w:t xml:space="preserve">  基层自治组织负责建设的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highlight w:val="none"/>
          <w:lang w:eastAsia="zh-CN"/>
        </w:rPr>
        <w:t>农村公益性公墓经乡镇人民政府审核同意后，报县（区）民政部门审批；乡镇人民政府负责建设的农村公益性公墓，由其提出建设方案，报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highlight w:val="none"/>
        </w:rPr>
        <w:t>县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highlight w:val="none"/>
          <w:lang w:eastAsia="zh-CN"/>
        </w:rPr>
        <w:t>（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highlight w:val="none"/>
        </w:rPr>
        <w:t>区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highlight w:val="none"/>
          <w:lang w:eastAsia="zh-CN"/>
        </w:rPr>
        <w:t>）民政部门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highlight w:val="none"/>
        </w:rPr>
        <w:t>审批。</w:t>
      </w:r>
      <w:r>
        <w:rPr>
          <w:rFonts w:hint="eastAsia" w:ascii="仿宋_GB2312" w:eastAsia="仿宋_GB2312"/>
          <w:b w:val="0"/>
          <w:bCs/>
          <w:i w:val="0"/>
          <w:caps w:val="0"/>
          <w:color w:val="auto"/>
          <w:spacing w:val="0"/>
          <w:w w:val="100"/>
          <w:sz w:val="32"/>
          <w:highlight w:val="none"/>
          <w:lang w:eastAsia="zh-CN"/>
        </w:rPr>
        <w:t>城市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highlight w:val="none"/>
        </w:rPr>
        <w:t>公益性公墓由县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highlight w:val="none"/>
          <w:lang w:eastAsia="zh-CN"/>
        </w:rPr>
        <w:t>（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highlight w:val="none"/>
        </w:rPr>
        <w:t>区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highlight w:val="none"/>
          <w:lang w:eastAsia="zh-CN"/>
        </w:rPr>
        <w:t>）民政部门提出建设方案，报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highlight w:val="none"/>
        </w:rPr>
        <w:t>市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highlight w:val="none"/>
          <w:lang w:eastAsia="zh-CN"/>
        </w:rPr>
        <w:t>民政部门审批，并报省民政部门备案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highlight w:val="none"/>
        </w:rPr>
        <w:t>。</w:t>
      </w:r>
    </w:p>
    <w:p>
      <w:pPr>
        <w:numPr>
          <w:numId w:val="0"/>
        </w:numPr>
        <w:snapToGrid w:val="0"/>
        <w:spacing w:before="0" w:beforeAutospacing="0" w:after="0" w:afterAutospacing="0" w:line="576" w:lineRule="exact"/>
        <w:ind w:firstLine="643" w:firstLineChars="200"/>
        <w:jc w:val="both"/>
        <w:textAlignment w:val="baseline"/>
        <w:rPr>
          <w:rFonts w:hint="eastAsia" w:ascii="仿宋_GB2312" w:eastAsia="仿宋_GB2312"/>
          <w:b w:val="0"/>
          <w:bCs/>
          <w:i w:val="0"/>
          <w:caps w:val="0"/>
          <w:color w:val="auto"/>
          <w:spacing w:val="0"/>
          <w:w w:val="100"/>
          <w:sz w:val="32"/>
          <w:highlight w:val="none"/>
          <w:lang w:val="en-US" w:eastAsia="zh-CN"/>
        </w:rPr>
      </w:pPr>
      <w:r>
        <w:rPr>
          <w:rFonts w:hint="eastAsia" w:ascii="仿宋_GB2312" w:eastAsia="仿宋_GB2312"/>
          <w:b/>
          <w:bCs w:val="0"/>
          <w:i w:val="0"/>
          <w:caps w:val="0"/>
          <w:color w:val="auto"/>
          <w:spacing w:val="0"/>
          <w:w w:val="100"/>
          <w:sz w:val="32"/>
          <w:highlight w:val="none"/>
          <w:lang w:val="en-US" w:eastAsia="zh-CN"/>
        </w:rPr>
        <w:t>第九条</w:t>
      </w:r>
      <w:r>
        <w:rPr>
          <w:rFonts w:hint="eastAsia" w:ascii="仿宋_GB2312" w:eastAsia="仿宋_GB2312"/>
          <w:b w:val="0"/>
          <w:bCs/>
          <w:i w:val="0"/>
          <w:caps w:val="0"/>
          <w:color w:val="auto"/>
          <w:spacing w:val="0"/>
          <w:w w:val="100"/>
          <w:sz w:val="32"/>
          <w:highlight w:val="none"/>
          <w:lang w:val="en-US" w:eastAsia="zh-CN"/>
        </w:rPr>
        <w:t xml:space="preserve">  建设公益性公墓应提交的材料包括：　　</w:t>
      </w:r>
    </w:p>
    <w:p>
      <w:pPr>
        <w:numPr>
          <w:numId w:val="0"/>
        </w:numPr>
        <w:snapToGrid w:val="0"/>
        <w:spacing w:before="0" w:beforeAutospacing="0" w:after="0" w:afterAutospacing="0" w:line="576" w:lineRule="exact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bCs/>
          <w:i w:val="0"/>
          <w:caps w:val="0"/>
          <w:color w:val="auto"/>
          <w:spacing w:val="0"/>
          <w:w w:val="100"/>
          <w:sz w:val="32"/>
          <w:highlight w:val="none"/>
          <w:lang w:val="en-US" w:eastAsia="zh-CN"/>
        </w:rPr>
      </w:pPr>
      <w:r>
        <w:rPr>
          <w:rFonts w:hint="eastAsia" w:ascii="仿宋_GB2312" w:eastAsia="仿宋_GB2312"/>
          <w:b w:val="0"/>
          <w:bCs/>
          <w:i w:val="0"/>
          <w:caps w:val="0"/>
          <w:color w:val="auto"/>
          <w:spacing w:val="0"/>
          <w:w w:val="100"/>
          <w:sz w:val="32"/>
          <w:highlight w:val="none"/>
          <w:lang w:val="en-US" w:eastAsia="zh-CN"/>
        </w:rPr>
        <w:t xml:space="preserve">（一） 建立公墓的申请报告； </w:t>
      </w:r>
    </w:p>
    <w:p>
      <w:pPr>
        <w:numPr>
          <w:numId w:val="0"/>
        </w:numPr>
        <w:snapToGrid w:val="0"/>
        <w:spacing w:before="0" w:beforeAutospacing="0" w:after="0" w:afterAutospacing="0" w:line="576" w:lineRule="exact"/>
        <w:jc w:val="both"/>
        <w:textAlignment w:val="baseline"/>
        <w:rPr>
          <w:rFonts w:hint="eastAsia" w:ascii="仿宋_GB2312" w:eastAsia="仿宋_GB2312"/>
          <w:b w:val="0"/>
          <w:bCs/>
          <w:i w:val="0"/>
          <w:caps w:val="0"/>
          <w:color w:val="auto"/>
          <w:spacing w:val="0"/>
          <w:w w:val="100"/>
          <w:sz w:val="32"/>
          <w:highlight w:val="none"/>
          <w:lang w:val="en-US" w:eastAsia="zh-CN"/>
        </w:rPr>
      </w:pPr>
      <w:r>
        <w:rPr>
          <w:rFonts w:hint="eastAsia" w:ascii="仿宋_GB2312" w:eastAsia="仿宋_GB2312"/>
          <w:b w:val="0"/>
          <w:bCs/>
          <w:i w:val="0"/>
          <w:caps w:val="0"/>
          <w:color w:val="auto"/>
          <w:spacing w:val="0"/>
          <w:w w:val="100"/>
          <w:sz w:val="32"/>
          <w:highlight w:val="none"/>
          <w:lang w:val="en-US" w:eastAsia="zh-CN"/>
        </w:rPr>
        <w:t>　　（二）自然资源和规划、林业部门审查意见;</w:t>
      </w:r>
    </w:p>
    <w:p>
      <w:pPr>
        <w:numPr>
          <w:numId w:val="0"/>
        </w:numPr>
        <w:snapToGrid w:val="0"/>
        <w:spacing w:before="0" w:beforeAutospacing="0" w:after="0" w:afterAutospacing="0" w:line="576" w:lineRule="exact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bCs/>
          <w:i w:val="0"/>
          <w:caps w:val="0"/>
          <w:color w:val="auto"/>
          <w:spacing w:val="0"/>
          <w:w w:val="100"/>
          <w:sz w:val="32"/>
          <w:highlight w:val="none"/>
          <w:lang w:val="en-US" w:eastAsia="zh-CN"/>
        </w:rPr>
      </w:pPr>
      <w:r>
        <w:rPr>
          <w:rFonts w:hint="eastAsia" w:ascii="仿宋_GB2312" w:eastAsia="仿宋_GB2312"/>
          <w:b w:val="0"/>
          <w:bCs/>
          <w:i w:val="0"/>
          <w:caps w:val="0"/>
          <w:color w:val="auto"/>
          <w:spacing w:val="0"/>
          <w:w w:val="100"/>
          <w:sz w:val="32"/>
          <w:highlight w:val="none"/>
          <w:lang w:val="en-US" w:eastAsia="zh-CN"/>
        </w:rPr>
        <w:t>（三）建立公墓可行性报告；</w:t>
      </w:r>
    </w:p>
    <w:p>
      <w:pPr>
        <w:numPr>
          <w:numId w:val="0"/>
        </w:numPr>
        <w:snapToGrid w:val="0"/>
        <w:spacing w:before="0" w:beforeAutospacing="0" w:after="0" w:afterAutospacing="0" w:line="576" w:lineRule="exact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bCs/>
          <w:i w:val="0"/>
          <w:caps w:val="0"/>
          <w:color w:val="auto"/>
          <w:spacing w:val="0"/>
          <w:w w:val="100"/>
          <w:sz w:val="32"/>
          <w:highlight w:val="none"/>
          <w:lang w:val="en-US" w:eastAsia="zh-CN"/>
        </w:rPr>
      </w:pPr>
      <w:r>
        <w:rPr>
          <w:rFonts w:hint="eastAsia" w:ascii="仿宋_GB2312" w:eastAsia="仿宋_GB2312"/>
          <w:b w:val="0"/>
          <w:bCs/>
          <w:i w:val="0"/>
          <w:caps w:val="0"/>
          <w:color w:val="auto"/>
          <w:spacing w:val="0"/>
          <w:w w:val="100"/>
          <w:sz w:val="32"/>
          <w:highlight w:val="none"/>
          <w:lang w:val="en-US" w:eastAsia="zh-CN"/>
        </w:rPr>
        <w:t>（四）其他材料。</w:t>
      </w:r>
    </w:p>
    <w:p>
      <w:pPr>
        <w:snapToGrid w:val="0"/>
        <w:spacing w:before="0" w:beforeAutospacing="0" w:after="0" w:afterAutospacing="0" w:line="576" w:lineRule="exact"/>
        <w:ind w:firstLine="640" w:firstLineChars="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eastAsia="仿宋_GB2312"/>
          <w:b/>
          <w:i w:val="0"/>
          <w:caps w:val="0"/>
          <w:color w:val="000000" w:themeColor="text1"/>
          <w:spacing w:val="0"/>
          <w:w w:val="100"/>
          <w:sz w:val="32"/>
          <w:lang w:eastAsia="zh-CN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仿宋_GB2312" w:eastAsia="仿宋_GB2312"/>
          <w:b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 xml:space="preserve">条 </w:t>
      </w:r>
      <w:r>
        <w:rPr>
          <w:rFonts w:hint="eastAsia" w:ascii="仿宋_GB2312" w:eastAsia="仿宋_GB2312"/>
          <w:b/>
          <w:i w:val="0"/>
          <w:caps w:val="0"/>
          <w:color w:val="000000" w:themeColor="text1"/>
          <w:spacing w:val="0"/>
          <w:w w:val="100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highlight w:val="none"/>
          <w:lang w:val="en-US" w:eastAsia="zh-CN"/>
        </w:rPr>
        <w:t>公益性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highlight w:val="none"/>
          <w:lang w:eastAsia="zh-CN"/>
        </w:rPr>
        <w:t>公</w:t>
      </w:r>
      <w:r>
        <w:rPr>
          <w:rFonts w:hint="eastAsia"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>墓墓位占地面积和墓碑高度</w:t>
      </w:r>
      <w:r>
        <w:rPr>
          <w:rFonts w:hint="eastAsia"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:lang w:eastAsia="zh-CN"/>
          <w14:textFill>
            <w14:solidFill>
              <w14:schemeClr w14:val="tx1"/>
            </w14:solidFill>
          </w14:textFill>
        </w:rPr>
        <w:t>，按照国家和省有关规定执行。</w:t>
      </w:r>
      <w:r>
        <w:rPr>
          <w:rFonts w:hint="eastAsia"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right="0" w:rightChars="0" w:firstLine="643" w:firstLineChars="200"/>
        <w:jc w:val="both"/>
        <w:textAlignment w:val="baseline"/>
        <w:outlineLvl w:val="9"/>
        <w:rPr>
          <w:rFonts w:hint="eastAsia" w:ascii="仿宋_GB2312" w:eastAsia="仿宋_GB2312"/>
          <w:b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i w:val="0"/>
          <w:caps w:val="0"/>
          <w:color w:val="auto"/>
          <w:spacing w:val="0"/>
          <w:w w:val="100"/>
          <w:sz w:val="32"/>
          <w:shd w:val="clear" w:color="auto" w:fill="auto"/>
          <w:lang w:eastAsia="zh-CN"/>
        </w:rPr>
        <w:t>第十一条</w:t>
      </w:r>
      <w:r>
        <w:rPr>
          <w:rFonts w:hint="eastAsia" w:ascii="仿宋_GB2312" w:eastAsia="仿宋_GB2312"/>
          <w:b/>
          <w:bCs/>
          <w:i w:val="0"/>
          <w:caps w:val="0"/>
          <w:color w:val="auto"/>
          <w:spacing w:val="0"/>
          <w:w w:val="100"/>
          <w:sz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i w:val="0"/>
          <w:caps w:val="0"/>
          <w:color w:val="FF0000"/>
          <w:spacing w:val="0"/>
          <w:w w:val="100"/>
          <w:sz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highlight w:val="none"/>
          <w:lang w:val="en-US" w:eastAsia="zh-CN"/>
        </w:rPr>
        <w:t>农村公益性公墓的服务对象为本辖区内的户籍人口，城市公益性公墓的服务对象为本辖区内的常住人口。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right="0" w:rightChars="0" w:firstLine="643" w:firstLineChars="200"/>
        <w:jc w:val="both"/>
        <w:textAlignment w:val="baseline"/>
        <w:outlineLvl w:val="9"/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</w:rPr>
      </w:pPr>
      <w:r>
        <w:rPr>
          <w:rFonts w:hint="eastAsia" w:ascii="仿宋_GB2312" w:eastAsia="仿宋_GB2312"/>
          <w:b/>
          <w:bCs w:val="0"/>
          <w:i w:val="0"/>
          <w:caps w:val="0"/>
          <w:color w:val="auto"/>
          <w:spacing w:val="0"/>
          <w:w w:val="100"/>
          <w:sz w:val="32"/>
        </w:rPr>
        <w:t>第</w:t>
      </w:r>
      <w:r>
        <w:rPr>
          <w:rFonts w:hint="eastAsia" w:ascii="仿宋_GB2312" w:eastAsia="仿宋_GB2312"/>
          <w:b/>
          <w:bCs w:val="0"/>
          <w:i w:val="0"/>
          <w:caps w:val="0"/>
          <w:color w:val="auto"/>
          <w:spacing w:val="0"/>
          <w:w w:val="100"/>
          <w:sz w:val="32"/>
          <w:lang w:eastAsia="zh-CN"/>
        </w:rPr>
        <w:t>十二</w:t>
      </w:r>
      <w:r>
        <w:rPr>
          <w:rFonts w:hint="eastAsia" w:ascii="仿宋_GB2312" w:eastAsia="仿宋_GB2312"/>
          <w:b/>
          <w:bCs w:val="0"/>
          <w:i w:val="0"/>
          <w:caps w:val="0"/>
          <w:color w:val="auto"/>
          <w:spacing w:val="0"/>
          <w:w w:val="100"/>
          <w:sz w:val="32"/>
        </w:rPr>
        <w:t>条</w:t>
      </w:r>
      <w:r>
        <w:rPr>
          <w:rFonts w:hint="eastAsia" w:ascii="仿宋_GB2312" w:eastAsia="仿宋_GB2312"/>
          <w:b/>
          <w:bCs w:val="0"/>
          <w:i w:val="0"/>
          <w:caps w:val="0"/>
          <w:color w:val="auto"/>
          <w:spacing w:val="0"/>
          <w:w w:val="100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b/>
          <w:i w:val="0"/>
          <w:caps w:val="0"/>
          <w:color w:val="000000" w:themeColor="text1"/>
          <w:spacing w:val="0"/>
          <w:w w:val="100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</w:rPr>
        <w:t>需要购置墓位的，应当出具本人有效身份证件和安葬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shd w:val="clear" w:color="auto" w:fill="auto"/>
          <w:lang w:eastAsia="zh-CN"/>
        </w:rPr>
        <w:t>对象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</w:rPr>
        <w:t>的死亡证明或者火化证明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lang w:eastAsia="zh-CN"/>
        </w:rPr>
        <w:t>。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</w:rPr>
        <w:t>为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lang w:eastAsia="zh-CN"/>
        </w:rPr>
        <w:t>夫妻健在一方和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</w:rPr>
        <w:t>高龄老人、危重病人预订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lang w:eastAsia="zh-CN"/>
        </w:rPr>
        <w:t>墓位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</w:rPr>
        <w:t>的，应当出具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lang w:eastAsia="zh-CN"/>
        </w:rPr>
        <w:t>其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</w:rPr>
        <w:t>有效身份证件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lang w:eastAsia="zh-CN"/>
        </w:rPr>
        <w:t>、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</w:rPr>
        <w:t>医疗诊断证明。</w:t>
      </w:r>
    </w:p>
    <w:p>
      <w:pPr>
        <w:spacing w:line="600" w:lineRule="atLeast"/>
        <w:ind w:firstLine="640" w:firstLineChars="200"/>
        <w:rPr>
          <w:rFonts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</w:rPr>
        <w:t>公墓运营单位应当在查验用户证明材料后与其签订安葬协议，并免费向用户提供格式文本和公墓墓位证，开具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lang w:eastAsia="zh-CN"/>
        </w:rPr>
        <w:t>非税收入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</w:rPr>
        <w:t>票据。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</w:rPr>
        <w:fldChar w:fldCharType="begin"/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</w:rPr>
        <w:instrText xml:space="preserve"> HYPERLINK "javascript:void(0);" </w:instrTex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</w:rPr>
        <w:fldChar w:fldCharType="separate"/>
      </w:r>
      <w:bookmarkStart w:id="1" w:name="tiao18_kuan2"/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</w:rPr>
        <w:fldChar w:fldCharType="end"/>
      </w:r>
      <w:bookmarkEnd w:id="1"/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>　　</w:t>
      </w:r>
    </w:p>
    <w:p>
      <w:pPr>
        <w:snapToGrid w:val="0"/>
        <w:spacing w:before="0" w:beforeAutospacing="0" w:after="0" w:afterAutospacing="0" w:line="576" w:lineRule="exact"/>
        <w:ind w:firstLine="643" w:firstLineChars="200"/>
        <w:jc w:val="both"/>
        <w:textAlignment w:val="baseline"/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i w:val="0"/>
          <w:caps w:val="0"/>
          <w:color w:val="auto"/>
          <w:spacing w:val="0"/>
          <w:w w:val="100"/>
          <w:sz w:val="32"/>
        </w:rPr>
        <w:t>第</w:t>
      </w:r>
      <w:r>
        <w:rPr>
          <w:rFonts w:hint="eastAsia" w:ascii="仿宋_GB2312" w:eastAsia="仿宋_GB2312"/>
          <w:b/>
          <w:i w:val="0"/>
          <w:caps w:val="0"/>
          <w:color w:val="auto"/>
          <w:spacing w:val="0"/>
          <w:w w:val="100"/>
          <w:sz w:val="32"/>
          <w:lang w:eastAsia="zh-CN"/>
        </w:rPr>
        <w:t>十</w:t>
      </w:r>
      <w:r>
        <w:rPr>
          <w:rFonts w:hint="eastAsia" w:ascii="仿宋_GB2312" w:eastAsia="仿宋_GB2312"/>
          <w:b/>
          <w:i w:val="0"/>
          <w:caps w:val="0"/>
          <w:color w:val="auto"/>
          <w:spacing w:val="0"/>
          <w:w w:val="100"/>
          <w:sz w:val="32"/>
          <w:shd w:val="clear" w:color="auto" w:fill="auto"/>
          <w:lang w:eastAsia="zh-CN"/>
        </w:rPr>
        <w:t>三</w:t>
      </w:r>
      <w:r>
        <w:rPr>
          <w:rFonts w:hint="eastAsia" w:ascii="仿宋_GB2312" w:eastAsia="仿宋_GB2312"/>
          <w:b/>
          <w:i w:val="0"/>
          <w:caps w:val="0"/>
          <w:color w:val="auto"/>
          <w:spacing w:val="0"/>
          <w:w w:val="100"/>
          <w:sz w:val="32"/>
        </w:rPr>
        <w:t>条</w:t>
      </w:r>
      <w:r>
        <w:rPr>
          <w:rFonts w:hint="eastAsia" w:ascii="仿宋_GB2312" w:hAnsi="Times New Roman" w:eastAsia="仿宋_GB2312"/>
          <w:b w:val="0"/>
          <w:i w:val="0"/>
          <w:caps w:val="0"/>
          <w:color w:val="auto"/>
          <w:spacing w:val="0"/>
          <w:w w:val="100"/>
          <w:sz w:val="32"/>
        </w:rPr>
        <w:t xml:space="preserve"> </w:t>
      </w:r>
      <w:r>
        <w:rPr>
          <w:rFonts w:hint="eastAsia" w:ascii="仿宋_GB2312" w:hAnsi="Times New Roman" w:eastAsia="仿宋_GB2312"/>
          <w:b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>公益性公墓价格实行政府定价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>由县（区）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lang w:eastAsia="zh-CN"/>
          <w14:textFill>
            <w14:solidFill>
              <w14:schemeClr w14:val="tx1"/>
            </w14:solidFill>
          </w14:textFill>
        </w:rPr>
        <w:t>发展改革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>部门会同民政部门按照非营利的原则核定后，向社会公布。</w:t>
      </w:r>
    </w:p>
    <w:p>
      <w:pPr>
        <w:spacing w:line="600" w:lineRule="atLeast"/>
        <w:ind w:firstLine="643" w:firstLineChars="200"/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eastAsia="仿宋_GB2312"/>
          <w:b/>
          <w:i w:val="0"/>
          <w:caps w:val="0"/>
          <w:color w:val="000000" w:themeColor="text1"/>
          <w:spacing w:val="0"/>
          <w:w w:val="100"/>
          <w:sz w:val="32"/>
          <w:lang w:eastAsia="zh-CN"/>
          <w14:textFill>
            <w14:solidFill>
              <w14:schemeClr w14:val="tx1"/>
            </w14:solidFill>
          </w14:textFill>
        </w:rPr>
        <w:t>十四</w:t>
      </w:r>
      <w:r>
        <w:rPr>
          <w:rFonts w:hint="eastAsia" w:ascii="仿宋_GB2312" w:eastAsia="仿宋_GB2312"/>
          <w:b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>公益性公墓应当在墓区内设立免费区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>并采取其他减免优惠措施，所需资金由市、县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lang w:eastAsia="zh-CN"/>
          <w14:textFill>
            <w14:solidFill>
              <w14:schemeClr w14:val="tx1"/>
            </w14:solidFill>
          </w14:textFill>
        </w:rPr>
        <w:t>（区）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>公共财政予以保障。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instrText xml:space="preserve"> HYPERLINK "javascript:void(0);" </w:instrTex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fldChar w:fldCharType="separate"/>
      </w:r>
      <w:bookmarkStart w:id="2" w:name="tiao13_kuan1"/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fldChar w:fldCharType="end"/>
      </w:r>
      <w:bookmarkEnd w:id="2"/>
    </w:p>
    <w:p>
      <w:pPr>
        <w:snapToGrid w:val="0"/>
        <w:spacing w:before="0" w:beforeAutospacing="0" w:after="0" w:afterAutospacing="0" w:line="576" w:lineRule="exact"/>
        <w:ind w:firstLine="644" w:firstLineChars="0"/>
        <w:jc w:val="both"/>
        <w:textAlignment w:val="baseline"/>
        <w:rPr>
          <w:rFonts w:hint="eastAsia"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2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>下列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lang w:eastAsia="zh-CN"/>
          <w14:textFill>
            <w14:solidFill>
              <w14:schemeClr w14:val="tx1"/>
            </w14:solidFill>
          </w14:textFill>
        </w:rPr>
        <w:t>安葬对象选择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>免费区安葬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lang w:eastAsia="zh-CN"/>
          <w14:textFill>
            <w14:solidFill>
              <w14:schemeClr w14:val="tx1"/>
            </w14:solidFill>
          </w14:textFill>
        </w:rPr>
        <w:t>的，免除全部费用：</w:t>
      </w:r>
    </w:p>
    <w:p>
      <w:pPr>
        <w:snapToGrid w:val="0"/>
        <w:spacing w:before="0" w:beforeAutospacing="0" w:after="0" w:afterAutospacing="0" w:line="576" w:lineRule="exact"/>
        <w:ind w:firstLine="0" w:firstLineChars="0"/>
        <w:jc w:val="both"/>
        <w:textAlignment w:val="baseline"/>
        <w:rPr>
          <w:rFonts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>　　（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>）享受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lang w:eastAsia="zh-CN"/>
          <w14:textFill>
            <w14:solidFill>
              <w14:schemeClr w14:val="tx1"/>
            </w14:solidFill>
          </w14:textFill>
        </w:rPr>
        <w:t>城乡特困供养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>待遇人员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lang w:eastAsia="zh-CN"/>
          <w14:textFill>
            <w14:solidFill>
              <w14:schemeClr w14:val="tx1"/>
            </w14:solidFill>
          </w14:textFill>
        </w:rPr>
        <w:t>，享受城乡居民最低生活保障待遇人员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>；</w:t>
      </w:r>
    </w:p>
    <w:p>
      <w:pPr>
        <w:snapToGrid w:val="0"/>
        <w:spacing w:before="0" w:beforeAutospacing="0" w:after="0" w:afterAutospacing="0" w:line="576" w:lineRule="exact"/>
        <w:ind w:firstLine="0" w:firstLineChars="0"/>
        <w:jc w:val="both"/>
        <w:textAlignment w:val="baseline"/>
        <w:rPr>
          <w:rFonts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>　　（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>）无法定赡养人和抚养人、无劳动能力、无生活来源人员；</w:t>
      </w:r>
    </w:p>
    <w:p>
      <w:pPr>
        <w:snapToGrid w:val="0"/>
        <w:spacing w:before="0" w:beforeAutospacing="0" w:after="0" w:afterAutospacing="0" w:line="576" w:lineRule="exact"/>
        <w:ind w:firstLine="653" w:firstLineChars="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>）无法查实身份、住所、工作单位和社会关系人员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napToGrid w:val="0"/>
        <w:spacing w:before="0" w:beforeAutospacing="0" w:after="0" w:afterAutospacing="0" w:line="576" w:lineRule="exact"/>
        <w:ind w:firstLine="640" w:firstLineChars="200"/>
        <w:jc w:val="both"/>
        <w:textAlignment w:val="baseline"/>
        <w:rPr>
          <w:rFonts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2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highlight w:val="none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highlight w:val="none"/>
          <w14:textFill>
            <w14:solidFill>
              <w14:schemeClr w14:val="tx1"/>
            </w14:solidFill>
          </w14:textFill>
        </w:rPr>
        <w:t>）见义勇为牺牲人员；</w:t>
      </w:r>
    </w:p>
    <w:p>
      <w:pPr>
        <w:snapToGrid w:val="0"/>
        <w:spacing w:before="0" w:beforeAutospacing="0" w:after="0" w:afterAutospacing="0" w:line="576" w:lineRule="exact"/>
        <w:ind w:firstLine="0" w:firstLineChars="0"/>
        <w:jc w:val="both"/>
        <w:textAlignment w:val="baseline"/>
        <w:rPr>
          <w:rFonts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2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highlight w:val="none"/>
          <w14:textFill>
            <w14:solidFill>
              <w14:schemeClr w14:val="tx1"/>
            </w14:solidFill>
          </w14:textFill>
        </w:rPr>
        <w:t>　　（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highlight w:val="none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highlight w:val="none"/>
          <w14:textFill>
            <w14:solidFill>
              <w14:schemeClr w14:val="tx1"/>
            </w14:solidFill>
          </w14:textFill>
        </w:rPr>
        <w:t>）属于优抚对象，但未享受国家丧葬费补贴的人员；</w:t>
      </w:r>
    </w:p>
    <w:p>
      <w:pPr>
        <w:numPr>
          <w:ilvl w:val="0"/>
          <w:numId w:val="1"/>
        </w:numPr>
        <w:snapToGrid w:val="0"/>
        <w:spacing w:before="0" w:beforeAutospacing="0" w:after="0" w:afterAutospacing="0" w:line="576" w:lineRule="exact"/>
        <w:ind w:firstLine="640" w:firstLineChars="0"/>
        <w:jc w:val="both"/>
        <w:textAlignment w:val="baseline"/>
        <w:rPr>
          <w:rFonts w:hint="eastAsia"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highlight w:val="none"/>
          <w14:textFill>
            <w14:solidFill>
              <w14:schemeClr w14:val="tx1"/>
            </w14:solidFill>
          </w14:textFill>
        </w:rPr>
        <w:t>遗体器官捐献人员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1"/>
        </w:numPr>
        <w:snapToGrid w:val="0"/>
        <w:spacing w:before="0" w:beforeAutospacing="0" w:after="0" w:afterAutospacing="0" w:line="576" w:lineRule="exact"/>
        <w:ind w:firstLine="640" w:firstLineChars="0"/>
        <w:jc w:val="both"/>
        <w:textAlignment w:val="baseline"/>
        <w:rPr>
          <w:rFonts w:hint="eastAsia"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highlight w:val="none"/>
          <w:lang w:eastAsia="zh-CN"/>
          <w14:textFill>
            <w14:solidFill>
              <w14:schemeClr w14:val="tx1"/>
            </w14:solidFill>
          </w14:textFill>
        </w:rPr>
        <w:t>国家、省规定的其他情形。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right="0" w:rightChars="0" w:firstLine="643" w:firstLineChars="200"/>
        <w:jc w:val="both"/>
        <w:textAlignment w:val="baseline"/>
        <w:outlineLvl w:val="9"/>
        <w:rPr>
          <w:rFonts w:hint="eastAsia"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eastAsia="仿宋_GB2312"/>
          <w:b/>
          <w:i w:val="0"/>
          <w:caps w:val="0"/>
          <w:color w:val="000000" w:themeColor="text1"/>
          <w:spacing w:val="0"/>
          <w:w w:val="100"/>
          <w:sz w:val="32"/>
          <w:lang w:eastAsia="zh-CN"/>
          <w14:textFill>
            <w14:solidFill>
              <w14:schemeClr w14:val="tx1"/>
            </w14:solidFill>
          </w14:textFill>
        </w:rPr>
        <w:t>十五</w:t>
      </w:r>
      <w:r>
        <w:rPr>
          <w:rFonts w:hint="eastAsia" w:ascii="仿宋_GB2312" w:eastAsia="仿宋_GB2312"/>
          <w:b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 xml:space="preserve"> 公墓</w:t>
      </w:r>
      <w:r>
        <w:rPr>
          <w:rFonts w:hint="eastAsia"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:lang w:eastAsia="zh-CN"/>
          <w14:textFill>
            <w14:solidFill>
              <w14:schemeClr w14:val="tx1"/>
            </w14:solidFill>
          </w14:textFill>
        </w:rPr>
        <w:t>运营</w:t>
      </w:r>
      <w:r>
        <w:rPr>
          <w:rFonts w:hint="eastAsia"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>单位应当在服务场所醒目位置公开公示有效的设立凭证和公墓性质、服务项目、服务地域、收费标准和依据、办事流程、服务规范、监督机关和监督电话等内容，自觉接受监督</w:t>
      </w:r>
      <w:r>
        <w:rPr>
          <w:rFonts w:hint="eastAsia"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>不得擅自关闭公墓或者改变用途。</w:t>
      </w:r>
    </w:p>
    <w:p>
      <w:pPr>
        <w:snapToGrid w:val="0"/>
        <w:spacing w:before="0" w:beforeAutospacing="0" w:after="0" w:afterAutospacing="0" w:line="576" w:lineRule="exact"/>
        <w:ind w:firstLine="643" w:firstLineChars="200"/>
        <w:jc w:val="left"/>
        <w:textAlignment w:val="baseline"/>
        <w:rPr>
          <w:rFonts w:hint="eastAsia"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Times New Roman" w:eastAsia="仿宋_GB2312"/>
          <w:b/>
          <w:i w:val="0"/>
          <w:caps w:val="0"/>
          <w:color w:val="000000" w:themeColor="text1"/>
          <w:spacing w:val="0"/>
          <w:w w:val="100"/>
          <w:sz w:val="32"/>
          <w:lang w:eastAsia="zh-CN"/>
          <w14:textFill>
            <w14:solidFill>
              <w14:schemeClr w14:val="tx1"/>
            </w14:solidFill>
          </w14:textFill>
        </w:rPr>
        <w:t>十六</w:t>
      </w:r>
      <w:r>
        <w:rPr>
          <w:rFonts w:hint="eastAsia" w:ascii="仿宋_GB2312" w:hAnsi="Times New Roman" w:eastAsia="仿宋_GB2312"/>
          <w:b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>民政部门应当加强对公墓运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highlight w:val="none"/>
          <w14:textFill>
            <w14:solidFill>
              <w14:schemeClr w14:val="tx1"/>
            </w14:solidFill>
          </w14:textFill>
        </w:rPr>
        <w:t>营单位的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highlight w:val="none"/>
          <w:lang w:eastAsia="zh-CN"/>
          <w14:textFill>
            <w14:solidFill>
              <w14:schemeClr w14:val="tx1"/>
            </w14:solidFill>
          </w14:textFill>
        </w:rPr>
        <w:t>指导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highlight w:val="none"/>
          <w14:textFill>
            <w14:solidFill>
              <w14:schemeClr w14:val="tx1"/>
            </w14:solidFill>
          </w14:textFill>
        </w:rPr>
        <w:t>检查，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应当按照要求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highlight w:val="none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:lang w:eastAsia="zh-CN"/>
          <w14:textFill>
            <w14:solidFill>
              <w14:schemeClr w14:val="tx1"/>
            </w14:solidFill>
          </w14:textFill>
        </w:rPr>
        <w:t>公益性公墓开展年检</w:t>
      </w:r>
      <w:r>
        <w:rPr>
          <w:rFonts w:hint="eastAsia"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:lang w:eastAsia="zh-CN"/>
          <w14:textFill>
            <w14:solidFill>
              <w14:schemeClr w14:val="tx1"/>
            </w14:solidFill>
          </w14:textFill>
        </w:rPr>
        <w:t>年检结果向社会公布。</w:t>
      </w:r>
    </w:p>
    <w:p>
      <w:pPr>
        <w:snapToGrid w:val="0"/>
        <w:spacing w:before="0" w:beforeAutospacing="0" w:after="0" w:afterAutospacing="0" w:line="576" w:lineRule="exact"/>
        <w:ind w:firstLine="640" w:firstLineChars="200"/>
        <w:jc w:val="left"/>
        <w:textAlignment w:val="baseline"/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highlight w:val="none"/>
          <w14:textFill>
            <w14:solidFill>
              <w14:schemeClr w14:val="tx1"/>
            </w14:solidFill>
          </w14:textFill>
        </w:rPr>
        <w:t>建立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highlight w:val="none"/>
          <w:lang w:eastAsia="zh-CN"/>
          <w14:textFill>
            <w14:solidFill>
              <w14:schemeClr w14:val="tx1"/>
            </w14:solidFill>
          </w14:textFill>
        </w:rPr>
        <w:t>健全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highlight w:val="none"/>
          <w14:textFill>
            <w14:solidFill>
              <w14:schemeClr w14:val="tx1"/>
            </w14:solidFill>
          </w14:textFill>
        </w:rPr>
        <w:t>社会监督和投诉举报制度，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highlight w:val="none"/>
          <w:lang w:eastAsia="zh-CN"/>
          <w14:textFill>
            <w14:solidFill>
              <w14:schemeClr w14:val="tx1"/>
            </w14:solidFill>
          </w14:textFill>
        </w:rPr>
        <w:t>通过信息化的手段加强墓位证的管理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highlight w:val="none"/>
          <w14:textFill>
            <w14:solidFill>
              <w14:schemeClr w14:val="tx1"/>
            </w14:solidFill>
          </w14:textFill>
        </w:rPr>
        <w:t>，防止伪造和滥用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highlight w:val="none"/>
          <w:lang w:eastAsia="zh-CN"/>
          <w14:textFill>
            <w14:solidFill>
              <w14:schemeClr w14:val="tx1"/>
            </w14:solidFill>
          </w14:textFill>
        </w:rPr>
        <w:t>墓位证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napToGrid w:val="0"/>
        <w:spacing w:before="0" w:beforeAutospacing="0" w:after="0" w:afterAutospacing="0" w:line="576" w:lineRule="exact"/>
        <w:ind w:firstLine="660" w:firstLineChars="0"/>
        <w:jc w:val="left"/>
        <w:textAlignment w:val="baseline"/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Times New Roman" w:eastAsia="仿宋_GB2312"/>
          <w:b/>
          <w:i w:val="0"/>
          <w:caps w:val="0"/>
          <w:color w:val="000000" w:themeColor="text1"/>
          <w:spacing w:val="0"/>
          <w:w w:val="100"/>
          <w:sz w:val="32"/>
          <w:lang w:eastAsia="zh-CN"/>
          <w14:textFill>
            <w14:solidFill>
              <w14:schemeClr w14:val="tx1"/>
            </w14:solidFill>
          </w14:textFill>
        </w:rPr>
        <w:t>十七</w:t>
      </w:r>
      <w:r>
        <w:rPr>
          <w:rFonts w:hint="eastAsia" w:ascii="仿宋_GB2312" w:hAnsi="Times New Roman" w:eastAsia="仿宋_GB2312"/>
          <w:b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Times New Roman" w:eastAsia="仿宋_GB2312"/>
          <w:b w:val="0"/>
          <w:i w:val="0"/>
          <w:caps w:val="0"/>
          <w:color w:val="auto"/>
          <w:spacing w:val="0"/>
          <w:w w:val="100"/>
          <w:sz w:val="32"/>
          <w:lang w:val="en-US" w:eastAsia="zh-CN"/>
        </w:rPr>
        <w:t>违反本办法第十条规定，墓位占地面积和墓碑高度超出国家、省有关规定的</w:t>
      </w:r>
      <w:r>
        <w:rPr>
          <w:rFonts w:hint="eastAsia" w:ascii="仿宋_GB2312" w:hAnsi="Times New Roman" w:eastAsia="仿宋_GB2312"/>
          <w:b w:val="0"/>
          <w:i w:val="0"/>
          <w:caps w:val="0"/>
          <w:color w:val="auto"/>
          <w:spacing w:val="0"/>
          <w:w w:val="100"/>
          <w:sz w:val="32"/>
        </w:rPr>
        <w:t>，由民政部门责令限期改正，给予警告；有违法所得的，没收违法所得，并处</w:t>
      </w:r>
      <w:r>
        <w:rPr>
          <w:rFonts w:hint="eastAsia" w:ascii="仿宋_GB2312" w:hAnsi="Times New Roman" w:eastAsia="仿宋_GB2312"/>
          <w:b w:val="0"/>
          <w:i w:val="0"/>
          <w:caps w:val="0"/>
          <w:color w:val="auto"/>
          <w:spacing w:val="0"/>
          <w:w w:val="100"/>
          <w:sz w:val="32"/>
          <w:lang w:val="en-US" w:eastAsia="zh-CN"/>
        </w:rPr>
        <w:t>1万元以上3万元以下的罚款</w:t>
      </w:r>
      <w:r>
        <w:rPr>
          <w:rFonts w:hint="eastAsia" w:ascii="仿宋_GB2312" w:hAnsi="Times New Roman" w:eastAsia="仿宋_GB2312"/>
          <w:b w:val="0"/>
          <w:i w:val="0"/>
          <w:caps w:val="0"/>
          <w:color w:val="auto"/>
          <w:spacing w:val="0"/>
          <w:w w:val="100"/>
          <w:sz w:val="32"/>
        </w:rPr>
        <w:t>；对直接</w:t>
      </w:r>
      <w:r>
        <w:rPr>
          <w:rFonts w:hint="eastAsia"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>负责的主管人员和其他直接责任人员，依法给予处分。</w:t>
      </w:r>
      <w:r>
        <w:rPr>
          <w:rFonts w:hint="eastAsia"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numPr>
          <w:ilvl w:val="0"/>
          <w:numId w:val="0"/>
        </w:numPr>
        <w:snapToGrid w:val="0"/>
        <w:spacing w:before="0" w:beforeAutospacing="0" w:after="0" w:afterAutospacing="0" w:line="576" w:lineRule="exact"/>
        <w:ind w:firstLine="643" w:firstLineChars="200"/>
        <w:jc w:val="left"/>
        <w:textAlignment w:val="baseline"/>
        <w:rPr>
          <w:rFonts w:hint="eastAsia"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i w:val="0"/>
          <w:caps w:val="0"/>
          <w:color w:val="000000" w:themeColor="text1"/>
          <w:spacing w:val="0"/>
          <w:w w:val="100"/>
          <w:sz w:val="32"/>
          <w:lang w:eastAsia="zh-CN"/>
          <w14:textFill>
            <w14:solidFill>
              <w14:schemeClr w14:val="tx1"/>
            </w14:solidFill>
          </w14:textFill>
        </w:rPr>
        <w:t>第十八条</w:t>
      </w:r>
      <w:r>
        <w:rPr>
          <w:rFonts w:hint="eastAsia"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>违反本办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highlight w:val="none"/>
          <w14:textFill>
            <w14:solidFill>
              <w14:schemeClr w14:val="tx1"/>
            </w14:solidFill>
          </w14:textFill>
        </w:rPr>
        <w:t>法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highlight w:val="none"/>
          <w:lang w:eastAsia="zh-CN"/>
          <w14:textFill>
            <w14:solidFill>
              <w14:schemeClr w14:val="tx1"/>
            </w14:solidFill>
          </w14:textFill>
        </w:rPr>
        <w:t>第十一条、第十四条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highlight w:val="none"/>
          <w14:textFill>
            <w14:solidFill>
              <w14:schemeClr w14:val="tx1"/>
            </w14:solidFill>
          </w14:textFill>
        </w:rPr>
        <w:t>规定，公墓运营单位</w:t>
      </w:r>
      <w:bookmarkStart w:id="3" w:name="_GoBack"/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highlight w:val="none"/>
          <w14:textFill>
            <w14:solidFill>
              <w14:schemeClr w14:val="tx1"/>
            </w14:solidFill>
          </w14:textFill>
        </w:rPr>
        <w:t>跨地域营销墓位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highlight w:val="none"/>
          <w:lang w:eastAsia="zh-CN"/>
          <w14:textFill>
            <w14:solidFill>
              <w14:schemeClr w14:val="tx1"/>
            </w14:solidFill>
          </w14:textFill>
        </w:rPr>
        <w:t>、未设立免费区</w:t>
      </w:r>
      <w:bookmarkEnd w:id="3"/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highlight w:val="none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highlight w:val="none"/>
          <w14:textFill>
            <w14:solidFill>
              <w14:schemeClr w14:val="tx1"/>
            </w14:solidFill>
          </w14:textFill>
        </w:rPr>
        <w:t>，由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highlight w:val="none"/>
          <w:lang w:eastAsia="zh-CN"/>
          <w14:textFill>
            <w14:solidFill>
              <w14:schemeClr w14:val="tx1"/>
            </w14:solidFill>
          </w14:textFill>
        </w:rPr>
        <w:t>县（区）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highlight w:val="none"/>
          <w14:textFill>
            <w14:solidFill>
              <w14:schemeClr w14:val="tx1"/>
            </w14:solidFill>
          </w14:textFill>
        </w:rPr>
        <w:t>民政部门责令改正，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highlight w:val="none"/>
          <w:lang w:eastAsia="zh-CN"/>
          <w14:textFill>
            <w14:solidFill>
              <w14:schemeClr w14:val="tx1"/>
            </w14:solidFill>
          </w14:textFill>
        </w:rPr>
        <w:t>有违法所得的，没收违法所得，并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highlight w:val="none"/>
          <w14:textFill>
            <w14:solidFill>
              <w14:schemeClr w14:val="tx1"/>
            </w14:solidFill>
          </w14:textFill>
        </w:rPr>
        <w:t>处1万元以上3万元以下罚款。</w:t>
      </w:r>
      <w:r>
        <w:rPr>
          <w:rFonts w:hint="eastAsia"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numPr>
          <w:ilvl w:val="0"/>
          <w:numId w:val="0"/>
        </w:numPr>
        <w:snapToGrid w:val="0"/>
        <w:spacing w:before="0" w:beforeAutospacing="0" w:after="0" w:afterAutospacing="0" w:line="576" w:lineRule="exact"/>
        <w:ind w:firstLine="643" w:firstLineChars="200"/>
        <w:jc w:val="left"/>
        <w:textAlignment w:val="baseline"/>
        <w:rPr>
          <w:rFonts w:hint="eastAsia"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Times New Roman" w:eastAsia="仿宋_GB2312"/>
          <w:b/>
          <w:i w:val="0"/>
          <w:caps w:val="0"/>
          <w:color w:val="000000" w:themeColor="text1"/>
          <w:spacing w:val="0"/>
          <w:w w:val="100"/>
          <w:sz w:val="32"/>
          <w:lang w:eastAsia="zh-CN"/>
          <w14:textFill>
            <w14:solidFill>
              <w14:schemeClr w14:val="tx1"/>
            </w14:solidFill>
          </w14:textFill>
        </w:rPr>
        <w:t>十九</w:t>
      </w:r>
      <w:r>
        <w:rPr>
          <w:rFonts w:hint="eastAsia" w:ascii="仿宋_GB2312" w:hAnsi="Times New Roman" w:eastAsia="仿宋_GB2312"/>
          <w:b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>违反本办法</w:t>
      </w:r>
      <w:r>
        <w:rPr>
          <w:rFonts w:hint="eastAsia"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:lang w:eastAsia="zh-CN"/>
          <w14:textFill>
            <w14:solidFill>
              <w14:schemeClr w14:val="tx1"/>
            </w14:solidFill>
          </w14:textFill>
        </w:rPr>
        <w:t>第十三条</w:t>
      </w:r>
      <w:r>
        <w:rPr>
          <w:rFonts w:hint="eastAsia"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>规定，公墓运营单位未按政府定价销售墓位，</w:t>
      </w:r>
      <w:r>
        <w:rPr>
          <w:rFonts w:hint="eastAsia"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:lang w:eastAsia="zh-CN"/>
          <w14:textFill>
            <w14:solidFill>
              <w14:schemeClr w14:val="tx1"/>
            </w14:solidFill>
          </w14:textFill>
        </w:rPr>
        <w:t>或有者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highlight w:val="none"/>
          <w:lang w:eastAsia="zh-CN"/>
          <w14:textFill>
            <w14:solidFill>
              <w14:schemeClr w14:val="tx1"/>
            </w14:solidFill>
          </w14:textFill>
        </w:rPr>
        <w:t>超标准收取墓位维护管理费、不执行法定的价格干预措施、哄抬墓位价格、实施价格欺诈等情形的</w:t>
      </w:r>
      <w:r>
        <w:rPr>
          <w:rFonts w:hint="eastAsia"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>，由</w:t>
      </w:r>
      <w:r>
        <w:rPr>
          <w:rFonts w:hint="eastAsia"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:lang w:eastAsia="zh-CN"/>
          <w14:textFill>
            <w14:solidFill>
              <w14:schemeClr w14:val="tx1"/>
            </w14:solidFill>
          </w14:textFill>
        </w:rPr>
        <w:t>市场监管</w:t>
      </w:r>
      <w:r>
        <w:rPr>
          <w:rFonts w:hint="eastAsia"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>部门依法处罚。</w:t>
      </w:r>
      <w:r>
        <w:rPr>
          <w:rFonts w:hint="eastAsia"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napToGrid w:val="0"/>
        <w:spacing w:before="0" w:beforeAutospacing="0" w:after="0" w:afterAutospacing="0" w:line="576" w:lineRule="exact"/>
        <w:ind w:firstLine="0" w:firstLineChars="0"/>
        <w:jc w:val="left"/>
        <w:textAlignment w:val="baseline"/>
        <w:rPr>
          <w:rFonts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Times New Roman" w:eastAsia="仿宋_GB2312"/>
          <w:b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Times New Roman" w:eastAsia="仿宋_GB2312"/>
          <w:b/>
          <w:i w:val="0"/>
          <w:caps w:val="0"/>
          <w:color w:val="000000" w:themeColor="text1"/>
          <w:spacing w:val="0"/>
          <w:w w:val="100"/>
          <w:sz w:val="32"/>
          <w:lang w:eastAsia="zh-CN"/>
          <w14:textFill>
            <w14:solidFill>
              <w14:schemeClr w14:val="tx1"/>
            </w14:solidFill>
          </w14:textFill>
        </w:rPr>
        <w:t>二十</w:t>
      </w:r>
      <w:r>
        <w:rPr>
          <w:rFonts w:hint="eastAsia" w:ascii="仿宋_GB2312" w:hAnsi="Times New Roman" w:eastAsia="仿宋_GB2312"/>
          <w:b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>本办法自   年  月  日起施行。</w:t>
      </w:r>
    </w:p>
    <w:p>
      <w:pPr>
        <w:snapToGrid w:val="0"/>
        <w:spacing w:before="0" w:beforeAutospacing="0" w:after="0" w:afterAutospacing="0" w:line="576" w:lineRule="exact"/>
        <w:ind w:firstLine="660" w:firstLineChars="0"/>
        <w:jc w:val="left"/>
        <w:textAlignment w:val="baseline"/>
        <w:rPr>
          <w:rFonts w:hint="eastAsia"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:highlight w:val="yellow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4F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848235"/>
    </w:sdtPr>
    <w:sdtContent>
      <w:p>
        <w:pPr>
          <w:pStyle w:val="2"/>
          <w:ind w:right="360"/>
          <w:jc w:val="right"/>
        </w:pPr>
        <w:r>
          <w:rPr>
            <w:rFonts w:hint="eastAsia" w:ascii="方正仿宋_GBK" w:eastAsia="方正仿宋_GBK"/>
            <w:sz w:val="28"/>
          </w:rPr>
          <w:t>—</w:t>
        </w:r>
        <w:r>
          <w:rPr>
            <w:sz w:val="28"/>
          </w:rPr>
          <w:t xml:space="preserve"> </w:t>
        </w: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sz w:val="28"/>
          </w:rPr>
          <w:t>3</w:t>
        </w:r>
        <w:r>
          <w:rPr>
            <w:rFonts w:ascii="Times New Roman" w:hAnsi="Times New Roman" w:cs="Times New Roman"/>
            <w:sz w:val="28"/>
          </w:rPr>
          <w:fldChar w:fldCharType="end"/>
        </w:r>
        <w:r>
          <w:rPr>
            <w:sz w:val="28"/>
          </w:rPr>
          <w:t xml:space="preserve"> </w:t>
        </w:r>
        <w:r>
          <w:rPr>
            <w:rFonts w:hint="eastAsia" w:ascii="方正仿宋_GBK" w:eastAsia="方正仿宋_GBK"/>
            <w:sz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180" w:firstLineChars="100"/>
    </w:pPr>
    <w:sdt>
      <w:sdtPr>
        <w:id w:val="-1029335392"/>
      </w:sdtPr>
      <w:sdtContent>
        <w:r>
          <w:rPr>
            <w:rFonts w:hint="eastAsia" w:ascii="方正仿宋_GBK" w:eastAsia="方正仿宋_GBK"/>
            <w:sz w:val="28"/>
          </w:rPr>
          <w:t>—</w:t>
        </w:r>
        <w:r>
          <w:rPr>
            <w:sz w:val="28"/>
          </w:rPr>
          <w:t xml:space="preserve"> </w:t>
        </w: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sz w:val="28"/>
          </w:rPr>
          <w:t>2</w:t>
        </w:r>
        <w:r>
          <w:rPr>
            <w:rFonts w:ascii="Times New Roman" w:hAnsi="Times New Roman" w:cs="Times New Roman"/>
            <w:sz w:val="28"/>
          </w:rPr>
          <w:fldChar w:fldCharType="end"/>
        </w:r>
        <w:r>
          <w:rPr>
            <w:sz w:val="28"/>
          </w:rPr>
          <w:t xml:space="preserve"> </w:t>
        </w:r>
        <w:r>
          <w:rPr>
            <w:rFonts w:hint="eastAsia" w:ascii="方正仿宋_GBK" w:eastAsia="方正仿宋_GBK"/>
            <w:sz w:val="28"/>
          </w:rPr>
          <w:t>—</w:t>
        </w:r>
      </w:sdtContent>
    </w:sdt>
    <w:r>
      <w:rPr>
        <w:rFonts w:hint="eastAsia"/>
      </w:rPr>
      <w:t xml:space="preserve">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57DCD"/>
    <w:multiLevelType w:val="singleLevel"/>
    <w:tmpl w:val="63357DCD"/>
    <w:lvl w:ilvl="0" w:tentative="0">
      <w:start w:val="6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EE"/>
    <w:rsid w:val="00032571"/>
    <w:rsid w:val="00045A07"/>
    <w:rsid w:val="000602B1"/>
    <w:rsid w:val="0008745D"/>
    <w:rsid w:val="000B01BC"/>
    <w:rsid w:val="000C67BB"/>
    <w:rsid w:val="000C7A5A"/>
    <w:rsid w:val="00100E38"/>
    <w:rsid w:val="001A2DDE"/>
    <w:rsid w:val="001B2442"/>
    <w:rsid w:val="001B2A0D"/>
    <w:rsid w:val="001F562B"/>
    <w:rsid w:val="00203573"/>
    <w:rsid w:val="00257093"/>
    <w:rsid w:val="002A39E3"/>
    <w:rsid w:val="00320FB1"/>
    <w:rsid w:val="00372035"/>
    <w:rsid w:val="00494727"/>
    <w:rsid w:val="004A2822"/>
    <w:rsid w:val="004E18AB"/>
    <w:rsid w:val="004E369A"/>
    <w:rsid w:val="005102EE"/>
    <w:rsid w:val="005174B0"/>
    <w:rsid w:val="00533FC0"/>
    <w:rsid w:val="00575A65"/>
    <w:rsid w:val="005C63E5"/>
    <w:rsid w:val="005E552C"/>
    <w:rsid w:val="00613E6E"/>
    <w:rsid w:val="0062206D"/>
    <w:rsid w:val="006B77A5"/>
    <w:rsid w:val="006D3498"/>
    <w:rsid w:val="006E58D6"/>
    <w:rsid w:val="00785DCA"/>
    <w:rsid w:val="007A7BDF"/>
    <w:rsid w:val="007B3757"/>
    <w:rsid w:val="007C134D"/>
    <w:rsid w:val="007E0295"/>
    <w:rsid w:val="00815B8F"/>
    <w:rsid w:val="0082550A"/>
    <w:rsid w:val="008714BC"/>
    <w:rsid w:val="009516E9"/>
    <w:rsid w:val="00994570"/>
    <w:rsid w:val="009C07AF"/>
    <w:rsid w:val="00A277FE"/>
    <w:rsid w:val="00A550A2"/>
    <w:rsid w:val="00A6544C"/>
    <w:rsid w:val="00AA3C80"/>
    <w:rsid w:val="00AE32D1"/>
    <w:rsid w:val="00B03C15"/>
    <w:rsid w:val="00B140B1"/>
    <w:rsid w:val="00B44638"/>
    <w:rsid w:val="00C20C2C"/>
    <w:rsid w:val="00C40F14"/>
    <w:rsid w:val="00C65806"/>
    <w:rsid w:val="00C66024"/>
    <w:rsid w:val="00C818C1"/>
    <w:rsid w:val="00CD4FC2"/>
    <w:rsid w:val="00D344E9"/>
    <w:rsid w:val="00D861D5"/>
    <w:rsid w:val="00DC4E74"/>
    <w:rsid w:val="00E134A6"/>
    <w:rsid w:val="00E54BA3"/>
    <w:rsid w:val="00E92F45"/>
    <w:rsid w:val="00EF2E94"/>
    <w:rsid w:val="00F07345"/>
    <w:rsid w:val="00F62C7D"/>
    <w:rsid w:val="01B32779"/>
    <w:rsid w:val="04F22F6A"/>
    <w:rsid w:val="059F73EE"/>
    <w:rsid w:val="085733A8"/>
    <w:rsid w:val="0A8F33A1"/>
    <w:rsid w:val="0D532590"/>
    <w:rsid w:val="0DBB7BAF"/>
    <w:rsid w:val="0DDE67F6"/>
    <w:rsid w:val="110C0497"/>
    <w:rsid w:val="12C177D2"/>
    <w:rsid w:val="179D63C2"/>
    <w:rsid w:val="18065F3E"/>
    <w:rsid w:val="18B821F7"/>
    <w:rsid w:val="19752531"/>
    <w:rsid w:val="1D1C050E"/>
    <w:rsid w:val="1DA621F1"/>
    <w:rsid w:val="1DCA3C19"/>
    <w:rsid w:val="1E2E2A8C"/>
    <w:rsid w:val="20B06010"/>
    <w:rsid w:val="21617D6D"/>
    <w:rsid w:val="24373937"/>
    <w:rsid w:val="24C96289"/>
    <w:rsid w:val="26173E4C"/>
    <w:rsid w:val="27314692"/>
    <w:rsid w:val="2A807E9A"/>
    <w:rsid w:val="2B294B6F"/>
    <w:rsid w:val="2C6C159D"/>
    <w:rsid w:val="2CE66429"/>
    <w:rsid w:val="2DC90CA7"/>
    <w:rsid w:val="2FCA01FA"/>
    <w:rsid w:val="303C7BA3"/>
    <w:rsid w:val="3132235D"/>
    <w:rsid w:val="324C6F5F"/>
    <w:rsid w:val="381C0E37"/>
    <w:rsid w:val="38733070"/>
    <w:rsid w:val="393E0854"/>
    <w:rsid w:val="3B1B5BDA"/>
    <w:rsid w:val="3D9E4FB2"/>
    <w:rsid w:val="3DAE6D1B"/>
    <w:rsid w:val="3FEB5A9E"/>
    <w:rsid w:val="4050258C"/>
    <w:rsid w:val="41C53741"/>
    <w:rsid w:val="42140582"/>
    <w:rsid w:val="43EA429D"/>
    <w:rsid w:val="445850BB"/>
    <w:rsid w:val="47DF17AB"/>
    <w:rsid w:val="4BF85F9A"/>
    <w:rsid w:val="4E420EBF"/>
    <w:rsid w:val="51153D14"/>
    <w:rsid w:val="51311AC4"/>
    <w:rsid w:val="527C7702"/>
    <w:rsid w:val="55E000FF"/>
    <w:rsid w:val="590D4CA5"/>
    <w:rsid w:val="59E65271"/>
    <w:rsid w:val="5C0E66F4"/>
    <w:rsid w:val="5C9460E9"/>
    <w:rsid w:val="5DB0334B"/>
    <w:rsid w:val="5F525A9C"/>
    <w:rsid w:val="609A3A1C"/>
    <w:rsid w:val="60C10A21"/>
    <w:rsid w:val="614018BC"/>
    <w:rsid w:val="641F5F27"/>
    <w:rsid w:val="663C5BA4"/>
    <w:rsid w:val="68AE0416"/>
    <w:rsid w:val="6AEB5748"/>
    <w:rsid w:val="6BB66438"/>
    <w:rsid w:val="6DAE40E8"/>
    <w:rsid w:val="6E7374F9"/>
    <w:rsid w:val="6EB52647"/>
    <w:rsid w:val="710B2E98"/>
    <w:rsid w:val="732B69CD"/>
    <w:rsid w:val="733C17F5"/>
    <w:rsid w:val="78967146"/>
    <w:rsid w:val="793B3B86"/>
    <w:rsid w:val="799C405E"/>
    <w:rsid w:val="7A985693"/>
    <w:rsid w:val="7D8C49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4</Pages>
  <Words>209</Words>
  <Characters>1197</Characters>
  <Lines>9</Lines>
  <Paragraphs>2</Paragraphs>
  <ScaleCrop>false</ScaleCrop>
  <LinksUpToDate>false</LinksUpToDate>
  <CharactersWithSpaces>1404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2021-12-14T01:02:00Z</dcterms:created>
  <dc:creator>汪长春</dc:creator>
  <cp:lastModifiedBy>gyb1</cp:lastModifiedBy>
  <cp:lastPrinted>2022-09-30T05:31:21Z</cp:lastPrinted>
  <dcterms:modified xsi:type="dcterms:W3CDTF">2022-09-30T11:27:08Z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C747781D3E4C42A4AEE9249FEC816AE4</vt:lpwstr>
  </property>
</Properties>
</file>