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76" w:lineRule="exact"/>
        <w:jc w:val="center"/>
        <w:textAlignment w:val="baseline"/>
        <w:rPr>
          <w:rFonts w:hint="eastAsia" w:ascii="Times New Roman" w:hAnsi="Times New Roman" w:eastAsia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六安市公益性</w:t>
      </w:r>
      <w:r>
        <w:rPr>
          <w:rFonts w:hint="eastAsia" w:ascii="Times New Roman" w:hAnsi="Times New Roman" w:eastAsia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公墓管理办法</w:t>
      </w:r>
    </w:p>
    <w:p>
      <w:pPr>
        <w:snapToGrid w:val="0"/>
        <w:spacing w:before="0" w:beforeAutospacing="0" w:after="0" w:afterAutospacing="0" w:line="576" w:lineRule="exact"/>
        <w:jc w:val="center"/>
        <w:textAlignment w:val="baseline"/>
        <w:rPr>
          <w:rFonts w:hint="eastAsia" w:ascii="楷体_GB2312" w:hAnsi="楷体_GB2312" w:eastAsia="楷体_GB2312" w:cs="楷体_GB2312"/>
          <w:b w:val="0"/>
          <w:i w:val="0"/>
          <w:caps w:val="0"/>
          <w:color w:val="000000" w:themeColor="text1"/>
          <w:spacing w:val="0"/>
          <w:w w:val="10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 w:themeColor="text1"/>
          <w:spacing w:val="0"/>
          <w:w w:val="10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（征求意见稿）</w:t>
      </w:r>
    </w:p>
    <w:p>
      <w:pPr>
        <w:snapToGrid w:val="0"/>
        <w:spacing w:before="0" w:beforeAutospacing="0" w:after="0" w:afterAutospacing="0" w:line="576" w:lineRule="exact"/>
        <w:jc w:val="both"/>
        <w:textAlignment w:val="baseline"/>
        <w:rPr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napToGrid w:val="0"/>
        <w:spacing w:before="0" w:beforeAutospacing="0" w:after="0" w:afterAutospacing="0" w:line="576" w:lineRule="exact"/>
        <w:ind w:firstLine="643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i w:val="0"/>
          <w:caps w:val="0"/>
          <w:color w:val="auto"/>
          <w:spacing w:val="0"/>
          <w:w w:val="100"/>
          <w:sz w:val="32"/>
          <w:lang w:eastAsia="zh-CN"/>
        </w:rPr>
        <w:t>第一条</w:t>
      </w:r>
      <w:r>
        <w:rPr>
          <w:rFonts w:hint="eastAsia" w:ascii="仿宋_GB2312" w:eastAsia="仿宋_GB2312"/>
          <w:b/>
          <w:i w:val="0"/>
          <w:caps w:val="0"/>
          <w:color w:val="auto"/>
          <w:spacing w:val="0"/>
          <w:w w:val="1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为加强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对公益性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公墓管理，根据国务院《殡葬管理条例》</w:t>
      </w:r>
      <w:r>
        <w:rPr>
          <w:rFonts w:hint="eastAsia" w:ascii="仿宋_GB2312" w:eastAsia="仿宋_GB2312"/>
          <w:b w:val="0"/>
          <w:i w:val="0"/>
          <w:caps w:val="0"/>
          <w:strike w:val="0"/>
          <w:dstrike w:val="0"/>
          <w:color w:val="auto"/>
          <w:spacing w:val="0"/>
          <w:w w:val="100"/>
          <w:sz w:val="32"/>
          <w:shd w:val="clear" w:color="auto" w:fill="auto"/>
          <w:lang w:eastAsia="zh-CN"/>
        </w:rPr>
        <w:t>、民政部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《公墓管理暂行办法》《安徽省殡葬管理办法》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等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规定，结合我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市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实际，制定本办法。</w:t>
      </w:r>
    </w:p>
    <w:p>
      <w:pPr>
        <w:numPr>
          <w:ilvl w:val="0"/>
          <w:numId w:val="0"/>
        </w:numPr>
        <w:snapToGrid w:val="0"/>
        <w:spacing w:before="0" w:beforeAutospacing="0" w:after="0" w:afterAutospacing="0" w:line="576" w:lineRule="exact"/>
        <w:ind w:firstLine="643" w:firstLineChars="200"/>
        <w:jc w:val="both"/>
        <w:textAlignment w:val="baseline"/>
        <w:rPr>
          <w:rFonts w:ascii="仿宋_GB2312" w:hAnsi="Times New Roman" w:eastAsia="仿宋_GB2312"/>
          <w:b w:val="0"/>
          <w:i w:val="0"/>
          <w:caps w:val="0"/>
          <w:color w:val="auto"/>
          <w:spacing w:val="0"/>
          <w:w w:val="100"/>
          <w:sz w:val="20"/>
        </w:rPr>
      </w:pPr>
      <w:r>
        <w:rPr>
          <w:rFonts w:hint="eastAsia" w:ascii="仿宋_GB2312" w:eastAsia="仿宋_GB2312"/>
          <w:b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本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市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行政区域内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公益性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公墓的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规划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建设、运营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服务、监督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管理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等活动，适用本办法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国家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、省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对烈士公墓、回民公墓等另有规定的，依照其规定。</w:t>
      </w:r>
    </w:p>
    <w:p>
      <w:pPr>
        <w:numPr>
          <w:ilvl w:val="0"/>
          <w:numId w:val="0"/>
        </w:numPr>
        <w:snapToGrid w:val="0"/>
        <w:spacing w:before="0" w:beforeAutospacing="0" w:after="0" w:afterAutospacing="0" w:line="576" w:lineRule="exact"/>
        <w:ind w:firstLine="643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</w:pPr>
      <w:r>
        <w:rPr>
          <w:rFonts w:hint="eastAsia" w:ascii="仿宋_GB2312" w:eastAsia="仿宋_GB2312"/>
          <w:b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本办法所称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公益性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公墓是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指不以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营利为目的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，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为居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（村）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民提供安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葬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骨灰或遗体的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社会公共服务设施。公益性公墓分为农村公益性公墓和城市公益性公墓。</w:t>
      </w:r>
    </w:p>
    <w:p>
      <w:pPr>
        <w:numPr>
          <w:ilvl w:val="0"/>
          <w:numId w:val="0"/>
        </w:numPr>
        <w:snapToGrid w:val="0"/>
        <w:spacing w:before="0" w:beforeAutospacing="0" w:after="0" w:afterAutospacing="0" w:line="576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yellow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公墓运营单位是指管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理公益性公墓的机构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或组织。</w:t>
      </w:r>
    </w:p>
    <w:p>
      <w:pPr>
        <w:numPr>
          <w:ilvl w:val="0"/>
          <w:numId w:val="0"/>
        </w:numPr>
        <w:snapToGrid w:val="0"/>
        <w:spacing w:before="0" w:beforeAutospacing="0" w:after="0" w:afterAutospacing="0" w:line="576" w:lineRule="exact"/>
        <w:ind w:firstLine="643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</w:pPr>
      <w:r>
        <w:rPr>
          <w:rFonts w:hint="eastAsia" w:ascii="仿宋_GB2312" w:eastAsia="仿宋_GB2312"/>
          <w:b/>
          <w:bCs/>
          <w:i w:val="0"/>
          <w:caps w:val="0"/>
          <w:color w:val="auto"/>
          <w:spacing w:val="0"/>
          <w:w w:val="100"/>
          <w:sz w:val="32"/>
          <w:lang w:val="en-US" w:eastAsia="zh-CN"/>
        </w:rPr>
        <w:t>第四条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val="en-US" w:eastAsia="zh-CN"/>
        </w:rPr>
        <w:t xml:space="preserve">  市、县（区）人民政府应当加强对公益性公墓工作的领导，统筹规划、协调推进公墓管理工作，将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公益性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公墓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建设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纳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入国土空间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规划，保障公益性公墓用地，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工作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经费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纳入财政预算。</w:t>
      </w:r>
    </w:p>
    <w:p>
      <w:pPr>
        <w:numPr>
          <w:ilvl w:val="0"/>
          <w:numId w:val="0"/>
        </w:numPr>
        <w:snapToGrid w:val="0"/>
        <w:spacing w:before="0" w:beforeAutospacing="0" w:after="0" w:afterAutospacing="0" w:line="576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乡（镇）人民政府、街道办事处在本行政区域内做好公益性公墓的管理工作。</w:t>
      </w:r>
    </w:p>
    <w:p>
      <w:pPr>
        <w:numPr>
          <w:ilvl w:val="0"/>
          <w:numId w:val="0"/>
        </w:numPr>
        <w:snapToGrid w:val="0"/>
        <w:spacing w:before="0" w:beforeAutospacing="0" w:after="0" w:afterAutospacing="0" w:line="576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yellow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居（村）民委员会依法做好公益性公墓相关工作，引导居（村）民将骨灰或遗体入公墓安葬，文明节俭操办丧事。</w:t>
      </w:r>
    </w:p>
    <w:p>
      <w:pPr>
        <w:numPr>
          <w:ilvl w:val="0"/>
          <w:numId w:val="0"/>
        </w:numPr>
        <w:snapToGrid w:val="0"/>
        <w:spacing w:before="0" w:beforeAutospacing="0" w:after="0" w:afterAutospacing="0" w:line="576" w:lineRule="exact"/>
        <w:ind w:firstLine="643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color w:val="auto"/>
          <w:spacing w:val="0"/>
          <w:w w:val="100"/>
          <w:sz w:val="32"/>
          <w:lang w:val="en-US" w:eastAsia="zh-CN"/>
        </w:rPr>
        <w:t xml:space="preserve">第五条 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 xml:space="preserve"> 市、县（区）民政部门负责本行政区域内公墓管理工作。</w:t>
      </w:r>
    </w:p>
    <w:p>
      <w:pPr>
        <w:snapToGrid w:val="0"/>
        <w:spacing w:before="0" w:beforeAutospacing="0" w:after="0" w:afterAutospacing="0" w:line="576" w:lineRule="exact"/>
        <w:ind w:firstLine="0" w:firstLineChars="0"/>
        <w:jc w:val="both"/>
        <w:textAlignment w:val="baseline"/>
        <w:rPr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发展改革部门配合民政部门公益性公墓价格核定、公益性公墓建设规划编制、项目立项等工作；财政部门做好公益性公墓建设的资金保障工作；公安、人社、自然资源和规划、生态环境、应急、林业、市场监管等部门应当按照各自职责，做好公益性公墓管理相关工作。</w:t>
      </w:r>
    </w:p>
    <w:p>
      <w:pPr>
        <w:numPr>
          <w:ilvl w:val="0"/>
          <w:numId w:val="0"/>
        </w:numPr>
        <w:snapToGrid w:val="0"/>
        <w:spacing w:before="0" w:beforeAutospacing="0" w:after="0" w:afterAutospacing="0" w:line="576" w:lineRule="exact"/>
        <w:ind w:firstLine="643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i w:val="0"/>
          <w:caps w:val="0"/>
          <w:color w:val="000000" w:themeColor="text1"/>
          <w:spacing w:val="0"/>
          <w:w w:val="100"/>
          <w:sz w:val="32"/>
          <w:lang w:val="en-US" w:eastAsia="zh-CN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县（区）民政部门应当会同自然资源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和规划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等有关部门，编制公益性公墓建设规划，经本级人民政府批准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，报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民政部门备案。</w:t>
      </w:r>
    </w:p>
    <w:p>
      <w:pPr>
        <w:numPr>
          <w:ilvl w:val="0"/>
          <w:numId w:val="0"/>
        </w:numPr>
        <w:snapToGrid w:val="0"/>
        <w:spacing w:before="0" w:beforeAutospacing="0" w:after="0" w:afterAutospacing="0" w:line="576" w:lineRule="exact"/>
        <w:ind w:firstLine="643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i w:val="0"/>
          <w:caps w:val="0"/>
          <w:color w:val="auto"/>
          <w:spacing w:val="0"/>
          <w:w w:val="100"/>
          <w:sz w:val="32"/>
          <w:lang w:eastAsia="zh-CN"/>
        </w:rPr>
        <w:t>第七条</w:t>
      </w:r>
      <w:r>
        <w:rPr>
          <w:rFonts w:hint="eastAsia" w:ascii="仿宋_GB2312" w:eastAsia="仿宋_GB2312"/>
          <w:b w:val="0"/>
          <w:i w:val="0"/>
          <w:caps w:val="0"/>
          <w:color w:val="FF0000"/>
          <w:spacing w:val="0"/>
          <w:w w:val="100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val="en-US" w:eastAsia="zh-CN"/>
          <w14:textFill>
            <w14:solidFill>
              <w14:schemeClr w14:val="tx1"/>
            </w14:solidFill>
          </w14:textFill>
        </w:rPr>
        <w:t>农村公益性公墓由乡镇人民政府和基层自治组织负责建设。城市公益性公墓由县（区）人民政府负责建设。</w:t>
      </w:r>
    </w:p>
    <w:p>
      <w:pPr>
        <w:spacing w:line="600" w:lineRule="atLeast"/>
        <w:ind w:firstLine="640" w:firstLineChars="200"/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val="en-US" w:eastAsia="zh-CN"/>
          <w14:textFill>
            <w14:solidFill>
              <w14:schemeClr w14:val="tx1"/>
            </w14:solidFill>
          </w14:textFill>
        </w:rPr>
        <w:t>公墓布局应当方便群众安葬骨灰和祭扫，满足多层次安葬需求。</w:t>
      </w:r>
      <w:r>
        <w:rPr>
          <w:rFonts w:ascii="宋体" w:hAnsi="宋体" w:eastAsia="宋体" w:cs="宋体"/>
          <w:color w:val="000000"/>
          <w:sz w:val="27"/>
          <w:szCs w:val="27"/>
        </w:rPr>
        <w:fldChar w:fldCharType="begin"/>
      </w:r>
      <w:r>
        <w:rPr>
          <w:rFonts w:ascii="宋体" w:hAnsi="宋体" w:eastAsia="宋体" w:cs="宋体"/>
          <w:color w:val="000000"/>
          <w:sz w:val="27"/>
          <w:szCs w:val="27"/>
        </w:rPr>
        <w:instrText xml:space="preserve"> HYPERLINK "javascript:void(0);" </w:instrText>
      </w:r>
      <w:r>
        <w:rPr>
          <w:rFonts w:ascii="宋体" w:hAnsi="宋体" w:eastAsia="宋体" w:cs="宋体"/>
          <w:color w:val="000000"/>
          <w:sz w:val="27"/>
          <w:szCs w:val="27"/>
        </w:rPr>
        <w:fldChar w:fldCharType="separate"/>
      </w:r>
      <w:bookmarkStart w:id="0" w:name="tiao6_kuan1"/>
      <w:r>
        <w:rPr>
          <w:rFonts w:ascii="宋体" w:hAnsi="宋体" w:eastAsia="宋体" w:cs="宋体"/>
          <w:color w:val="000000"/>
          <w:sz w:val="27"/>
          <w:szCs w:val="27"/>
        </w:rPr>
        <w:fldChar w:fldCharType="end"/>
      </w:r>
      <w:bookmarkEnd w:id="0"/>
    </w:p>
    <w:p>
      <w:pPr>
        <w:numPr>
          <w:numId w:val="0"/>
        </w:numPr>
        <w:snapToGrid w:val="0"/>
        <w:spacing w:before="0" w:beforeAutospacing="0" w:after="0" w:afterAutospacing="0" w:line="576" w:lineRule="exact"/>
        <w:ind w:firstLine="643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none"/>
        </w:rPr>
      </w:pPr>
      <w:r>
        <w:rPr>
          <w:rFonts w:hint="eastAsia" w:ascii="仿宋_GB2312" w:eastAsia="仿宋_GB2312"/>
          <w:b/>
          <w:bCs w:val="0"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第八条</w:t>
      </w:r>
      <w:r>
        <w:rPr>
          <w:rFonts w:hint="eastAsia" w:ascii="仿宋_GB2312" w:eastAsia="仿宋_GB2312"/>
          <w:b w:val="0"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 xml:space="preserve">  基层自治组织负责建设的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none"/>
          <w:lang w:eastAsia="zh-CN"/>
        </w:rPr>
        <w:t>农村公益性公墓经乡镇人民政府审核同意后，报县（区）民政部门审批；乡镇人民政府负责建设的农村公益性公墓，由其提出建设方案，报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none"/>
        </w:rPr>
        <w:t>县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none"/>
          <w:lang w:eastAsia="zh-CN"/>
        </w:rPr>
        <w:t>（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none"/>
        </w:rPr>
        <w:t>区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none"/>
          <w:lang w:eastAsia="zh-CN"/>
        </w:rPr>
        <w:t>）民政部门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none"/>
        </w:rPr>
        <w:t>审批。</w:t>
      </w:r>
      <w:r>
        <w:rPr>
          <w:rFonts w:hint="eastAsia" w:ascii="仿宋_GB2312" w:eastAsia="仿宋_GB2312"/>
          <w:b w:val="0"/>
          <w:bCs/>
          <w:i w:val="0"/>
          <w:caps w:val="0"/>
          <w:color w:val="auto"/>
          <w:spacing w:val="0"/>
          <w:w w:val="100"/>
          <w:sz w:val="32"/>
          <w:highlight w:val="none"/>
          <w:lang w:eastAsia="zh-CN"/>
        </w:rPr>
        <w:t>城市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none"/>
        </w:rPr>
        <w:t>公益性公墓由县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none"/>
          <w:lang w:eastAsia="zh-CN"/>
        </w:rPr>
        <w:t>（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none"/>
        </w:rPr>
        <w:t>区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none"/>
          <w:lang w:eastAsia="zh-CN"/>
        </w:rPr>
        <w:t>）民政部门提出建设方案，报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none"/>
        </w:rPr>
        <w:t>市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none"/>
          <w:lang w:eastAsia="zh-CN"/>
        </w:rPr>
        <w:t>民政部门审批，并报省民政部门备案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none"/>
        </w:rPr>
        <w:t>。</w:t>
      </w:r>
    </w:p>
    <w:p>
      <w:pPr>
        <w:numPr>
          <w:numId w:val="0"/>
        </w:numPr>
        <w:snapToGrid w:val="0"/>
        <w:spacing w:before="0" w:beforeAutospacing="0" w:after="0" w:afterAutospacing="0" w:line="576" w:lineRule="exact"/>
        <w:ind w:firstLine="643" w:firstLineChars="200"/>
        <w:jc w:val="both"/>
        <w:textAlignment w:val="baseline"/>
        <w:rPr>
          <w:rFonts w:hint="eastAsia" w:ascii="仿宋_GB2312" w:eastAsia="仿宋_GB2312"/>
          <w:b w:val="0"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 w:val="0"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第九条</w:t>
      </w:r>
      <w:r>
        <w:rPr>
          <w:rFonts w:hint="eastAsia" w:ascii="仿宋_GB2312" w:eastAsia="仿宋_GB2312"/>
          <w:b w:val="0"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 xml:space="preserve">  建设公益性公墓应提交的材料包括：　　</w:t>
      </w:r>
    </w:p>
    <w:p>
      <w:pPr>
        <w:numPr>
          <w:numId w:val="0"/>
        </w:numPr>
        <w:snapToGrid w:val="0"/>
        <w:spacing w:before="0" w:beforeAutospacing="0" w:after="0" w:afterAutospacing="0" w:line="576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 xml:space="preserve">（一） 建立公墓的申请报告； </w:t>
      </w:r>
    </w:p>
    <w:p>
      <w:pPr>
        <w:numPr>
          <w:numId w:val="0"/>
        </w:numPr>
        <w:snapToGrid w:val="0"/>
        <w:spacing w:before="0" w:beforeAutospacing="0" w:after="0" w:afterAutospacing="0" w:line="576" w:lineRule="exact"/>
        <w:jc w:val="both"/>
        <w:textAlignment w:val="baseline"/>
        <w:rPr>
          <w:rFonts w:hint="eastAsia" w:ascii="仿宋_GB2312" w:eastAsia="仿宋_GB2312"/>
          <w:b w:val="0"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　　（二）自然资源和规划、林业部门审查意见;</w:t>
      </w:r>
    </w:p>
    <w:p>
      <w:pPr>
        <w:numPr>
          <w:numId w:val="0"/>
        </w:numPr>
        <w:snapToGrid w:val="0"/>
        <w:spacing w:before="0" w:beforeAutospacing="0" w:after="0" w:afterAutospacing="0" w:line="576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（三）建立公墓可行性报告；</w:t>
      </w:r>
    </w:p>
    <w:p>
      <w:pPr>
        <w:numPr>
          <w:numId w:val="0"/>
        </w:numPr>
        <w:snapToGrid w:val="0"/>
        <w:spacing w:before="0" w:beforeAutospacing="0" w:after="0" w:afterAutospacing="0" w:line="576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（四）其他材料。</w:t>
      </w:r>
    </w:p>
    <w:p>
      <w:pPr>
        <w:snapToGrid w:val="0"/>
        <w:spacing w:before="0" w:beforeAutospacing="0" w:after="0" w:afterAutospacing="0" w:line="576" w:lineRule="exact"/>
        <w:ind w:firstLine="640" w:firstLineChars="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eastAsia="仿宋_GB2312"/>
          <w:b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_GB2312" w:eastAsia="仿宋_GB2312"/>
          <w:b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eastAsia="仿宋_GB2312"/>
          <w:b/>
          <w:i w:val="0"/>
          <w:caps w:val="0"/>
          <w:color w:val="000000" w:themeColor="text1"/>
          <w:spacing w:val="0"/>
          <w:w w:val="100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公益性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none"/>
          <w:lang w:eastAsia="zh-CN"/>
        </w:rPr>
        <w:t>公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墓墓位占地面积和墓碑高度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，按照国家和省有关规定执行。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right="0" w:rightChars="0" w:firstLine="643" w:firstLineChars="200"/>
        <w:jc w:val="both"/>
        <w:textAlignment w:val="baseline"/>
        <w:outlineLvl w:val="9"/>
        <w:rPr>
          <w:rFonts w:hint="eastAsia" w:ascii="仿宋_GB2312" w:eastAsia="仿宋_GB2312"/>
          <w:b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i w:val="0"/>
          <w:caps w:val="0"/>
          <w:color w:val="auto"/>
          <w:spacing w:val="0"/>
          <w:w w:val="100"/>
          <w:sz w:val="32"/>
          <w:shd w:val="clear" w:color="auto" w:fill="auto"/>
          <w:lang w:eastAsia="zh-CN"/>
        </w:rPr>
        <w:t>第十一条</w:t>
      </w:r>
      <w:r>
        <w:rPr>
          <w:rFonts w:hint="eastAsia" w:ascii="仿宋_GB2312" w:eastAsia="仿宋_GB2312"/>
          <w:b/>
          <w:bCs/>
          <w:i w:val="0"/>
          <w:caps w:val="0"/>
          <w:color w:val="auto"/>
          <w:spacing w:val="0"/>
          <w:w w:val="100"/>
          <w:sz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color w:val="FF0000"/>
          <w:spacing w:val="0"/>
          <w:w w:val="100"/>
          <w:sz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农村公益性公墓的服务对象为本辖区内的户籍人口，城市公益性公墓的服务对象为本辖区内的常住人口。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right="0" w:rightChars="0" w:firstLine="643" w:firstLineChars="200"/>
        <w:jc w:val="both"/>
        <w:textAlignment w:val="baseline"/>
        <w:outlineLvl w:val="9"/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</w:pPr>
      <w:r>
        <w:rPr>
          <w:rFonts w:hint="eastAsia" w:ascii="仿宋_GB2312" w:eastAsia="仿宋_GB2312"/>
          <w:b/>
          <w:bCs w:val="0"/>
          <w:i w:val="0"/>
          <w:caps w:val="0"/>
          <w:color w:val="auto"/>
          <w:spacing w:val="0"/>
          <w:w w:val="100"/>
          <w:sz w:val="32"/>
        </w:rPr>
        <w:t>第</w:t>
      </w:r>
      <w:r>
        <w:rPr>
          <w:rFonts w:hint="eastAsia" w:ascii="仿宋_GB2312" w:eastAsia="仿宋_GB2312"/>
          <w:b/>
          <w:bCs w:val="0"/>
          <w:i w:val="0"/>
          <w:caps w:val="0"/>
          <w:color w:val="auto"/>
          <w:spacing w:val="0"/>
          <w:w w:val="100"/>
          <w:sz w:val="32"/>
          <w:lang w:eastAsia="zh-CN"/>
        </w:rPr>
        <w:t>十二</w:t>
      </w:r>
      <w:r>
        <w:rPr>
          <w:rFonts w:hint="eastAsia" w:ascii="仿宋_GB2312" w:eastAsia="仿宋_GB2312"/>
          <w:b/>
          <w:bCs w:val="0"/>
          <w:i w:val="0"/>
          <w:caps w:val="0"/>
          <w:color w:val="auto"/>
          <w:spacing w:val="0"/>
          <w:w w:val="100"/>
          <w:sz w:val="32"/>
        </w:rPr>
        <w:t>条</w:t>
      </w:r>
      <w:r>
        <w:rPr>
          <w:rFonts w:hint="eastAsia" w:ascii="仿宋_GB2312" w:eastAsia="仿宋_GB2312"/>
          <w:b/>
          <w:bCs w:val="0"/>
          <w:i w:val="0"/>
          <w:caps w:val="0"/>
          <w:color w:val="auto"/>
          <w:spacing w:val="0"/>
          <w:w w:val="100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i w:val="0"/>
          <w:caps w:val="0"/>
          <w:color w:val="000000" w:themeColor="text1"/>
          <w:spacing w:val="0"/>
          <w:w w:val="100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需要购置墓位的，应当出具本人有效身份证件和安葬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shd w:val="clear" w:color="auto" w:fill="auto"/>
          <w:lang w:eastAsia="zh-CN"/>
        </w:rPr>
        <w:t>对象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的死亡证明或者火化证明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。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为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夫妻健在一方和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高龄老人、危重病人预订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墓位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的，应当出具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其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有效身份证件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医疗诊断证明。</w:t>
      </w:r>
    </w:p>
    <w:p>
      <w:pPr>
        <w:spacing w:line="600" w:lineRule="atLeast"/>
        <w:ind w:firstLine="640" w:firstLineChars="200"/>
        <w:rPr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公墓运营单位应当在查验用户证明材料后与其签订安葬协议，并免费向用户提供格式文本和公墓墓位证，开具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非税收入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t>票据。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fldChar w:fldCharType="begin"/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instrText xml:space="preserve"> HYPERLINK "javascript:void(0);" </w:instrTex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fldChar w:fldCharType="separate"/>
      </w:r>
      <w:bookmarkStart w:id="1" w:name="tiao18_kuan2"/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</w:rPr>
        <w:fldChar w:fldCharType="end"/>
      </w:r>
      <w:bookmarkEnd w:id="1"/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　　</w:t>
      </w:r>
    </w:p>
    <w:p>
      <w:pPr>
        <w:snapToGrid w:val="0"/>
        <w:spacing w:before="0" w:beforeAutospacing="0" w:after="0" w:afterAutospacing="0" w:line="576" w:lineRule="exact"/>
        <w:ind w:firstLine="643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i w:val="0"/>
          <w:caps w:val="0"/>
          <w:color w:val="auto"/>
          <w:spacing w:val="0"/>
          <w:w w:val="100"/>
          <w:sz w:val="32"/>
        </w:rPr>
        <w:t>第</w:t>
      </w:r>
      <w:r>
        <w:rPr>
          <w:rFonts w:hint="eastAsia" w:ascii="仿宋_GB2312" w:eastAsia="仿宋_GB2312"/>
          <w:b/>
          <w:i w:val="0"/>
          <w:caps w:val="0"/>
          <w:color w:val="auto"/>
          <w:spacing w:val="0"/>
          <w:w w:val="100"/>
          <w:sz w:val="32"/>
          <w:lang w:eastAsia="zh-CN"/>
        </w:rPr>
        <w:t>十</w:t>
      </w:r>
      <w:r>
        <w:rPr>
          <w:rFonts w:hint="eastAsia" w:ascii="仿宋_GB2312" w:eastAsia="仿宋_GB2312"/>
          <w:b/>
          <w:i w:val="0"/>
          <w:caps w:val="0"/>
          <w:color w:val="auto"/>
          <w:spacing w:val="0"/>
          <w:w w:val="100"/>
          <w:sz w:val="32"/>
          <w:shd w:val="clear" w:color="auto" w:fill="auto"/>
          <w:lang w:eastAsia="zh-CN"/>
        </w:rPr>
        <w:t>三</w:t>
      </w:r>
      <w:r>
        <w:rPr>
          <w:rFonts w:hint="eastAsia" w:ascii="仿宋_GB2312" w:eastAsia="仿宋_GB2312"/>
          <w:b/>
          <w:i w:val="0"/>
          <w:caps w:val="0"/>
          <w:color w:val="auto"/>
          <w:spacing w:val="0"/>
          <w:w w:val="100"/>
          <w:sz w:val="32"/>
        </w:rPr>
        <w:t>条</w:t>
      </w:r>
      <w:r>
        <w:rPr>
          <w:rFonts w:hint="eastAsia" w:ascii="仿宋_GB2312" w:hAnsi="Times New Roman" w:eastAsia="仿宋_GB2312"/>
          <w:b w:val="0"/>
          <w:i w:val="0"/>
          <w:caps w:val="0"/>
          <w:color w:val="auto"/>
          <w:spacing w:val="0"/>
          <w:w w:val="100"/>
          <w:sz w:val="32"/>
        </w:rPr>
        <w:t xml:space="preserve"> </w:t>
      </w:r>
      <w:r>
        <w:rPr>
          <w:rFonts w:hint="eastAsia" w:ascii="仿宋_GB2312" w:hAnsi="Times New Roman" w:eastAsia="仿宋_GB2312"/>
          <w:b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公益性公墓价格实行政府定价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由县（区）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发展改革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部门会同民政部门按照非营利的原则核定后，向社会公布。</w:t>
      </w:r>
    </w:p>
    <w:p>
      <w:pPr>
        <w:spacing w:line="600" w:lineRule="atLeast"/>
        <w:ind w:firstLine="643" w:firstLineChars="200"/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eastAsia="仿宋_GB2312"/>
          <w:b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十四</w:t>
      </w:r>
      <w:r>
        <w:rPr>
          <w:rFonts w:hint="eastAsia" w:ascii="仿宋_GB2312" w:eastAsia="仿宋_GB2312"/>
          <w:b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公益性公墓应当在墓区内设立免费区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并采取其他减免优惠措施，所需资金由市、县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（区）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公共财政予以保障。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instrText xml:space="preserve"> HYPERLINK "javascript:void(0);" </w:instrTex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fldChar w:fldCharType="separate"/>
      </w:r>
      <w:bookmarkStart w:id="2" w:name="tiao13_kuan1"/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fldChar w:fldCharType="end"/>
      </w:r>
      <w:bookmarkEnd w:id="2"/>
    </w:p>
    <w:p>
      <w:pPr>
        <w:snapToGrid w:val="0"/>
        <w:spacing w:before="0" w:beforeAutospacing="0" w:after="0" w:afterAutospacing="0" w:line="576" w:lineRule="exact"/>
        <w:ind w:firstLine="644" w:firstLineChars="0"/>
        <w:jc w:val="both"/>
        <w:textAlignment w:val="baseline"/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下列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安葬对象选择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免费区安葬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的，免除全部费用：</w:t>
      </w:r>
    </w:p>
    <w:p>
      <w:pPr>
        <w:snapToGrid w:val="0"/>
        <w:spacing w:before="0" w:beforeAutospacing="0" w:after="0" w:afterAutospacing="0" w:line="576" w:lineRule="exact"/>
        <w:ind w:firstLine="0" w:firstLineChars="0"/>
        <w:jc w:val="both"/>
        <w:textAlignment w:val="baseline"/>
        <w:rPr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　　（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）享受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城乡特困供养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待遇人员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，享受城乡居民最低生活保障待遇人员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；</w:t>
      </w:r>
    </w:p>
    <w:p>
      <w:pPr>
        <w:snapToGrid w:val="0"/>
        <w:spacing w:before="0" w:beforeAutospacing="0" w:after="0" w:afterAutospacing="0" w:line="576" w:lineRule="exact"/>
        <w:ind w:firstLine="0" w:firstLineChars="0"/>
        <w:jc w:val="both"/>
        <w:textAlignment w:val="baseline"/>
        <w:rPr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　　（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）无法定赡养人和抚养人、无劳动能力、无生活来源人员；</w:t>
      </w:r>
    </w:p>
    <w:p>
      <w:pPr>
        <w:snapToGrid w:val="0"/>
        <w:spacing w:before="0" w:beforeAutospacing="0" w:after="0" w:afterAutospacing="0" w:line="576" w:lineRule="exact"/>
        <w:ind w:firstLine="653" w:firstLineChars="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）无法查实身份、住所、工作单位和社会关系人员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napToGrid w:val="0"/>
        <w:spacing w:before="0" w:beforeAutospacing="0" w:after="0" w:afterAutospacing="0" w:line="576" w:lineRule="exact"/>
        <w:ind w:firstLine="640" w:firstLineChars="200"/>
        <w:jc w:val="both"/>
        <w:textAlignment w:val="baseline"/>
        <w:rPr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2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14:textFill>
            <w14:solidFill>
              <w14:schemeClr w14:val="tx1"/>
            </w14:solidFill>
          </w14:textFill>
        </w:rPr>
        <w:t>）见义勇为牺牲人员；</w:t>
      </w:r>
    </w:p>
    <w:p>
      <w:pPr>
        <w:snapToGrid w:val="0"/>
        <w:spacing w:before="0" w:beforeAutospacing="0" w:after="0" w:afterAutospacing="0" w:line="576" w:lineRule="exact"/>
        <w:ind w:firstLine="0" w:firstLineChars="0"/>
        <w:jc w:val="both"/>
        <w:textAlignment w:val="baseline"/>
        <w:rPr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2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14:textFill>
            <w14:solidFill>
              <w14:schemeClr w14:val="tx1"/>
            </w14:solidFill>
          </w14:textFill>
        </w:rPr>
        <w:t>　　（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14:textFill>
            <w14:solidFill>
              <w14:schemeClr w14:val="tx1"/>
            </w14:solidFill>
          </w14:textFill>
        </w:rPr>
        <w:t>）属于优抚对象，但未享受国家丧葬费补贴的人员；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576" w:lineRule="exact"/>
        <w:ind w:firstLine="640" w:firstLineChars="0"/>
        <w:jc w:val="both"/>
        <w:textAlignment w:val="baseline"/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14:textFill>
            <w14:solidFill>
              <w14:schemeClr w14:val="tx1"/>
            </w14:solidFill>
          </w14:textFill>
        </w:rPr>
        <w:t>遗体器官捐献人员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576" w:lineRule="exact"/>
        <w:ind w:firstLine="640" w:firstLineChars="0"/>
        <w:jc w:val="both"/>
        <w:textAlignment w:val="baseline"/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国家、省规定的其他情形。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right="0" w:rightChars="0" w:firstLine="643" w:firstLineChars="200"/>
        <w:jc w:val="both"/>
        <w:textAlignment w:val="baseline"/>
        <w:outlineLvl w:val="9"/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eastAsia="仿宋_GB2312"/>
          <w:b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十五</w:t>
      </w:r>
      <w:r>
        <w:rPr>
          <w:rFonts w:hint="eastAsia" w:ascii="仿宋_GB2312" w:eastAsia="仿宋_GB2312"/>
          <w:b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 xml:space="preserve"> 公墓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运营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单位应当在服务场所醒目位置公开公示有效的设立凭证和公墓性质、服务项目、服务地域、收费标准和依据、办事流程、服务规范、监督机关和监督电话等内容，自觉接受监督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不得擅自关闭公墓或者改变用途。</w:t>
      </w:r>
    </w:p>
    <w:p>
      <w:pPr>
        <w:snapToGrid w:val="0"/>
        <w:spacing w:before="0" w:beforeAutospacing="0" w:after="0" w:afterAutospacing="0" w:line="576" w:lineRule="exact"/>
        <w:ind w:firstLine="643" w:firstLineChars="200"/>
        <w:jc w:val="left"/>
        <w:textAlignment w:val="baseline"/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Times New Roman" w:eastAsia="仿宋_GB2312"/>
          <w:b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十六</w:t>
      </w:r>
      <w:r>
        <w:rPr>
          <w:rFonts w:hint="eastAsia" w:ascii="仿宋_GB2312" w:hAnsi="Times New Roman" w:eastAsia="仿宋_GB2312"/>
          <w:b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民政部门应当加强对公墓运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14:textFill>
            <w14:solidFill>
              <w14:schemeClr w14:val="tx1"/>
            </w14:solidFill>
          </w14:textFill>
        </w:rPr>
        <w:t>营单位的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指导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14:textFill>
            <w14:solidFill>
              <w14:schemeClr w14:val="tx1"/>
            </w14:solidFill>
          </w14:textFill>
        </w:rPr>
        <w:t>检查，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应当按照要求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公益性公墓开展年检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年检结果向社会公布。</w:t>
      </w:r>
    </w:p>
    <w:p>
      <w:pPr>
        <w:snapToGrid w:val="0"/>
        <w:spacing w:before="0" w:beforeAutospacing="0" w:after="0" w:afterAutospacing="0" w:line="576" w:lineRule="exact"/>
        <w:ind w:firstLine="64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14:textFill>
            <w14:solidFill>
              <w14:schemeClr w14:val="tx1"/>
            </w14:solidFill>
          </w14:textFill>
        </w:rPr>
        <w:t>建立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健全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14:textFill>
            <w14:solidFill>
              <w14:schemeClr w14:val="tx1"/>
            </w14:solidFill>
          </w14:textFill>
        </w:rPr>
        <w:t>社会监督和投诉举报制度，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通过信息化的手段加强墓位证的管理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14:textFill>
            <w14:solidFill>
              <w14:schemeClr w14:val="tx1"/>
            </w14:solidFill>
          </w14:textFill>
        </w:rPr>
        <w:t>，防止伪造和滥用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墓位证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before="0" w:beforeAutospacing="0" w:after="0" w:afterAutospacing="0" w:line="576" w:lineRule="exact"/>
        <w:ind w:firstLine="660" w:firstLineChars="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Times New Roman" w:eastAsia="仿宋_GB2312"/>
          <w:b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十七</w:t>
      </w:r>
      <w:r>
        <w:rPr>
          <w:rFonts w:hint="eastAsia" w:ascii="仿宋_GB2312" w:hAnsi="Times New Roman" w:eastAsia="仿宋_GB2312"/>
          <w:b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/>
          <w:b w:val="0"/>
          <w:i w:val="0"/>
          <w:caps w:val="0"/>
          <w:color w:val="auto"/>
          <w:spacing w:val="0"/>
          <w:w w:val="100"/>
          <w:sz w:val="32"/>
          <w:lang w:val="en-US" w:eastAsia="zh-CN"/>
        </w:rPr>
        <w:t>违反本办法第十条规定，墓位占地面积和墓碑高度超出国家、省有关规定的</w:t>
      </w:r>
      <w:r>
        <w:rPr>
          <w:rFonts w:hint="eastAsia" w:ascii="仿宋_GB2312" w:hAnsi="Times New Roman" w:eastAsia="仿宋_GB2312"/>
          <w:b w:val="0"/>
          <w:i w:val="0"/>
          <w:caps w:val="0"/>
          <w:color w:val="auto"/>
          <w:spacing w:val="0"/>
          <w:w w:val="100"/>
          <w:sz w:val="32"/>
        </w:rPr>
        <w:t>，由民政部门责令限期改正，给予警告；有违法所得的，没收违法所得，并处</w:t>
      </w:r>
      <w:r>
        <w:rPr>
          <w:rFonts w:hint="eastAsia" w:ascii="仿宋_GB2312" w:hAnsi="Times New Roman" w:eastAsia="仿宋_GB2312"/>
          <w:b w:val="0"/>
          <w:i w:val="0"/>
          <w:caps w:val="0"/>
          <w:color w:val="auto"/>
          <w:spacing w:val="0"/>
          <w:w w:val="100"/>
          <w:sz w:val="32"/>
          <w:lang w:val="en-US" w:eastAsia="zh-CN"/>
        </w:rPr>
        <w:t>1万元以上3万元以下的罚款</w:t>
      </w:r>
      <w:r>
        <w:rPr>
          <w:rFonts w:hint="eastAsia" w:ascii="仿宋_GB2312" w:hAnsi="Times New Roman" w:eastAsia="仿宋_GB2312"/>
          <w:b w:val="0"/>
          <w:i w:val="0"/>
          <w:caps w:val="0"/>
          <w:color w:val="auto"/>
          <w:spacing w:val="0"/>
          <w:w w:val="100"/>
          <w:sz w:val="32"/>
        </w:rPr>
        <w:t>；对直接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负责的主管人员和其他直接责任人员，依法给予处分。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snapToGrid w:val="0"/>
        <w:spacing w:before="0" w:beforeAutospacing="0" w:after="0" w:afterAutospacing="0" w:line="576" w:lineRule="exact"/>
        <w:ind w:firstLine="643" w:firstLineChars="200"/>
        <w:jc w:val="left"/>
        <w:textAlignment w:val="baseline"/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第十八条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违反本办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第十一条、第十四条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14:textFill>
            <w14:solidFill>
              <w14:schemeClr w14:val="tx1"/>
            </w14:solidFill>
          </w14:textFill>
        </w:rPr>
        <w:t>规定，公墓运营单位</w:t>
      </w:r>
      <w:bookmarkStart w:id="3" w:name="_GoBack"/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14:textFill>
            <w14:solidFill>
              <w14:schemeClr w14:val="tx1"/>
            </w14:solidFill>
          </w14:textFill>
        </w:rPr>
        <w:t>跨地域营销墓位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、未设立免费区</w:t>
      </w:r>
      <w:bookmarkEnd w:id="3"/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14:textFill>
            <w14:solidFill>
              <w14:schemeClr w14:val="tx1"/>
            </w14:solidFill>
          </w14:textFill>
        </w:rPr>
        <w:t>，由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县（区）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14:textFill>
            <w14:solidFill>
              <w14:schemeClr w14:val="tx1"/>
            </w14:solidFill>
          </w14:textFill>
        </w:rPr>
        <w:t>民政部门责令改正，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有违法所得的，没收违法所得，并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14:textFill>
            <w14:solidFill>
              <w14:schemeClr w14:val="tx1"/>
            </w14:solidFill>
          </w14:textFill>
        </w:rPr>
        <w:t>处1万元以上3万元以下罚款。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snapToGrid w:val="0"/>
        <w:spacing w:before="0" w:beforeAutospacing="0" w:after="0" w:afterAutospacing="0" w:line="576" w:lineRule="exact"/>
        <w:ind w:firstLine="643" w:firstLineChars="200"/>
        <w:jc w:val="left"/>
        <w:textAlignment w:val="baseline"/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Times New Roman" w:eastAsia="仿宋_GB2312"/>
          <w:b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十九</w:t>
      </w:r>
      <w:r>
        <w:rPr>
          <w:rFonts w:hint="eastAsia" w:ascii="仿宋_GB2312" w:hAnsi="Times New Roman" w:eastAsia="仿宋_GB2312"/>
          <w:b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违反本办法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第十三条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规定，公墓运营单位未按政府定价销售墓位，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或有者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超标准收取墓位维护管理费、不执行法定的价格干预措施、哄抬墓位价格、实施价格欺诈等情形的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，由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市场监管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部门依法处罚。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napToGrid w:val="0"/>
        <w:spacing w:before="0" w:beforeAutospacing="0" w:after="0" w:afterAutospacing="0" w:line="576" w:lineRule="exact"/>
        <w:ind w:firstLine="0" w:firstLineChars="0"/>
        <w:jc w:val="left"/>
        <w:textAlignment w:val="baseline"/>
        <w:rPr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Times New Roman" w:eastAsia="仿宋_GB2312"/>
          <w:b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Times New Roman" w:eastAsia="仿宋_GB2312"/>
          <w:b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  <w:t>二十</w:t>
      </w:r>
      <w:r>
        <w:rPr>
          <w:rFonts w:hint="eastAsia" w:ascii="仿宋_GB2312" w:hAnsi="Times New Roman" w:eastAsia="仿宋_GB2312"/>
          <w:b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t>本办法自   年  月  日起施行。</w:t>
      </w:r>
    </w:p>
    <w:p>
      <w:pPr>
        <w:snapToGrid w:val="0"/>
        <w:spacing w:before="0" w:beforeAutospacing="0" w:after="0" w:afterAutospacing="0" w:line="576" w:lineRule="exact"/>
        <w:ind w:firstLine="660" w:firstLineChars="0"/>
        <w:jc w:val="left"/>
        <w:textAlignment w:val="baseline"/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yellow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4F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848235"/>
    </w:sdtPr>
    <w:sdtContent>
      <w:p>
        <w:pPr>
          <w:pStyle w:val="2"/>
          <w:ind w:right="360"/>
          <w:jc w:val="right"/>
        </w:pPr>
        <w:r>
          <w:rPr>
            <w:rFonts w:hint="eastAsia" w:ascii="方正仿宋_GBK" w:eastAsia="方正仿宋_GBK"/>
            <w:sz w:val="28"/>
          </w:rPr>
          <w:t>—</w:t>
        </w:r>
        <w:r>
          <w:rPr>
            <w:sz w:val="28"/>
          </w:rPr>
          <w:t xml:space="preserve"> 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</w:rPr>
          <w:t>3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sz w:val="28"/>
          </w:rPr>
          <w:t xml:space="preserve"> </w:t>
        </w:r>
        <w:r>
          <w:rPr>
            <w:rFonts w:hint="eastAsia" w:ascii="方正仿宋_GBK" w:eastAsia="方正仿宋_GBK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180" w:firstLineChars="100"/>
    </w:pPr>
    <w:sdt>
      <w:sdtPr>
        <w:id w:val="-1029335392"/>
      </w:sdtPr>
      <w:sdtContent>
        <w:r>
          <w:rPr>
            <w:rFonts w:hint="eastAsia" w:ascii="方正仿宋_GBK" w:eastAsia="方正仿宋_GBK"/>
            <w:sz w:val="28"/>
          </w:rPr>
          <w:t>—</w:t>
        </w:r>
        <w:r>
          <w:rPr>
            <w:sz w:val="28"/>
          </w:rPr>
          <w:t xml:space="preserve"> 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sz w:val="28"/>
          </w:rPr>
          <w:t xml:space="preserve"> </w:t>
        </w:r>
        <w:r>
          <w:rPr>
            <w:rFonts w:hint="eastAsia" w:ascii="方正仿宋_GBK" w:eastAsia="方正仿宋_GBK"/>
            <w:sz w:val="28"/>
          </w:rPr>
          <w:t>—</w:t>
        </w:r>
      </w:sdtContent>
    </w:sdt>
    <w:r>
      <w:rPr>
        <w:rFonts w:hint="eastAsia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57DCD"/>
    <w:multiLevelType w:val="singleLevel"/>
    <w:tmpl w:val="63357DCD"/>
    <w:lvl w:ilvl="0" w:tentative="0">
      <w:start w:val="6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EE"/>
    <w:rsid w:val="00032571"/>
    <w:rsid w:val="00045A07"/>
    <w:rsid w:val="000602B1"/>
    <w:rsid w:val="0008745D"/>
    <w:rsid w:val="000B01BC"/>
    <w:rsid w:val="000C67BB"/>
    <w:rsid w:val="000C7A5A"/>
    <w:rsid w:val="00100E38"/>
    <w:rsid w:val="001A2DDE"/>
    <w:rsid w:val="001B2442"/>
    <w:rsid w:val="001B2A0D"/>
    <w:rsid w:val="001F562B"/>
    <w:rsid w:val="00203573"/>
    <w:rsid w:val="00257093"/>
    <w:rsid w:val="002A39E3"/>
    <w:rsid w:val="00320FB1"/>
    <w:rsid w:val="00372035"/>
    <w:rsid w:val="00494727"/>
    <w:rsid w:val="004A2822"/>
    <w:rsid w:val="004E18AB"/>
    <w:rsid w:val="004E369A"/>
    <w:rsid w:val="005102EE"/>
    <w:rsid w:val="005174B0"/>
    <w:rsid w:val="00533FC0"/>
    <w:rsid w:val="00575A65"/>
    <w:rsid w:val="005C63E5"/>
    <w:rsid w:val="005E552C"/>
    <w:rsid w:val="00613E6E"/>
    <w:rsid w:val="0062206D"/>
    <w:rsid w:val="006B77A5"/>
    <w:rsid w:val="006D3498"/>
    <w:rsid w:val="006E58D6"/>
    <w:rsid w:val="00785DCA"/>
    <w:rsid w:val="007A7BDF"/>
    <w:rsid w:val="007B3757"/>
    <w:rsid w:val="007C134D"/>
    <w:rsid w:val="007E0295"/>
    <w:rsid w:val="00815B8F"/>
    <w:rsid w:val="0082550A"/>
    <w:rsid w:val="008714BC"/>
    <w:rsid w:val="009516E9"/>
    <w:rsid w:val="00994570"/>
    <w:rsid w:val="009C07AF"/>
    <w:rsid w:val="00A277FE"/>
    <w:rsid w:val="00A550A2"/>
    <w:rsid w:val="00A6544C"/>
    <w:rsid w:val="00AA3C80"/>
    <w:rsid w:val="00AE32D1"/>
    <w:rsid w:val="00B03C15"/>
    <w:rsid w:val="00B140B1"/>
    <w:rsid w:val="00B44638"/>
    <w:rsid w:val="00C20C2C"/>
    <w:rsid w:val="00C40F14"/>
    <w:rsid w:val="00C65806"/>
    <w:rsid w:val="00C66024"/>
    <w:rsid w:val="00C818C1"/>
    <w:rsid w:val="00CD4FC2"/>
    <w:rsid w:val="00D344E9"/>
    <w:rsid w:val="00D861D5"/>
    <w:rsid w:val="00DC4E74"/>
    <w:rsid w:val="00E134A6"/>
    <w:rsid w:val="00E54BA3"/>
    <w:rsid w:val="00E92F45"/>
    <w:rsid w:val="00EF2E94"/>
    <w:rsid w:val="00F07345"/>
    <w:rsid w:val="00F62C7D"/>
    <w:rsid w:val="01B32779"/>
    <w:rsid w:val="04F22F6A"/>
    <w:rsid w:val="059F73EE"/>
    <w:rsid w:val="085733A8"/>
    <w:rsid w:val="0A8F33A1"/>
    <w:rsid w:val="0D532590"/>
    <w:rsid w:val="0DBB7BAF"/>
    <w:rsid w:val="0DDE67F6"/>
    <w:rsid w:val="110C0497"/>
    <w:rsid w:val="12C177D2"/>
    <w:rsid w:val="179D63C2"/>
    <w:rsid w:val="18065F3E"/>
    <w:rsid w:val="18B821F7"/>
    <w:rsid w:val="19752531"/>
    <w:rsid w:val="1D1C050E"/>
    <w:rsid w:val="1DA621F1"/>
    <w:rsid w:val="1DCA3C19"/>
    <w:rsid w:val="1E2E2A8C"/>
    <w:rsid w:val="20B06010"/>
    <w:rsid w:val="21617D6D"/>
    <w:rsid w:val="24373937"/>
    <w:rsid w:val="24C96289"/>
    <w:rsid w:val="26173E4C"/>
    <w:rsid w:val="27314692"/>
    <w:rsid w:val="2A807E9A"/>
    <w:rsid w:val="2B294B6F"/>
    <w:rsid w:val="2C6C159D"/>
    <w:rsid w:val="2CE66429"/>
    <w:rsid w:val="2DC90CA7"/>
    <w:rsid w:val="2FCA01FA"/>
    <w:rsid w:val="303C7BA3"/>
    <w:rsid w:val="3132235D"/>
    <w:rsid w:val="324C6F5F"/>
    <w:rsid w:val="381C0E37"/>
    <w:rsid w:val="38733070"/>
    <w:rsid w:val="393E0854"/>
    <w:rsid w:val="3B1B5BDA"/>
    <w:rsid w:val="3D9E4FB2"/>
    <w:rsid w:val="3DAE6D1B"/>
    <w:rsid w:val="3FEB5A9E"/>
    <w:rsid w:val="4050258C"/>
    <w:rsid w:val="41C53741"/>
    <w:rsid w:val="42140582"/>
    <w:rsid w:val="43EA429D"/>
    <w:rsid w:val="445850BB"/>
    <w:rsid w:val="47DF17AB"/>
    <w:rsid w:val="4BF85F9A"/>
    <w:rsid w:val="4E420EBF"/>
    <w:rsid w:val="51153D14"/>
    <w:rsid w:val="51311AC4"/>
    <w:rsid w:val="527C7702"/>
    <w:rsid w:val="55E000FF"/>
    <w:rsid w:val="590D4CA5"/>
    <w:rsid w:val="59E65271"/>
    <w:rsid w:val="5C0E66F4"/>
    <w:rsid w:val="5C9460E9"/>
    <w:rsid w:val="5DB0334B"/>
    <w:rsid w:val="5F525A9C"/>
    <w:rsid w:val="609A3A1C"/>
    <w:rsid w:val="60C10A21"/>
    <w:rsid w:val="614018BC"/>
    <w:rsid w:val="641F5F27"/>
    <w:rsid w:val="663C5BA4"/>
    <w:rsid w:val="68AE0416"/>
    <w:rsid w:val="6AEB5748"/>
    <w:rsid w:val="6BB66438"/>
    <w:rsid w:val="6DAE40E8"/>
    <w:rsid w:val="6E7374F9"/>
    <w:rsid w:val="6EB52647"/>
    <w:rsid w:val="710B2E98"/>
    <w:rsid w:val="732B69CD"/>
    <w:rsid w:val="733C17F5"/>
    <w:rsid w:val="78967146"/>
    <w:rsid w:val="793B3B86"/>
    <w:rsid w:val="799C405E"/>
    <w:rsid w:val="7A985693"/>
    <w:rsid w:val="7D8C49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209</Words>
  <Characters>1197</Characters>
  <Lines>9</Lines>
  <Paragraphs>2</Paragraphs>
  <ScaleCrop>false</ScaleCrop>
  <LinksUpToDate>false</LinksUpToDate>
  <CharactersWithSpaces>1404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2021-12-14T01:02:00Z</dcterms:created>
  <dc:creator>汪长春</dc:creator>
  <cp:lastModifiedBy>gyb1</cp:lastModifiedBy>
  <cp:lastPrinted>2022-09-30T05:31:21Z</cp:lastPrinted>
  <dcterms:modified xsi:type="dcterms:W3CDTF">2022-09-30T11:27:08Z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C747781D3E4C42A4AEE9249FEC816AE4</vt:lpwstr>
  </property>
</Properties>
</file>