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_GB2312" w:eastAsia="楷体_GB2312"/>
          <w:b/>
          <w:bCs/>
          <w:sz w:val="36"/>
          <w:szCs w:val="36"/>
        </w:rPr>
      </w:pPr>
      <w:bookmarkStart w:id="63" w:name="_GoBack"/>
      <w:r>
        <w:rPr>
          <w:rFonts w:hint="eastAsia" w:ascii="方正小标宋简体" w:hAnsi="黑体" w:eastAsia="方正小标宋简体"/>
          <w:bCs/>
          <w:sz w:val="48"/>
          <w:szCs w:val="48"/>
          <w:lang w:val="en-US" w:eastAsia="zh-CN"/>
        </w:rPr>
        <w:t>六安市</w:t>
      </w:r>
      <w:r>
        <w:rPr>
          <w:rFonts w:hint="eastAsia" w:ascii="方正小标宋简体" w:hAnsi="黑体" w:eastAsia="方正小标宋简体"/>
          <w:bCs/>
          <w:sz w:val="48"/>
          <w:szCs w:val="48"/>
        </w:rPr>
        <w:t>应急物资保障规划</w:t>
      </w:r>
      <w:r>
        <w:rPr>
          <w:rFonts w:hint="eastAsia" w:ascii="方正小标宋简体" w:hAnsi="黑体" w:eastAsia="方正小标宋简体"/>
          <w:bCs/>
          <w:sz w:val="48"/>
          <w:szCs w:val="48"/>
          <w:lang w:val="en-US" w:eastAsia="zh-CN"/>
        </w:rPr>
        <w:t>(征求意见稿)</w:t>
      </w:r>
      <w:bookmarkEnd w:id="63"/>
      <w:r>
        <w:rPr>
          <w:rFonts w:hint="eastAsia" w:ascii="楷体_GB2312" w:eastAsia="楷体_GB2312"/>
          <w:b/>
          <w:bCs/>
          <w:sz w:val="36"/>
          <w:szCs w:val="36"/>
        </w:rPr>
        <w:t>（</w:t>
      </w:r>
      <w:r>
        <w:rPr>
          <w:rFonts w:eastAsia="楷体_GB2312"/>
          <w:b/>
          <w:bCs/>
          <w:sz w:val="36"/>
          <w:szCs w:val="36"/>
        </w:rPr>
        <w:t>2021-2025</w:t>
      </w:r>
      <w:r>
        <w:rPr>
          <w:rFonts w:hint="eastAsia" w:ascii="楷体_GB2312" w:eastAsia="楷体_GB2312"/>
          <w:b/>
          <w:bCs/>
          <w:sz w:val="36"/>
          <w:szCs w:val="36"/>
        </w:rPr>
        <w:t>）</w:t>
      </w:r>
    </w:p>
    <w:p>
      <w:pPr>
        <w:jc w:val="center"/>
        <w:rPr>
          <w:rFonts w:hint="eastAsia" w:ascii="楷体_GB2312" w:eastAsia="楷体_GB2312"/>
          <w:sz w:val="32"/>
          <w:szCs w:val="32"/>
        </w:rPr>
      </w:pPr>
      <w:r>
        <w:rPr>
          <w:rFonts w:hint="eastAsia" w:ascii="楷体_GB2312" w:eastAsia="楷体_GB2312"/>
          <w:sz w:val="32"/>
          <w:szCs w:val="32"/>
        </w:rPr>
        <w:t xml:space="preserve"> </w:t>
      </w:r>
    </w:p>
    <w:p>
      <w:pPr>
        <w:rPr>
          <w:rFonts w:hint="eastAsia"/>
          <w:szCs w:val="21"/>
        </w:rPr>
      </w:pPr>
      <w:r>
        <w:rPr>
          <w:rFonts w:hint="eastAsia"/>
        </w:rPr>
        <w:t xml:space="preserve"> </w:t>
      </w:r>
    </w:p>
    <w:p>
      <w:pPr>
        <w:rPr>
          <w:rFonts w:hint="eastAsia"/>
        </w:rPr>
      </w:pPr>
      <w:r>
        <w:rPr>
          <w:rFonts w:hint="eastAsia"/>
        </w:rPr>
        <w:t xml:space="preserve"> </w:t>
      </w:r>
    </w:p>
    <w:p>
      <w:pPr>
        <w:rPr>
          <w:rFonts w:hint="eastAsia"/>
        </w:rPr>
      </w:pPr>
      <w:r>
        <w:rPr>
          <w:rFonts w:hint="eastAsia"/>
        </w:rPr>
        <w:t xml:space="preserve"> </w:t>
      </w:r>
    </w:p>
    <w:p>
      <w:pPr>
        <w:rPr>
          <w:rFonts w:hint="eastAsia"/>
        </w:rPr>
      </w:pPr>
      <w:r>
        <w:rPr>
          <w:rFonts w:hint="eastAsia"/>
        </w:rPr>
        <w:t xml:space="preserve"> </w:t>
      </w:r>
    </w:p>
    <w:p>
      <w:pPr>
        <w:rPr>
          <w:rFonts w:hint="eastAsia"/>
        </w:rPr>
      </w:pPr>
      <w:r>
        <w:rPr>
          <w:rFonts w:hint="eastAsia"/>
        </w:rPr>
        <w:t xml:space="preserve"> </w:t>
      </w:r>
    </w:p>
    <w:p>
      <w:pPr>
        <w:rPr>
          <w:rFonts w:hint="eastAsia"/>
        </w:rPr>
      </w:pPr>
      <w:r>
        <w:rPr>
          <w:rFonts w:hint="eastAsia"/>
        </w:rPr>
        <w:t xml:space="preserve"> </w:t>
      </w:r>
    </w:p>
    <w:p>
      <w:pPr>
        <w:rPr>
          <w:rFonts w:hint="eastAsia" w:ascii="楷体_GB2312" w:eastAsia="楷体_GB2312"/>
          <w:sz w:val="32"/>
          <w:szCs w:val="32"/>
        </w:rPr>
      </w:pPr>
      <w:r>
        <w:rPr>
          <w:rFonts w:hint="eastAsia" w:ascii="楷体_GB2312" w:eastAsia="楷体_GB2312"/>
          <w:sz w:val="32"/>
          <w:szCs w:val="32"/>
        </w:rPr>
        <w:t xml:space="preserve"> </w:t>
      </w:r>
    </w:p>
    <w:p>
      <w:pPr>
        <w:rPr>
          <w:rFonts w:hint="eastAsia" w:ascii="楷体_GB2312" w:eastAsia="楷体_GB2312"/>
          <w:sz w:val="32"/>
          <w:szCs w:val="32"/>
        </w:rPr>
      </w:pPr>
      <w:r>
        <w:rPr>
          <w:rFonts w:hint="eastAsia" w:ascii="楷体_GB2312" w:eastAsia="楷体_GB2312"/>
          <w:sz w:val="32"/>
          <w:szCs w:val="32"/>
        </w:rPr>
        <w:t xml:space="preserve"> </w:t>
      </w:r>
    </w:p>
    <w:p>
      <w:pPr>
        <w:rPr>
          <w:rFonts w:hint="eastAsia" w:ascii="楷体_GB2312" w:eastAsia="楷体_GB2312"/>
          <w:sz w:val="32"/>
          <w:szCs w:val="32"/>
        </w:rPr>
      </w:pPr>
      <w:r>
        <w:rPr>
          <w:rFonts w:hint="eastAsia" w:ascii="楷体_GB2312" w:eastAsia="楷体_GB2312"/>
          <w:sz w:val="32"/>
          <w:szCs w:val="32"/>
        </w:rPr>
        <w:t xml:space="preserve"> </w:t>
      </w:r>
    </w:p>
    <w:p>
      <w:pPr>
        <w:rPr>
          <w:rFonts w:hint="eastAsia" w:ascii="楷体_GB2312" w:eastAsia="楷体_GB2312"/>
          <w:sz w:val="32"/>
          <w:szCs w:val="32"/>
        </w:rPr>
      </w:pPr>
      <w:r>
        <w:rPr>
          <w:rFonts w:hint="eastAsia" w:ascii="楷体_GB2312" w:eastAsia="楷体_GB2312"/>
          <w:sz w:val="32"/>
          <w:szCs w:val="32"/>
        </w:rPr>
        <w:t xml:space="preserve"> </w:t>
      </w:r>
    </w:p>
    <w:p>
      <w:pPr>
        <w:rPr>
          <w:rFonts w:hint="eastAsia" w:ascii="楷体_GB2312" w:eastAsia="楷体_GB2312"/>
          <w:sz w:val="32"/>
          <w:szCs w:val="32"/>
        </w:rPr>
      </w:pPr>
      <w:r>
        <w:rPr>
          <w:rFonts w:hint="eastAsia" w:ascii="楷体_GB2312" w:eastAsia="楷体_GB2312"/>
          <w:sz w:val="32"/>
          <w:szCs w:val="32"/>
        </w:rPr>
        <w:t xml:space="preserve"> </w:t>
      </w:r>
    </w:p>
    <w:p>
      <w:pPr>
        <w:rPr>
          <w:rFonts w:hint="eastAsia" w:ascii="楷体_GB2312" w:eastAsia="楷体_GB2312"/>
          <w:sz w:val="32"/>
          <w:szCs w:val="32"/>
        </w:rPr>
      </w:pPr>
    </w:p>
    <w:p>
      <w:pPr>
        <w:rPr>
          <w:rFonts w:hint="eastAsia" w:ascii="楷体_GB2312" w:eastAsia="楷体_GB2312"/>
          <w:sz w:val="32"/>
          <w:szCs w:val="32"/>
        </w:rPr>
      </w:pPr>
    </w:p>
    <w:p>
      <w:pPr>
        <w:rPr>
          <w:rFonts w:hint="eastAsia" w:ascii="楷体_GB2312" w:eastAsia="楷体_GB2312"/>
          <w:sz w:val="32"/>
          <w:szCs w:val="32"/>
        </w:rPr>
      </w:pPr>
      <w:r>
        <w:rPr>
          <w:rFonts w:hint="eastAsia" w:ascii="楷体_GB2312" w:eastAsia="楷体_GB2312"/>
          <w:sz w:val="32"/>
          <w:szCs w:val="32"/>
        </w:rPr>
        <w:t xml:space="preserve"> </w:t>
      </w:r>
    </w:p>
    <w:p>
      <w:pPr>
        <w:jc w:val="center"/>
        <w:rPr>
          <w:rFonts w:hint="eastAsia" w:ascii="楷体_GB2312" w:eastAsia="楷体_GB2312"/>
          <w:sz w:val="32"/>
          <w:szCs w:val="32"/>
        </w:rPr>
      </w:pPr>
      <w:r>
        <w:rPr>
          <w:rFonts w:hint="eastAsia" w:ascii="楷体_GB2312" w:eastAsia="楷体_GB2312"/>
          <w:sz w:val="32"/>
          <w:szCs w:val="32"/>
        </w:rPr>
        <w:t xml:space="preserve"> </w:t>
      </w:r>
    </w:p>
    <w:p>
      <w:pPr>
        <w:jc w:val="center"/>
        <w:rPr>
          <w:rFonts w:hint="eastAsia" w:hAnsi="黑体" w:eastAsia="黑体"/>
          <w:b/>
          <w:bCs/>
          <w:sz w:val="36"/>
          <w:szCs w:val="36"/>
          <w:lang w:eastAsia="zh-CN"/>
        </w:rPr>
      </w:pPr>
      <w:r>
        <w:rPr>
          <w:rFonts w:hint="eastAsia" w:hAnsi="黑体" w:eastAsia="黑体"/>
          <w:b/>
          <w:bCs/>
          <w:sz w:val="36"/>
          <w:szCs w:val="36"/>
          <w:lang w:val="en-US" w:eastAsia="zh-CN"/>
        </w:rPr>
        <w:t>六安市</w:t>
      </w:r>
      <w:r>
        <w:rPr>
          <w:rFonts w:hint="eastAsia" w:hAnsi="黑体" w:eastAsia="黑体"/>
          <w:b/>
          <w:bCs/>
          <w:sz w:val="36"/>
          <w:szCs w:val="36"/>
          <w:lang w:eastAsia="zh-CN"/>
        </w:rPr>
        <w:t>应急管理局</w:t>
      </w:r>
    </w:p>
    <w:p>
      <w:pPr>
        <w:jc w:val="center"/>
        <w:rPr>
          <w:rFonts w:hAnsi="黑体" w:eastAsia="黑体"/>
          <w:b/>
          <w:bCs/>
          <w:sz w:val="36"/>
          <w:szCs w:val="36"/>
        </w:rPr>
      </w:pPr>
      <w:r>
        <w:rPr>
          <w:rFonts w:eastAsia="黑体"/>
          <w:b/>
          <w:bCs/>
          <w:sz w:val="36"/>
          <w:szCs w:val="36"/>
        </w:rPr>
        <w:t>2022</w:t>
      </w:r>
      <w:r>
        <w:rPr>
          <w:rFonts w:hAnsi="黑体" w:eastAsia="黑体"/>
          <w:b/>
          <w:bCs/>
          <w:sz w:val="36"/>
          <w:szCs w:val="36"/>
        </w:rPr>
        <w:t>年</w:t>
      </w:r>
      <w:r>
        <w:rPr>
          <w:rFonts w:hint="eastAsia" w:hAnsi="黑体" w:eastAsia="黑体"/>
          <w:b/>
          <w:bCs/>
          <w:sz w:val="36"/>
          <w:szCs w:val="36"/>
          <w:lang w:val="en-US" w:eastAsia="zh-CN"/>
        </w:rPr>
        <w:t>9</w:t>
      </w:r>
      <w:r>
        <w:rPr>
          <w:rFonts w:hAnsi="黑体" w:eastAsia="黑体"/>
          <w:b/>
          <w:bCs/>
          <w:sz w:val="36"/>
          <w:szCs w:val="36"/>
        </w:rPr>
        <w:t>月</w:t>
      </w:r>
      <w:bookmarkStart w:id="0" w:name="_Toc14643"/>
      <w:bookmarkEnd w:id="0"/>
      <w:bookmarkStart w:id="1" w:name="_Toc25202"/>
      <w:bookmarkEnd w:id="1"/>
      <w:bookmarkStart w:id="2" w:name="_Toc333"/>
      <w:bookmarkEnd w:id="2"/>
      <w:bookmarkStart w:id="3" w:name="_Toc32621"/>
    </w:p>
    <w:p>
      <w:pPr>
        <w:jc w:val="center"/>
        <w:rPr>
          <w:rFonts w:hint="eastAsia" w:hAnsi="黑体" w:eastAsia="黑体"/>
          <w:b/>
          <w:bCs/>
          <w:sz w:val="36"/>
          <w:szCs w:val="36"/>
        </w:rPr>
      </w:pPr>
    </w:p>
    <w:p>
      <w:pPr>
        <w:pStyle w:val="2"/>
        <w:rPr>
          <w:rFonts w:hint="eastAsia"/>
        </w:rPr>
      </w:pPr>
    </w:p>
    <w:p>
      <w:pPr>
        <w:jc w:val="center"/>
        <w:rPr>
          <w:rFonts w:hint="eastAsia" w:ascii="方正小标宋简体" w:eastAsia="方正小标宋简体"/>
          <w:sz w:val="44"/>
          <w:szCs w:val="44"/>
        </w:rPr>
      </w:pPr>
      <w:r>
        <w:rPr>
          <w:rFonts w:hint="eastAsia" w:ascii="方正小标宋简体" w:eastAsia="方正小标宋简体"/>
          <w:sz w:val="44"/>
          <w:szCs w:val="44"/>
        </w:rPr>
        <w:t xml:space="preserve"> </w:t>
      </w:r>
      <w:bookmarkEnd w:id="3"/>
      <w:r>
        <w:rPr>
          <w:rFonts w:hint="eastAsia" w:ascii="方正小标宋简体" w:eastAsia="方正小标宋简体"/>
          <w:sz w:val="44"/>
          <w:szCs w:val="44"/>
        </w:rPr>
        <w:t>前  言</w:t>
      </w:r>
    </w:p>
    <w:p>
      <w:pPr>
        <w:jc w:val="left"/>
        <w:rPr>
          <w:rFonts w:hint="eastAsia" w:ascii="仿宋_GB2312" w:eastAsia="仿宋_GB2312"/>
          <w:sz w:val="32"/>
          <w:szCs w:val="32"/>
        </w:rPr>
      </w:pPr>
      <w:r>
        <w:rPr>
          <w:rFonts w:hint="eastAsia" w:ascii="仿宋_GB2312" w:eastAsia="仿宋_GB2312"/>
          <w:sz w:val="32"/>
          <w:szCs w:val="32"/>
        </w:rPr>
        <w:t xml:space="preserve"> </w:t>
      </w:r>
    </w:p>
    <w:p>
      <w:pPr>
        <w:autoSpaceDE w:val="0"/>
        <w:spacing w:line="640" w:lineRule="exact"/>
        <w:ind w:firstLine="640" w:firstLineChars="200"/>
        <w:rPr>
          <w:rFonts w:hint="eastAsia" w:ascii="仿宋_GB2312" w:eastAsia="仿宋_GB2312"/>
          <w:sz w:val="32"/>
          <w:szCs w:val="32"/>
        </w:rPr>
      </w:pPr>
      <w:r>
        <w:rPr>
          <w:rFonts w:hint="eastAsia" w:ascii="仿宋_GB2312" w:eastAsia="仿宋_GB2312"/>
          <w:sz w:val="32"/>
          <w:szCs w:val="32"/>
        </w:rPr>
        <w:t>为指导“十四五”时期我</w:t>
      </w:r>
      <w:r>
        <w:rPr>
          <w:rFonts w:hint="eastAsia" w:ascii="仿宋_GB2312" w:eastAsia="仿宋_GB2312"/>
          <w:sz w:val="32"/>
          <w:szCs w:val="32"/>
          <w:lang w:val="en-US" w:eastAsia="zh-CN"/>
        </w:rPr>
        <w:t>市</w:t>
      </w:r>
      <w:r>
        <w:rPr>
          <w:rFonts w:hint="eastAsia" w:ascii="仿宋_GB2312" w:eastAsia="仿宋_GB2312"/>
          <w:sz w:val="32"/>
          <w:szCs w:val="32"/>
        </w:rPr>
        <w:t>应急物资保障事业高质量发展，根据《</w:t>
      </w:r>
      <w:r>
        <w:rPr>
          <w:rFonts w:hint="eastAsia" w:ascii="仿宋_GB2312" w:eastAsia="仿宋_GB2312"/>
          <w:sz w:val="32"/>
          <w:szCs w:val="32"/>
          <w:lang w:val="en-US" w:eastAsia="zh-CN"/>
        </w:rPr>
        <w:t>六安市</w:t>
      </w:r>
      <w:r>
        <w:rPr>
          <w:rFonts w:hint="eastAsia" w:ascii="仿宋_GB2312" w:eastAsia="仿宋_GB2312"/>
          <w:sz w:val="32"/>
          <w:szCs w:val="32"/>
        </w:rPr>
        <w:t>国民经济和社会发展第十四个五年规划和</w:t>
      </w:r>
      <w:r>
        <w:rPr>
          <w:rFonts w:eastAsia="仿宋_GB2312"/>
          <w:sz w:val="32"/>
          <w:szCs w:val="32"/>
        </w:rPr>
        <w:t>2035</w:t>
      </w:r>
      <w:r>
        <w:rPr>
          <w:rFonts w:hint="eastAsia" w:ascii="仿宋_GB2312" w:eastAsia="仿宋_GB2312"/>
          <w:sz w:val="32"/>
          <w:szCs w:val="32"/>
        </w:rPr>
        <w:t>年远景目标纲要》等制定本规划。本规划是《</w:t>
      </w:r>
      <w:r>
        <w:rPr>
          <w:rFonts w:hint="eastAsia" w:ascii="仿宋_GB2312" w:eastAsia="仿宋_GB2312"/>
          <w:sz w:val="32"/>
          <w:szCs w:val="32"/>
          <w:lang w:val="en-US" w:eastAsia="zh-CN"/>
        </w:rPr>
        <w:t>六安市</w:t>
      </w:r>
      <w:r>
        <w:rPr>
          <w:rFonts w:hint="eastAsia" w:ascii="仿宋_GB2312" w:eastAsia="仿宋_GB2312"/>
          <w:sz w:val="32"/>
          <w:szCs w:val="32"/>
        </w:rPr>
        <w:t>“十四五”应急管理体系和能力建设规划》的专项规划，规划期限为</w:t>
      </w:r>
      <w:r>
        <w:rPr>
          <w:rFonts w:eastAsia="仿宋_GB2312"/>
          <w:sz w:val="32"/>
          <w:szCs w:val="32"/>
        </w:rPr>
        <w:t>2021</w:t>
      </w:r>
      <w:r>
        <w:rPr>
          <w:rFonts w:hint="eastAsia" w:ascii="仿宋_GB2312" w:eastAsia="仿宋_GB2312"/>
          <w:sz w:val="32"/>
          <w:szCs w:val="32"/>
        </w:rPr>
        <w:t>年—</w:t>
      </w:r>
      <w:r>
        <w:rPr>
          <w:rFonts w:eastAsia="仿宋_GB2312"/>
          <w:sz w:val="32"/>
          <w:szCs w:val="32"/>
        </w:rPr>
        <w:t>2025</w:t>
      </w:r>
      <w:r>
        <w:rPr>
          <w:rFonts w:hint="eastAsia" w:ascii="仿宋_GB2312" w:eastAsia="仿宋_GB2312"/>
          <w:sz w:val="32"/>
          <w:szCs w:val="32"/>
        </w:rPr>
        <w:t>年。</w:t>
      </w:r>
    </w:p>
    <w:p>
      <w:pPr>
        <w:autoSpaceDE w:val="0"/>
        <w:spacing w:line="640" w:lineRule="exact"/>
        <w:ind w:firstLine="640" w:firstLineChars="200"/>
        <w:rPr>
          <w:rFonts w:hint="eastAsia" w:ascii="仿宋_GB2312" w:eastAsia="仿宋_GB2312"/>
          <w:sz w:val="32"/>
          <w:szCs w:val="32"/>
        </w:rPr>
      </w:pPr>
      <w:r>
        <w:rPr>
          <w:rFonts w:hint="eastAsia" w:ascii="仿宋_GB2312" w:eastAsia="仿宋_GB2312"/>
          <w:sz w:val="32"/>
          <w:szCs w:val="32"/>
        </w:rPr>
        <w:t>本规划所称应急物资，是指有效应对处置自然灾害突发事件，所必需的抢险救援保障物资和受灾人员基本生活保障物资。其中，抢险救援保障物资包括森林防火物资、防汛抗旱物资；受灾人员基本生活保障物资是指用于受灾群众救助安置的生活类救灾物资。</w:t>
      </w:r>
    </w:p>
    <w:p>
      <w:pPr>
        <w:jc w:val="center"/>
        <w:rPr>
          <w:rFonts w:hint="eastAsia" w:ascii="方正小标宋简体" w:eastAsia="方正小标宋简体"/>
          <w:szCs w:val="21"/>
        </w:rPr>
      </w:pPr>
      <w:r>
        <w:rPr>
          <w:rFonts w:hint="eastAsia" w:ascii="方正小标宋简体" w:eastAsia="方正小标宋简体"/>
        </w:rPr>
        <w:t xml:space="preserve"> </w:t>
      </w:r>
    </w:p>
    <w:p>
      <w:pPr>
        <w:jc w:val="center"/>
        <w:rPr>
          <w:rFonts w:hint="eastAsia" w:ascii="方正小标宋简体" w:eastAsia="方正小标宋简体"/>
        </w:rPr>
      </w:pPr>
      <w:r>
        <w:rPr>
          <w:rFonts w:hint="eastAsia" w:ascii="方正小标宋简体" w:eastAsia="方正小标宋简体"/>
        </w:rPr>
        <w:t xml:space="preserve"> </w:t>
      </w:r>
    </w:p>
    <w:p>
      <w:pPr>
        <w:jc w:val="center"/>
        <w:rPr>
          <w:rFonts w:hint="eastAsia" w:ascii="方正小标宋简体" w:eastAsia="方正小标宋简体"/>
        </w:rPr>
      </w:pPr>
      <w:r>
        <w:rPr>
          <w:rFonts w:hint="eastAsia" w:ascii="方正小标宋简体" w:eastAsia="方正小标宋简体"/>
        </w:rPr>
        <w:t xml:space="preserve"> </w:t>
      </w:r>
    </w:p>
    <w:p>
      <w:pPr>
        <w:jc w:val="center"/>
        <w:rPr>
          <w:rFonts w:hint="eastAsia" w:ascii="方正小标宋简体" w:eastAsia="方正小标宋简体"/>
        </w:rPr>
      </w:pPr>
    </w:p>
    <w:p>
      <w:pPr>
        <w:pStyle w:val="2"/>
        <w:rPr>
          <w:rFonts w:hint="eastAsia"/>
        </w:rPr>
      </w:pPr>
    </w:p>
    <w:p>
      <w:pPr>
        <w:jc w:val="center"/>
        <w:rPr>
          <w:rFonts w:hint="eastAsia" w:ascii="方正小标宋简体" w:eastAsia="方正小标宋简体"/>
        </w:rPr>
      </w:pPr>
    </w:p>
    <w:p>
      <w:pPr>
        <w:pStyle w:val="2"/>
        <w:rPr>
          <w:rFonts w:hint="eastAsia"/>
        </w:rPr>
      </w:pPr>
    </w:p>
    <w:p>
      <w:pPr>
        <w:jc w:val="both"/>
        <w:rPr>
          <w:rFonts w:hint="eastAsia" w:ascii="方正小标宋简体" w:eastAsia="方正小标宋简体"/>
        </w:rPr>
      </w:pPr>
      <w:r>
        <w:rPr>
          <w:rFonts w:hint="eastAsia" w:ascii="方正小标宋简体" w:eastAsia="方正小标宋简体"/>
        </w:rPr>
        <w:t xml:space="preserve"> </w:t>
      </w:r>
    </w:p>
    <w:p>
      <w:pPr>
        <w:pStyle w:val="5"/>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方正小标宋简体" w:eastAsia="方正小标宋简体"/>
          <w:sz w:val="32"/>
          <w:szCs w:val="32"/>
        </w:rPr>
      </w:pPr>
      <w:r>
        <w:rPr>
          <w:rFonts w:hint="eastAsia" w:ascii="仿宋_GB2312" w:eastAsia="仿宋_GB2312"/>
          <w:sz w:val="32"/>
          <w:szCs w:val="32"/>
        </w:rPr>
        <w:t>“十三五”时期，</w:t>
      </w:r>
      <w:r>
        <w:rPr>
          <w:rFonts w:hint="eastAsia" w:ascii="仿宋_GB2312" w:eastAsia="仿宋_GB2312"/>
          <w:sz w:val="32"/>
          <w:szCs w:val="32"/>
          <w:lang w:val="en-US" w:eastAsia="zh-CN"/>
        </w:rPr>
        <w:t>六安市</w:t>
      </w:r>
      <w:r>
        <w:rPr>
          <w:rFonts w:hint="eastAsia" w:ascii="仿宋_GB2312" w:eastAsia="仿宋_GB2312"/>
          <w:sz w:val="32"/>
          <w:szCs w:val="32"/>
        </w:rPr>
        <w:t>坚决贯彻党中央、国务院</w:t>
      </w:r>
      <w:r>
        <w:rPr>
          <w:rFonts w:hint="eastAsia" w:ascii="仿宋_GB2312" w:eastAsia="仿宋_GB2312"/>
          <w:sz w:val="32"/>
          <w:szCs w:val="32"/>
          <w:lang w:eastAsia="zh-CN"/>
        </w:rPr>
        <w:t>，</w:t>
      </w:r>
      <w:r>
        <w:rPr>
          <w:rFonts w:hint="eastAsia" w:ascii="仿宋_GB2312" w:eastAsia="仿宋_GB2312"/>
          <w:sz w:val="32"/>
          <w:szCs w:val="32"/>
        </w:rPr>
        <w:t>省委、省政府</w:t>
      </w:r>
      <w:r>
        <w:rPr>
          <w:rFonts w:hint="eastAsia" w:ascii="仿宋_GB2312" w:eastAsia="仿宋_GB2312"/>
          <w:sz w:val="32"/>
          <w:szCs w:val="32"/>
          <w:lang w:val="en-US" w:eastAsia="zh-CN"/>
        </w:rPr>
        <w:t>和市委、市政府</w:t>
      </w:r>
      <w:r>
        <w:rPr>
          <w:rFonts w:hint="eastAsia" w:ascii="仿宋_GB2312" w:eastAsia="仿宋_GB2312"/>
          <w:sz w:val="32"/>
          <w:szCs w:val="32"/>
        </w:rPr>
        <w:t>关于加强应急物资保障体系建设的决策部署，系统提升应急防范能力、救援能力和保障能力，有效预防和应对各类</w:t>
      </w:r>
      <w:r>
        <w:rPr>
          <w:rFonts w:hint="eastAsia" w:ascii="仿宋_GB2312" w:eastAsia="仿宋_GB2312"/>
          <w:sz w:val="32"/>
          <w:szCs w:val="32"/>
          <w:lang w:eastAsia="zh-CN"/>
        </w:rPr>
        <w:t>突发</w:t>
      </w:r>
      <w:r>
        <w:rPr>
          <w:rFonts w:hint="eastAsia" w:ascii="仿宋_GB2312" w:eastAsia="仿宋_GB2312"/>
          <w:sz w:val="32"/>
          <w:szCs w:val="32"/>
        </w:rPr>
        <w:t>自然灾害风险，全力保障人民群众生命财产安全和维护经济社会秩序平稳有序运行，取得了显著成效。</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黑体" w:hAnsi="黑体" w:eastAsia="黑体"/>
          <w:sz w:val="32"/>
          <w:szCs w:val="32"/>
        </w:rPr>
      </w:pPr>
      <w:bookmarkStart w:id="4" w:name="_Toc1805"/>
      <w:bookmarkEnd w:id="4"/>
      <w:bookmarkStart w:id="5" w:name="_Toc31696"/>
      <w:bookmarkEnd w:id="5"/>
      <w:bookmarkStart w:id="6" w:name="_Toc13204"/>
      <w:bookmarkEnd w:id="6"/>
      <w:bookmarkStart w:id="7" w:name="_Toc23261"/>
      <w:r>
        <w:rPr>
          <w:rFonts w:hint="eastAsia" w:ascii="黑体" w:hAnsi="黑体" w:eastAsia="黑体"/>
          <w:sz w:val="32"/>
          <w:szCs w:val="32"/>
        </w:rPr>
        <w:t>一、现状与形势</w:t>
      </w:r>
      <w:bookmarkEnd w:id="7"/>
    </w:p>
    <w:p>
      <w:pPr>
        <w:keepNext w:val="0"/>
        <w:keepLines w:val="0"/>
        <w:pageBreakBefore w:val="0"/>
        <w:widowControl w:val="0"/>
        <w:kinsoku/>
        <w:wordWrap/>
        <w:overflowPunct/>
        <w:topLinePunct w:val="0"/>
        <w:autoSpaceDE w:val="0"/>
        <w:autoSpaceDN/>
        <w:bidi w:val="0"/>
        <w:adjustRightInd/>
        <w:snapToGrid/>
        <w:spacing w:line="560" w:lineRule="exact"/>
        <w:ind w:firstLine="643" w:firstLineChars="200"/>
        <w:textAlignment w:val="auto"/>
        <w:rPr>
          <w:rFonts w:hint="eastAsia" w:ascii="楷体_GB2312" w:eastAsia="楷体_GB2312"/>
          <w:b/>
          <w:bCs/>
          <w:sz w:val="32"/>
          <w:szCs w:val="32"/>
        </w:rPr>
      </w:pPr>
      <w:bookmarkStart w:id="8" w:name="_Toc22518"/>
      <w:bookmarkEnd w:id="8"/>
      <w:bookmarkStart w:id="9" w:name="_Toc27210"/>
      <w:bookmarkEnd w:id="9"/>
      <w:bookmarkStart w:id="10" w:name="_Toc30103"/>
      <w:bookmarkEnd w:id="10"/>
      <w:bookmarkStart w:id="11" w:name="_Toc17648"/>
      <w:r>
        <w:rPr>
          <w:rFonts w:hint="eastAsia" w:ascii="楷体_GB2312" w:eastAsia="楷体_GB2312"/>
          <w:b/>
          <w:bCs/>
          <w:sz w:val="32"/>
          <w:szCs w:val="32"/>
        </w:rPr>
        <w:t>（一）应急物资保障现状</w:t>
      </w:r>
      <w:bookmarkEnd w:id="11"/>
    </w:p>
    <w:p>
      <w:pPr>
        <w:keepNext w:val="0"/>
        <w:keepLines w:val="0"/>
        <w:pageBreakBefore w:val="0"/>
        <w:widowControl w:val="0"/>
        <w:kinsoku/>
        <w:wordWrap/>
        <w:overflowPunct/>
        <w:topLinePunct w:val="0"/>
        <w:autoSpaceDE w:val="0"/>
        <w:autoSpaceDN/>
        <w:bidi w:val="0"/>
        <w:adjustRightInd/>
        <w:snapToGrid/>
        <w:spacing w:line="560" w:lineRule="exact"/>
        <w:ind w:firstLine="643" w:firstLineChars="200"/>
        <w:textAlignment w:val="auto"/>
        <w:rPr>
          <w:rFonts w:hint="eastAsia" w:ascii="仿宋_GB2312" w:hAnsi="Times New Roman" w:eastAsia="仿宋_GB2312" w:cs="Times New Roman"/>
          <w:sz w:val="32"/>
          <w:szCs w:val="32"/>
        </w:rPr>
      </w:pPr>
      <w:r>
        <w:rPr>
          <w:rFonts w:hint="eastAsia" w:eastAsia="仿宋_GB2312"/>
          <w:b/>
          <w:bCs/>
          <w:sz w:val="32"/>
          <w:szCs w:val="32"/>
          <w:lang w:val="en-US" w:eastAsia="zh-CN"/>
        </w:rPr>
        <w:t>1</w:t>
      </w:r>
      <w:r>
        <w:rPr>
          <w:rFonts w:eastAsia="仿宋_GB2312"/>
          <w:b/>
          <w:bCs/>
          <w:sz w:val="32"/>
          <w:szCs w:val="32"/>
        </w:rPr>
        <w:t>.</w:t>
      </w:r>
      <w:r>
        <w:rPr>
          <w:rFonts w:hint="eastAsia" w:ascii="仿宋_GB2312" w:eastAsia="仿宋_GB2312"/>
          <w:b/>
          <w:bCs/>
          <w:sz w:val="32"/>
          <w:szCs w:val="32"/>
        </w:rPr>
        <w:t>应急物资储备网络初具规模。</w:t>
      </w:r>
      <w:r>
        <w:rPr>
          <w:rFonts w:hint="eastAsia" w:ascii="仿宋_GB2312" w:eastAsia="仿宋_GB2312"/>
          <w:sz w:val="32"/>
          <w:szCs w:val="32"/>
          <w:lang w:eastAsia="zh-CN"/>
        </w:rPr>
        <w:t>目前</w:t>
      </w:r>
      <w:r>
        <w:rPr>
          <w:rFonts w:hint="eastAsia" w:ascii="仿宋_GB2312" w:eastAsia="仿宋_GB2312"/>
          <w:sz w:val="32"/>
          <w:szCs w:val="32"/>
          <w:lang w:val="en-US" w:eastAsia="zh-CN"/>
        </w:rPr>
        <w:t>，市级共有1</w:t>
      </w:r>
      <w:r>
        <w:rPr>
          <w:rFonts w:hint="eastAsia" w:ascii="仿宋_GB2312" w:eastAsia="仿宋_GB2312"/>
          <w:sz w:val="32"/>
          <w:szCs w:val="32"/>
        </w:rPr>
        <w:t>个救灾物资储备库</w:t>
      </w:r>
      <w:r>
        <w:rPr>
          <w:rFonts w:hint="eastAsia" w:ascii="仿宋_GB2312" w:eastAsia="仿宋_GB2312"/>
          <w:sz w:val="32"/>
          <w:szCs w:val="32"/>
          <w:lang w:eastAsia="zh-CN"/>
        </w:rPr>
        <w:t>（市发改委管理），</w:t>
      </w:r>
      <w:r>
        <w:rPr>
          <w:rFonts w:hint="eastAsia" w:ascii="仿宋_GB2312" w:eastAsia="仿宋_GB2312"/>
          <w:sz w:val="32"/>
          <w:szCs w:val="32"/>
          <w:lang w:val="en-US" w:eastAsia="zh-CN"/>
        </w:rPr>
        <w:t>2个</w:t>
      </w:r>
      <w:r>
        <w:rPr>
          <w:rFonts w:hint="eastAsia" w:ascii="仿宋_GB2312" w:hAnsi="Times New Roman" w:eastAsia="仿宋_GB2312" w:cs="Times New Roman"/>
          <w:sz w:val="32"/>
          <w:szCs w:val="32"/>
          <w:lang w:val="en-US" w:eastAsia="zh-CN"/>
        </w:rPr>
        <w:t>防汛物资储备库（水利和应急各管理1个储备库），</w:t>
      </w:r>
      <w:r>
        <w:rPr>
          <w:rFonts w:hint="eastAsia" w:ascii="Times New Roman" w:hAnsi="Times New Roman" w:eastAsia="仿宋_GB2312"/>
          <w:color w:val="auto"/>
          <w:kern w:val="0"/>
          <w:sz w:val="32"/>
          <w:szCs w:val="32"/>
          <w:u w:val="none"/>
          <w:lang w:val="en-US" w:eastAsia="zh-CN"/>
        </w:rPr>
        <w:t>市级森林防火物资主要分布在13个物资储备库（点）。</w:t>
      </w:r>
      <w:r>
        <w:rPr>
          <w:rFonts w:hint="eastAsia" w:ascii="仿宋_GB2312" w:eastAsia="仿宋_GB2312"/>
          <w:sz w:val="32"/>
          <w:szCs w:val="32"/>
        </w:rPr>
        <w:t>县</w:t>
      </w:r>
      <w:r>
        <w:rPr>
          <w:rFonts w:hint="eastAsia" w:ascii="仿宋_GB2312" w:eastAsia="仿宋_GB2312"/>
          <w:sz w:val="32"/>
          <w:szCs w:val="32"/>
          <w:lang w:eastAsia="zh-CN"/>
        </w:rPr>
        <w:t>级</w:t>
      </w:r>
      <w:r>
        <w:rPr>
          <w:rFonts w:hint="eastAsia" w:ascii="仿宋_GB2312" w:hAnsi="Times New Roman" w:eastAsia="仿宋_GB2312" w:cs="Times New Roman"/>
          <w:sz w:val="32"/>
          <w:szCs w:val="32"/>
        </w:rPr>
        <w:t>森林防火物资储备库</w:t>
      </w:r>
      <w:r>
        <w:rPr>
          <w:rFonts w:hint="eastAsia" w:ascii="仿宋_GB2312" w:hAnsi="Times New Roman" w:eastAsia="仿宋_GB2312" w:cs="Times New Roman"/>
          <w:sz w:val="32"/>
          <w:szCs w:val="32"/>
          <w:lang w:val="en-US" w:eastAsia="zh-CN"/>
        </w:rPr>
        <w:t>13</w:t>
      </w:r>
      <w:r>
        <w:rPr>
          <w:rFonts w:hint="eastAsia" w:ascii="仿宋_GB2312" w:hAnsi="Times New Roman" w:eastAsia="仿宋_GB2312" w:cs="Times New Roman"/>
          <w:sz w:val="32"/>
          <w:szCs w:val="32"/>
        </w:rPr>
        <w:t>个、防汛抗旱物资储备库（点）</w:t>
      </w:r>
      <w:r>
        <w:rPr>
          <w:rFonts w:hint="eastAsia" w:ascii="仿宋_GB2312" w:hAnsi="Times New Roman" w:eastAsia="仿宋_GB2312" w:cs="Times New Roman"/>
          <w:sz w:val="32"/>
          <w:szCs w:val="32"/>
          <w:lang w:val="en-US" w:eastAsia="zh-CN"/>
        </w:rPr>
        <w:t>18</w:t>
      </w:r>
      <w:r>
        <w:rPr>
          <w:rFonts w:hint="eastAsia" w:ascii="仿宋_GB2312" w:hAnsi="Times New Roman" w:eastAsia="仿宋_GB2312" w:cs="Times New Roman"/>
          <w:sz w:val="32"/>
          <w:szCs w:val="32"/>
        </w:rPr>
        <w:t>个</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生活类救灾物资储备库（点）</w:t>
      </w:r>
      <w:r>
        <w:rPr>
          <w:rFonts w:hint="eastAsia" w:ascii="仿宋_GB2312" w:hAnsi="Times New Roman" w:eastAsia="仿宋_GB2312" w:cs="Times New Roman"/>
          <w:sz w:val="32"/>
          <w:szCs w:val="32"/>
          <w:lang w:val="en-US" w:eastAsia="zh-CN"/>
        </w:rPr>
        <w:t>25</w:t>
      </w:r>
      <w:r>
        <w:rPr>
          <w:rFonts w:hint="eastAsia" w:ascii="仿宋_GB2312" w:hAnsi="Times New Roman" w:eastAsia="仿宋_GB2312" w:cs="Times New Roman"/>
          <w:sz w:val="32"/>
          <w:szCs w:val="32"/>
        </w:rPr>
        <w:t>个。结合我</w:t>
      </w:r>
      <w:r>
        <w:rPr>
          <w:rFonts w:hint="eastAsia" w:ascii="仿宋_GB2312" w:hAnsi="Times New Roman" w:eastAsia="仿宋_GB2312" w:cs="Times New Roman"/>
          <w:sz w:val="32"/>
          <w:szCs w:val="32"/>
          <w:lang w:val="en-US" w:eastAsia="zh-CN"/>
        </w:rPr>
        <w:t>市</w:t>
      </w:r>
      <w:r>
        <w:rPr>
          <w:rFonts w:hint="eastAsia" w:ascii="仿宋_GB2312" w:hAnsi="Times New Roman" w:eastAsia="仿宋_GB2312" w:cs="Times New Roman"/>
          <w:sz w:val="32"/>
          <w:szCs w:val="32"/>
        </w:rPr>
        <w:t>主要灾害风险和社会经济条件，</w:t>
      </w:r>
      <w:r>
        <w:rPr>
          <w:rFonts w:hint="eastAsia" w:ascii="仿宋_GB2312" w:eastAsia="仿宋_GB2312"/>
          <w:sz w:val="32"/>
          <w:szCs w:val="32"/>
        </w:rPr>
        <w:t>形成以</w:t>
      </w:r>
      <w:r>
        <w:rPr>
          <w:rFonts w:hint="eastAsia" w:ascii="仿宋_GB2312" w:eastAsia="仿宋_GB2312"/>
          <w:sz w:val="32"/>
          <w:szCs w:val="32"/>
          <w:lang w:val="en-US" w:eastAsia="zh-CN"/>
        </w:rPr>
        <w:t>市级应急物资储备库</w:t>
      </w:r>
      <w:r>
        <w:rPr>
          <w:rFonts w:hint="eastAsia" w:ascii="仿宋_GB2312" w:eastAsia="仿宋_GB2312"/>
          <w:sz w:val="32"/>
          <w:szCs w:val="32"/>
        </w:rPr>
        <w:t>为核心、</w:t>
      </w:r>
      <w:r>
        <w:rPr>
          <w:rFonts w:hint="eastAsia" w:ascii="仿宋_GB2312" w:eastAsia="仿宋_GB2312"/>
          <w:sz w:val="32"/>
          <w:szCs w:val="32"/>
          <w:lang w:val="en-US" w:eastAsia="zh-CN"/>
        </w:rPr>
        <w:t>县区</w:t>
      </w:r>
      <w:r>
        <w:rPr>
          <w:rFonts w:hint="eastAsia" w:ascii="仿宋_GB2312" w:eastAsia="仿宋_GB2312"/>
          <w:sz w:val="32"/>
          <w:szCs w:val="32"/>
        </w:rPr>
        <w:t>级物资储备库为支撑、</w:t>
      </w:r>
      <w:r>
        <w:rPr>
          <w:rFonts w:hint="eastAsia" w:ascii="仿宋_GB2312" w:eastAsia="仿宋_GB2312"/>
          <w:sz w:val="32"/>
          <w:szCs w:val="32"/>
          <w:lang w:val="en-US" w:eastAsia="zh-CN"/>
        </w:rPr>
        <w:t>乡镇</w:t>
      </w:r>
      <w:r>
        <w:rPr>
          <w:rFonts w:hint="eastAsia" w:ascii="仿宋_GB2312" w:eastAsia="仿宋_GB2312"/>
          <w:sz w:val="32"/>
          <w:szCs w:val="32"/>
        </w:rPr>
        <w:t>物资储备</w:t>
      </w:r>
      <w:r>
        <w:rPr>
          <w:rFonts w:hint="eastAsia" w:ascii="仿宋_GB2312" w:eastAsia="仿宋_GB2312"/>
          <w:sz w:val="32"/>
          <w:szCs w:val="32"/>
          <w:lang w:val="en-US" w:eastAsia="zh-CN"/>
        </w:rPr>
        <w:t>点</w:t>
      </w:r>
      <w:r>
        <w:rPr>
          <w:rFonts w:hint="eastAsia" w:ascii="仿宋_GB2312" w:eastAsia="仿宋_GB2312"/>
          <w:sz w:val="32"/>
          <w:szCs w:val="32"/>
        </w:rPr>
        <w:t>为补充的应急物资储备网络格局。</w:t>
      </w:r>
    </w:p>
    <w:p>
      <w:pPr>
        <w:pStyle w:val="6"/>
        <w:keepNext w:val="0"/>
        <w:keepLines w:val="0"/>
        <w:pageBreakBefore w:val="0"/>
        <w:widowControl w:val="0"/>
        <w:kinsoku/>
        <w:wordWrap/>
        <w:overflowPunct/>
        <w:topLinePunct w:val="0"/>
        <w:autoSpaceDN/>
        <w:bidi w:val="0"/>
        <w:adjustRightInd/>
        <w:snapToGrid/>
        <w:spacing w:line="560" w:lineRule="exact"/>
        <w:ind w:firstLine="0"/>
        <w:textAlignment w:val="auto"/>
        <w:rPr>
          <w:rFonts w:hint="eastAsia" w:ascii="仿宋_GB2312" w:hAnsi="Calibri" w:eastAsia="仿宋_GB2312"/>
          <w:b w:val="0"/>
          <w:kern w:val="2"/>
          <w:sz w:val="32"/>
          <w:szCs w:val="32"/>
          <w:lang w:val="en-US" w:eastAsia="zh-CN" w:bidi="ar-SA"/>
        </w:rPr>
      </w:pPr>
      <w:r>
        <w:rPr>
          <w:rFonts w:hint="eastAsia"/>
          <w:lang w:eastAsia="zh-CN"/>
        </w:rPr>
        <w:t xml:space="preserve">    </w:t>
      </w:r>
      <w:r>
        <w:t xml:space="preserve"> </w:t>
      </w:r>
      <w:r>
        <w:rPr>
          <w:rFonts w:hint="eastAsia" w:ascii="Times New Roman" w:hAnsi="Times New Roman" w:eastAsia="仿宋_GB2312"/>
          <w:bCs/>
          <w:sz w:val="32"/>
          <w:szCs w:val="32"/>
          <w:lang w:val="en-US" w:eastAsia="zh-CN"/>
        </w:rPr>
        <w:t>2</w:t>
      </w:r>
      <w:r>
        <w:rPr>
          <w:rFonts w:ascii="Times New Roman" w:hAnsi="Times New Roman" w:eastAsia="仿宋_GB2312"/>
          <w:bCs/>
          <w:sz w:val="32"/>
          <w:szCs w:val="32"/>
        </w:rPr>
        <w:t>.</w:t>
      </w:r>
      <w:r>
        <w:rPr>
          <w:rFonts w:hint="eastAsia" w:ascii="Times New Roman" w:hAnsi="Times New Roman" w:eastAsia="仿宋_GB2312"/>
          <w:bCs/>
          <w:sz w:val="32"/>
          <w:szCs w:val="32"/>
          <w:lang w:eastAsia="zh-CN"/>
        </w:rPr>
        <w:t>重点</w:t>
      </w:r>
      <w:r>
        <w:rPr>
          <w:rFonts w:hint="eastAsia" w:ascii="仿宋_GB2312" w:eastAsia="仿宋_GB2312"/>
          <w:bCs/>
          <w:sz w:val="32"/>
          <w:szCs w:val="32"/>
        </w:rPr>
        <w:t>应急物资储备</w:t>
      </w:r>
      <w:r>
        <w:rPr>
          <w:rFonts w:hint="eastAsia" w:ascii="仿宋_GB2312" w:eastAsia="仿宋_GB2312"/>
          <w:bCs/>
          <w:sz w:val="32"/>
          <w:szCs w:val="32"/>
          <w:lang w:eastAsia="zh-CN"/>
        </w:rPr>
        <w:t>数量持续补充</w:t>
      </w:r>
      <w:r>
        <w:rPr>
          <w:rFonts w:hint="eastAsia" w:ascii="仿宋_GB2312" w:eastAsia="仿宋_GB2312"/>
          <w:bCs/>
          <w:sz w:val="32"/>
          <w:szCs w:val="32"/>
        </w:rPr>
        <w:t>。</w:t>
      </w:r>
      <w:r>
        <w:rPr>
          <w:rFonts w:hint="eastAsia" w:ascii="仿宋_GB2312" w:eastAsia="仿宋_GB2312"/>
          <w:b w:val="0"/>
          <w:sz w:val="32"/>
          <w:szCs w:val="32"/>
          <w:lang w:eastAsia="zh-CN"/>
        </w:rPr>
        <w:t>市本级各应急物资储备主管部门根据应急救援需要持续补充重点应急物资数量</w:t>
      </w:r>
      <w:r>
        <w:rPr>
          <w:rFonts w:hint="eastAsia" w:ascii="仿宋_GB2312" w:hAnsi="Calibri" w:eastAsia="仿宋_GB2312"/>
          <w:b w:val="0"/>
          <w:kern w:val="2"/>
          <w:sz w:val="32"/>
          <w:szCs w:val="32"/>
          <w:lang w:val="en-US" w:eastAsia="zh-CN" w:bidi="ar-SA"/>
        </w:rPr>
        <w:t>。各</w:t>
      </w:r>
      <w:r>
        <w:rPr>
          <w:rFonts w:hint="eastAsia" w:ascii="仿宋_GB2312" w:eastAsia="仿宋_GB2312"/>
          <w:b w:val="0"/>
          <w:kern w:val="2"/>
          <w:sz w:val="32"/>
          <w:szCs w:val="32"/>
          <w:lang w:val="en-US" w:eastAsia="zh-CN" w:bidi="ar-SA"/>
        </w:rPr>
        <w:t>县区和乡镇</w:t>
      </w:r>
      <w:r>
        <w:rPr>
          <w:rFonts w:hint="eastAsia" w:ascii="仿宋_GB2312" w:hAnsi="Calibri" w:eastAsia="仿宋_GB2312"/>
          <w:b w:val="0"/>
          <w:kern w:val="2"/>
          <w:sz w:val="32"/>
          <w:szCs w:val="32"/>
          <w:lang w:val="en-US" w:eastAsia="zh-CN" w:bidi="ar-SA"/>
        </w:rPr>
        <w:t>也根据当地经济实际水平、突发事件特点及应对能力分别储备具有区域特点的应急物资。</w:t>
      </w:r>
    </w:p>
    <w:tbl>
      <w:tblPr>
        <w:tblStyle w:val="7"/>
        <w:tblW w:w="8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999" w:type="dxa"/>
            <w:tcBorders>
              <w:top w:val="single" w:color="auto" w:sz="4" w:space="0"/>
              <w:left w:val="single" w:color="auto" w:sz="4" w:space="0"/>
              <w:bottom w:val="single" w:color="auto" w:sz="4" w:space="0"/>
              <w:right w:val="single" w:color="auto" w:sz="4" w:space="0"/>
            </w:tcBorders>
            <w:shd w:val="clear" w:color="auto" w:fill="EEECE1"/>
            <w:vAlign w:val="top"/>
          </w:tcPr>
          <w:p>
            <w:pPr>
              <w:pStyle w:val="6"/>
              <w:jc w:val="center"/>
              <w:rPr>
                <w:rFonts w:eastAsia="黑体"/>
                <w:szCs w:val="21"/>
              </w:rPr>
            </w:pPr>
            <w:r>
              <w:rPr>
                <w:rFonts w:hint="eastAsia" w:ascii="黑体" w:hAnsi="黑体" w:eastAsia="黑体"/>
              </w:rPr>
              <w:t>专栏</w:t>
            </w:r>
            <w:r>
              <w:rPr>
                <w:rFonts w:hint="eastAsia" w:eastAsia="黑体"/>
                <w:lang w:val="en-US" w:eastAsia="zh-CN"/>
              </w:rPr>
              <w:t>1</w:t>
            </w:r>
            <w:r>
              <w:rPr>
                <w:rFonts w:hint="eastAsia" w:ascii="黑体" w:hAnsi="黑体" w:eastAsia="黑体"/>
              </w:rPr>
              <w:t>：</w:t>
            </w:r>
            <w:r>
              <w:rPr>
                <w:rFonts w:hint="eastAsia" w:ascii="黑体" w:hAnsi="黑体" w:eastAsia="黑体"/>
                <w:lang w:eastAsia="zh-CN"/>
              </w:rPr>
              <w:t>市本级</w:t>
            </w:r>
            <w:r>
              <w:rPr>
                <w:rFonts w:hint="eastAsia" w:ascii="黑体" w:hAnsi="黑体" w:eastAsia="黑体"/>
                <w:lang w:val="en-US" w:eastAsia="zh-CN"/>
              </w:rPr>
              <w:t>重点</w:t>
            </w:r>
            <w:r>
              <w:rPr>
                <w:rFonts w:hint="eastAsia" w:ascii="黑体" w:hAnsi="黑体" w:eastAsia="黑体"/>
              </w:rPr>
              <w:t>应急物资储备品种</w:t>
            </w:r>
            <w:r>
              <w:rPr>
                <w:rFonts w:hint="eastAsia" w:ascii="黑体" w:hAnsi="黑体" w:eastAsia="黑体"/>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9" w:type="dxa"/>
            <w:tcBorders>
              <w:top w:val="single" w:color="auto" w:sz="4" w:space="0"/>
              <w:left w:val="single" w:color="auto" w:sz="4" w:space="0"/>
              <w:bottom w:val="single" w:color="auto" w:sz="4" w:space="0"/>
              <w:right w:val="single" w:color="auto" w:sz="4" w:space="0"/>
            </w:tcBorders>
            <w:vAlign w:val="top"/>
          </w:tcPr>
          <w:p>
            <w:pPr>
              <w:widowControl/>
              <w:spacing w:line="520" w:lineRule="exact"/>
              <w:ind w:firstLine="641"/>
              <w:rPr>
                <w:sz w:val="24"/>
              </w:rPr>
            </w:pPr>
            <w:r>
              <w:rPr>
                <w:b/>
                <w:bCs/>
                <w:sz w:val="24"/>
              </w:rPr>
              <w:t>1</w:t>
            </w:r>
            <w:r>
              <w:rPr>
                <w:rFonts w:hint="eastAsia"/>
                <w:b/>
                <w:bCs/>
                <w:sz w:val="24"/>
              </w:rPr>
              <w:t>.</w:t>
            </w:r>
            <w:r>
              <w:rPr>
                <w:rFonts w:ascii="宋体" w:hAnsi="宋体"/>
                <w:b/>
                <w:bCs/>
                <w:sz w:val="24"/>
              </w:rPr>
              <w:t>森林防</w:t>
            </w:r>
            <w:r>
              <w:rPr>
                <w:rFonts w:hint="eastAsia" w:ascii="宋体" w:hAnsi="宋体"/>
                <w:b/>
                <w:bCs/>
                <w:sz w:val="24"/>
                <w:lang w:eastAsia="zh-CN"/>
              </w:rPr>
              <w:t>灭</w:t>
            </w:r>
            <w:r>
              <w:rPr>
                <w:rFonts w:ascii="宋体" w:hAnsi="宋体"/>
                <w:b/>
                <w:bCs/>
                <w:sz w:val="24"/>
              </w:rPr>
              <w:t>火物资</w:t>
            </w:r>
            <w:r>
              <w:rPr>
                <w:rFonts w:hint="eastAsia" w:ascii="宋体" w:hAnsi="宋体"/>
                <w:b/>
                <w:bCs/>
                <w:sz w:val="24"/>
              </w:rPr>
              <w:t>：</w:t>
            </w:r>
            <w:r>
              <w:rPr>
                <w:rFonts w:hint="eastAsia" w:ascii="宋体" w:hAnsi="宋体"/>
                <w:kern w:val="0"/>
                <w:sz w:val="24"/>
              </w:rPr>
              <w:t>风力灭火机</w:t>
            </w:r>
            <w:r>
              <w:rPr>
                <w:rFonts w:hint="eastAsia" w:ascii="宋体" w:hAnsi="宋体"/>
                <w:kern w:val="0"/>
                <w:sz w:val="24"/>
                <w:lang w:val="en-US" w:eastAsia="zh-CN"/>
              </w:rPr>
              <w:t>451台、水雾灭火机22台、水泵75台、水枪316各、二号工具300个、无人机1台等</w:t>
            </w:r>
            <w:r>
              <w:rPr>
                <w:rFonts w:hint="eastAsia" w:ascii="宋体" w:hAnsi="宋体"/>
                <w:sz w:val="24"/>
              </w:rPr>
              <w:t>。</w:t>
            </w:r>
          </w:p>
          <w:p>
            <w:pPr>
              <w:widowControl/>
              <w:spacing w:line="520" w:lineRule="exact"/>
              <w:ind w:firstLine="641"/>
              <w:rPr>
                <w:rFonts w:hint="eastAsia" w:ascii="宋体" w:hAnsi="宋体"/>
                <w:kern w:val="0"/>
                <w:sz w:val="24"/>
                <w:lang w:val="en-US" w:eastAsia="zh-CN"/>
              </w:rPr>
            </w:pPr>
            <w:r>
              <w:rPr>
                <w:b/>
                <w:bCs/>
                <w:sz w:val="24"/>
              </w:rPr>
              <w:t>2.</w:t>
            </w:r>
            <w:r>
              <w:rPr>
                <w:rFonts w:ascii="宋体" w:hAnsi="宋体"/>
                <w:b/>
                <w:bCs/>
                <w:sz w:val="24"/>
              </w:rPr>
              <w:t>防汛抗旱物资：</w:t>
            </w:r>
            <w:r>
              <w:rPr>
                <w:rFonts w:hint="eastAsia" w:ascii="宋体" w:hAnsi="宋体"/>
                <w:kern w:val="0"/>
                <w:sz w:val="24"/>
                <w:lang w:val="en-US" w:eastAsia="zh-CN"/>
              </w:rPr>
              <w:t>冲锋舟14艘、袋类21.2万条、救生衣2340件、装备式30套，应急发电机12台套，移动照明设备30台套，拖车式排水泵5台，潜水泵10台、钢筋笼70个、排涝设备8台、防汛帐篷72顶、无人机2台等，合计总价值约760万元。。</w:t>
            </w:r>
          </w:p>
          <w:p>
            <w:pPr>
              <w:widowControl/>
              <w:spacing w:line="520" w:lineRule="exact"/>
              <w:ind w:firstLine="641"/>
              <w:rPr>
                <w:szCs w:val="21"/>
              </w:rPr>
            </w:pPr>
            <w:r>
              <w:rPr>
                <w:rFonts w:hint="eastAsia"/>
                <w:b/>
                <w:bCs/>
                <w:sz w:val="24"/>
                <w:lang w:val="en-US" w:eastAsia="zh-CN"/>
              </w:rPr>
              <w:t>3</w:t>
            </w:r>
            <w:r>
              <w:rPr>
                <w:b/>
                <w:bCs/>
                <w:sz w:val="24"/>
              </w:rPr>
              <w:t>.</w:t>
            </w:r>
            <w:r>
              <w:rPr>
                <w:rFonts w:ascii="宋体" w:hAnsi="宋体"/>
                <w:b/>
                <w:bCs/>
                <w:sz w:val="24"/>
              </w:rPr>
              <w:t>生活类救灾物资：</w:t>
            </w:r>
            <w:r>
              <w:rPr>
                <w:rFonts w:hint="eastAsia" w:ascii="宋体" w:hAnsi="宋体"/>
                <w:kern w:val="0"/>
                <w:sz w:val="24"/>
              </w:rPr>
              <w:t>帐篷</w:t>
            </w:r>
            <w:r>
              <w:rPr>
                <w:rFonts w:hint="eastAsia" w:ascii="宋体" w:hAnsi="宋体"/>
                <w:kern w:val="0"/>
                <w:sz w:val="24"/>
                <w:lang w:val="en-US" w:eastAsia="zh-CN"/>
              </w:rPr>
              <w:t>300顶</w:t>
            </w:r>
            <w:r>
              <w:rPr>
                <w:rFonts w:hint="eastAsia" w:ascii="宋体" w:hAnsi="宋体"/>
                <w:kern w:val="0"/>
                <w:sz w:val="24"/>
              </w:rPr>
              <w:t>、棉被</w:t>
            </w:r>
            <w:r>
              <w:rPr>
                <w:rFonts w:hint="eastAsia" w:ascii="宋体" w:hAnsi="宋体"/>
                <w:kern w:val="0"/>
                <w:sz w:val="24"/>
                <w:lang w:val="en-US" w:eastAsia="zh-CN"/>
              </w:rPr>
              <w:t>2300床</w:t>
            </w:r>
            <w:r>
              <w:rPr>
                <w:rFonts w:hint="eastAsia" w:ascii="宋体" w:hAnsi="宋体"/>
                <w:kern w:val="0"/>
                <w:sz w:val="24"/>
              </w:rPr>
              <w:t>、</w:t>
            </w:r>
            <w:r>
              <w:rPr>
                <w:rFonts w:hint="eastAsia" w:ascii="宋体" w:hAnsi="宋体"/>
                <w:kern w:val="0"/>
                <w:sz w:val="24"/>
                <w:lang w:eastAsia="zh-CN"/>
              </w:rPr>
              <w:t>棉被褥</w:t>
            </w:r>
            <w:r>
              <w:rPr>
                <w:rFonts w:hint="eastAsia" w:ascii="宋体" w:hAnsi="宋体"/>
                <w:kern w:val="0"/>
                <w:sz w:val="24"/>
                <w:lang w:val="en-US" w:eastAsia="zh-CN"/>
              </w:rPr>
              <w:t>1000床、</w:t>
            </w:r>
            <w:r>
              <w:rPr>
                <w:rFonts w:hint="eastAsia" w:ascii="宋体" w:hAnsi="宋体"/>
                <w:kern w:val="0"/>
                <w:sz w:val="24"/>
              </w:rPr>
              <w:t>折叠床</w:t>
            </w:r>
            <w:r>
              <w:rPr>
                <w:rFonts w:hint="eastAsia" w:ascii="宋体" w:hAnsi="宋体"/>
                <w:kern w:val="0"/>
                <w:sz w:val="24"/>
                <w:lang w:val="en-US" w:eastAsia="zh-CN"/>
              </w:rPr>
              <w:t>2250个</w:t>
            </w:r>
            <w:r>
              <w:rPr>
                <w:rFonts w:hint="eastAsia" w:ascii="宋体" w:hAnsi="宋体"/>
                <w:kern w:val="0"/>
                <w:sz w:val="24"/>
              </w:rPr>
              <w:t>、毛巾被</w:t>
            </w:r>
            <w:r>
              <w:rPr>
                <w:rFonts w:hint="eastAsia" w:ascii="宋体" w:hAnsi="宋体"/>
                <w:kern w:val="0"/>
                <w:sz w:val="24"/>
                <w:lang w:val="en-US" w:eastAsia="zh-CN"/>
              </w:rPr>
              <w:t>1500床</w:t>
            </w:r>
            <w:r>
              <w:rPr>
                <w:rFonts w:hint="eastAsia" w:ascii="宋体" w:hAnsi="宋体"/>
                <w:kern w:val="0"/>
                <w:sz w:val="24"/>
                <w:lang w:eastAsia="zh-CN"/>
              </w:rPr>
              <w:t>、</w:t>
            </w:r>
            <w:r>
              <w:rPr>
                <w:rFonts w:hint="eastAsia" w:ascii="宋体" w:hAnsi="宋体"/>
                <w:kern w:val="0"/>
                <w:sz w:val="24"/>
                <w:lang w:val="en-US" w:eastAsia="zh-CN"/>
              </w:rPr>
              <w:t>家庭应急包50个、照明设备1853个等，合计总价值130万元</w:t>
            </w:r>
            <w:r>
              <w:rPr>
                <w:rFonts w:hint="eastAsia" w:ascii="宋体" w:hAnsi="宋体"/>
                <w:kern w:val="0"/>
                <w:sz w:val="24"/>
              </w:rPr>
              <w:t>。</w:t>
            </w:r>
          </w:p>
        </w:tc>
      </w:tr>
    </w:tbl>
    <w:p>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3" w:firstLineChars="200"/>
        <w:jc w:val="both"/>
        <w:textAlignment w:val="auto"/>
        <w:rPr>
          <w:rFonts w:hint="eastAsia" w:ascii="Times New Roman" w:hAnsi="Times New Roman" w:eastAsia="仿宋_GB2312" w:cs="Times New Roman"/>
          <w:snapToGrid w:val="0"/>
          <w:color w:val="auto"/>
          <w:kern w:val="0"/>
          <w:sz w:val="32"/>
          <w:szCs w:val="32"/>
          <w:highlight w:val="none"/>
        </w:rPr>
      </w:pPr>
      <w:r>
        <w:rPr>
          <w:rFonts w:hint="eastAsia" w:ascii="仿宋_GB2312" w:hAnsi="Calibri" w:eastAsia="仿宋_GB2312" w:cstheme="minorBidi"/>
          <w:b/>
          <w:bCs/>
          <w:kern w:val="2"/>
          <w:sz w:val="32"/>
          <w:szCs w:val="32"/>
          <w:lang w:val="en-US" w:eastAsia="zh-CN" w:bidi="ar-SA"/>
        </w:rPr>
        <w:t>3.应急物资储备和调运模式日益完备。</w:t>
      </w:r>
      <w:r>
        <w:rPr>
          <w:rFonts w:hint="eastAsia" w:ascii="Times New Roman" w:hAnsi="Times New Roman" w:eastAsia="仿宋_GB2312" w:cs="Times New Roman"/>
          <w:snapToGrid w:val="0"/>
          <w:color w:val="auto"/>
          <w:kern w:val="0"/>
          <w:sz w:val="32"/>
          <w:szCs w:val="32"/>
          <w:highlight w:val="none"/>
          <w:lang w:val="en-US" w:eastAsia="zh-CN"/>
        </w:rPr>
        <w:t>结合我市</w:t>
      </w:r>
      <w:r>
        <w:rPr>
          <w:rFonts w:hint="eastAsia" w:ascii="Times New Roman" w:hAnsi="Times New Roman" w:eastAsia="仿宋_GB2312" w:cs="Times New Roman"/>
          <w:snapToGrid w:val="0"/>
          <w:color w:val="auto"/>
          <w:kern w:val="0"/>
          <w:sz w:val="32"/>
          <w:szCs w:val="32"/>
          <w:highlight w:val="none"/>
        </w:rPr>
        <w:t>灾害风险</w:t>
      </w:r>
      <w:r>
        <w:rPr>
          <w:rFonts w:hint="eastAsia" w:ascii="Times New Roman" w:hAnsi="Times New Roman" w:eastAsia="仿宋_GB2312" w:cs="Times New Roman"/>
          <w:snapToGrid w:val="0"/>
          <w:color w:val="auto"/>
          <w:kern w:val="0"/>
          <w:sz w:val="32"/>
          <w:szCs w:val="32"/>
          <w:highlight w:val="none"/>
          <w:lang w:val="en-US" w:eastAsia="zh-CN"/>
        </w:rPr>
        <w:t>类型</w:t>
      </w:r>
      <w:r>
        <w:rPr>
          <w:rFonts w:hint="eastAsia" w:ascii="Times New Roman" w:hAnsi="Times New Roman" w:eastAsia="仿宋_GB2312" w:cs="Times New Roman"/>
          <w:snapToGrid w:val="0"/>
          <w:color w:val="auto"/>
          <w:kern w:val="0"/>
          <w:sz w:val="32"/>
          <w:szCs w:val="32"/>
          <w:highlight w:val="none"/>
        </w:rPr>
        <w:t>，进一步梳理掌握</w:t>
      </w:r>
      <w:r>
        <w:rPr>
          <w:rFonts w:hint="eastAsia" w:ascii="Times New Roman" w:hAnsi="Times New Roman" w:eastAsia="仿宋_GB2312" w:cs="Times New Roman"/>
          <w:snapToGrid w:val="0"/>
          <w:color w:val="auto"/>
          <w:kern w:val="0"/>
          <w:sz w:val="32"/>
          <w:szCs w:val="32"/>
          <w:highlight w:val="none"/>
          <w:lang w:val="en-US" w:eastAsia="zh-CN"/>
        </w:rPr>
        <w:t>我市</w:t>
      </w:r>
      <w:r>
        <w:rPr>
          <w:rFonts w:hint="eastAsia" w:ascii="Times New Roman" w:hAnsi="Times New Roman" w:eastAsia="仿宋_GB2312" w:cs="Times New Roman"/>
          <w:snapToGrid w:val="0"/>
          <w:color w:val="auto"/>
          <w:kern w:val="0"/>
          <w:sz w:val="32"/>
          <w:szCs w:val="32"/>
          <w:highlight w:val="none"/>
        </w:rPr>
        <w:t>应急物资储备底数，持续推进“实物储备+协议储备”模式，努力满足可能发生灾害事故的峰值需求。加强对灾害事故应急物资的调运管理，推动建立了多部门协同、军地联动保障和企业、社会组织、志愿者等社会力量参与机制，应急救灾期间开通运输绿色通道，提高了应急物资保障效能。</w:t>
      </w:r>
    </w:p>
    <w:p>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3" w:firstLineChars="200"/>
        <w:jc w:val="both"/>
        <w:textAlignment w:val="auto"/>
        <w:rPr>
          <w:rFonts w:hint="default" w:ascii="楷体_GB2312" w:eastAsia="楷体_GB2312"/>
          <w:b/>
          <w:bCs/>
          <w:sz w:val="32"/>
          <w:szCs w:val="32"/>
          <w:lang w:val="en-US" w:eastAsia="zh-CN"/>
        </w:rPr>
      </w:pPr>
      <w:bookmarkStart w:id="12" w:name="_Toc22081"/>
      <w:bookmarkEnd w:id="12"/>
      <w:bookmarkStart w:id="13" w:name="_Toc25317"/>
      <w:bookmarkEnd w:id="13"/>
      <w:bookmarkStart w:id="14" w:name="_Toc10054"/>
      <w:bookmarkEnd w:id="14"/>
      <w:bookmarkStart w:id="15" w:name="_Toc17567"/>
      <w:r>
        <w:rPr>
          <w:rFonts w:hint="eastAsia" w:ascii="楷体_GB2312" w:eastAsia="楷体_GB2312"/>
          <w:b/>
          <w:bCs/>
          <w:sz w:val="32"/>
          <w:szCs w:val="32"/>
        </w:rPr>
        <w:t>（二）“十四五”时期面临的形势</w:t>
      </w:r>
      <w:bookmarkEnd w:id="15"/>
      <w:r>
        <w:rPr>
          <w:rFonts w:hint="eastAsia" w:ascii="楷体_GB2312" w:eastAsia="楷体_GB2312"/>
          <w:b/>
          <w:bCs/>
          <w:sz w:val="32"/>
          <w:szCs w:val="32"/>
          <w:lang w:val="en-US" w:eastAsia="zh-CN"/>
        </w:rPr>
        <w:t>和发展机遇</w:t>
      </w:r>
    </w:p>
    <w:p>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0" w:firstLineChars="200"/>
        <w:jc w:val="both"/>
        <w:textAlignment w:val="auto"/>
        <w:rPr>
          <w:rFonts w:ascii="仿宋_GB2312" w:eastAsia="仿宋_GB2312"/>
          <w:sz w:val="32"/>
          <w:szCs w:val="32"/>
        </w:rPr>
      </w:pPr>
      <w:r>
        <w:rPr>
          <w:rFonts w:hint="eastAsia" w:ascii="仿宋_GB2312" w:eastAsia="仿宋_GB2312"/>
          <w:sz w:val="32"/>
          <w:szCs w:val="32"/>
        </w:rPr>
        <w:t>我</w:t>
      </w:r>
      <w:r>
        <w:rPr>
          <w:rFonts w:hint="eastAsia" w:ascii="仿宋_GB2312" w:eastAsia="仿宋_GB2312"/>
          <w:sz w:val="32"/>
          <w:szCs w:val="32"/>
          <w:lang w:val="en-US" w:eastAsia="zh-CN"/>
        </w:rPr>
        <w:t>市地处江淮之间，</w:t>
      </w:r>
      <w:r>
        <w:rPr>
          <w:rFonts w:hint="eastAsia" w:ascii="仿宋_GB2312" w:eastAsia="仿宋_GB2312"/>
          <w:sz w:val="32"/>
          <w:szCs w:val="32"/>
        </w:rPr>
        <w:t>历来多灾易灾，各类突发</w:t>
      </w:r>
      <w:r>
        <w:rPr>
          <w:rFonts w:hint="eastAsia" w:ascii="仿宋_GB2312" w:eastAsia="仿宋_GB2312"/>
          <w:sz w:val="32"/>
          <w:szCs w:val="32"/>
          <w:lang w:val="en-US" w:eastAsia="zh-CN"/>
        </w:rPr>
        <w:t>灾害</w:t>
      </w:r>
      <w:r>
        <w:rPr>
          <w:rFonts w:hint="eastAsia" w:ascii="仿宋_GB2312" w:eastAsia="仿宋_GB2312"/>
          <w:sz w:val="32"/>
          <w:szCs w:val="32"/>
        </w:rPr>
        <w:t>频发，特别是</w:t>
      </w:r>
      <w:r>
        <w:rPr>
          <w:rFonts w:hint="eastAsia" w:ascii="仿宋_GB2312" w:eastAsia="仿宋_GB2312"/>
          <w:sz w:val="32"/>
          <w:szCs w:val="32"/>
          <w:lang w:val="en-US" w:eastAsia="zh-CN"/>
        </w:rPr>
        <w:t>2020年应对</w:t>
      </w:r>
      <w:r>
        <w:rPr>
          <w:rFonts w:hint="eastAsia" w:ascii="仿宋_GB2312" w:eastAsia="仿宋_GB2312"/>
          <w:sz w:val="32"/>
          <w:szCs w:val="32"/>
        </w:rPr>
        <w:t>历史罕见的洪涝灾害</w:t>
      </w:r>
      <w:r>
        <w:rPr>
          <w:rFonts w:hint="eastAsia" w:ascii="仿宋_GB2312" w:eastAsia="仿宋_GB2312"/>
          <w:sz w:val="32"/>
          <w:szCs w:val="32"/>
          <w:lang w:eastAsia="zh-CN"/>
        </w:rPr>
        <w:t>时</w:t>
      </w:r>
      <w:r>
        <w:rPr>
          <w:rFonts w:hint="eastAsia" w:ascii="仿宋_GB2312" w:eastAsia="仿宋_GB2312"/>
          <w:sz w:val="32"/>
          <w:szCs w:val="32"/>
        </w:rPr>
        <w:t>，</w:t>
      </w:r>
      <w:r>
        <w:rPr>
          <w:rFonts w:hint="eastAsia" w:ascii="仿宋_GB2312" w:eastAsia="仿宋_GB2312"/>
          <w:sz w:val="32"/>
          <w:szCs w:val="32"/>
          <w:lang w:eastAsia="zh-CN"/>
        </w:rPr>
        <w:t>暴露出</w:t>
      </w:r>
      <w:r>
        <w:rPr>
          <w:rFonts w:hint="eastAsia" w:ascii="仿宋_GB2312" w:eastAsia="仿宋_GB2312"/>
          <w:sz w:val="32"/>
          <w:szCs w:val="32"/>
          <w:lang w:val="en-US" w:eastAsia="zh-CN"/>
        </w:rPr>
        <w:t>应急</w:t>
      </w:r>
      <w:r>
        <w:rPr>
          <w:rFonts w:hint="default" w:ascii="Times New Roman" w:hAnsi="Times New Roman" w:eastAsia="仿宋_GB2312" w:cs="Times New Roman"/>
          <w:snapToGrid w:val="0"/>
          <w:color w:val="auto"/>
          <w:kern w:val="0"/>
          <w:sz w:val="32"/>
          <w:szCs w:val="32"/>
          <w:highlight w:val="none"/>
        </w:rPr>
        <w:t>物资储备种类、数量难以满足</w:t>
      </w:r>
      <w:r>
        <w:rPr>
          <w:rFonts w:hint="eastAsia" w:ascii="Times New Roman" w:hAnsi="Times New Roman" w:eastAsia="仿宋_GB2312" w:cs="Times New Roman"/>
          <w:snapToGrid w:val="0"/>
          <w:color w:val="auto"/>
          <w:kern w:val="0"/>
          <w:sz w:val="32"/>
          <w:szCs w:val="32"/>
          <w:highlight w:val="none"/>
          <w:lang w:eastAsia="zh-CN"/>
        </w:rPr>
        <w:t>救援</w:t>
      </w:r>
      <w:r>
        <w:rPr>
          <w:rFonts w:hint="default" w:ascii="Times New Roman" w:hAnsi="Times New Roman" w:eastAsia="仿宋_GB2312" w:cs="Times New Roman"/>
          <w:snapToGrid w:val="0"/>
          <w:color w:val="auto"/>
          <w:kern w:val="0"/>
          <w:sz w:val="32"/>
          <w:szCs w:val="32"/>
          <w:highlight w:val="none"/>
        </w:rPr>
        <w:t>需要，应急</w:t>
      </w:r>
      <w:r>
        <w:rPr>
          <w:rFonts w:hint="eastAsia" w:ascii="Times New Roman" w:hAnsi="Times New Roman" w:eastAsia="仿宋_GB2312" w:cs="Times New Roman"/>
          <w:snapToGrid w:val="0"/>
          <w:color w:val="auto"/>
          <w:kern w:val="0"/>
          <w:sz w:val="32"/>
          <w:szCs w:val="32"/>
          <w:highlight w:val="none"/>
          <w:lang w:eastAsia="zh-CN"/>
        </w:rPr>
        <w:t>救援</w:t>
      </w:r>
      <w:r>
        <w:rPr>
          <w:rFonts w:hint="default" w:ascii="Times New Roman" w:hAnsi="Times New Roman" w:eastAsia="仿宋_GB2312" w:cs="Times New Roman"/>
          <w:snapToGrid w:val="0"/>
          <w:color w:val="auto"/>
          <w:kern w:val="0"/>
          <w:sz w:val="32"/>
          <w:szCs w:val="32"/>
          <w:highlight w:val="none"/>
        </w:rPr>
        <w:t>装备、技术手段、通信设施等比较落后</w:t>
      </w:r>
      <w:r>
        <w:rPr>
          <w:rFonts w:hint="eastAsia" w:ascii="Times New Roman" w:hAnsi="Times New Roman" w:eastAsia="仿宋_GB2312" w:cs="Times New Roman"/>
          <w:snapToGrid w:val="0"/>
          <w:color w:val="auto"/>
          <w:kern w:val="0"/>
          <w:sz w:val="32"/>
          <w:szCs w:val="32"/>
          <w:highlight w:val="none"/>
          <w:lang w:eastAsia="zh-CN"/>
        </w:rPr>
        <w:t>，</w:t>
      </w:r>
      <w:r>
        <w:rPr>
          <w:rFonts w:hint="eastAsia" w:ascii="仿宋_GB2312" w:eastAsia="仿宋_GB2312"/>
          <w:sz w:val="32"/>
          <w:szCs w:val="32"/>
        </w:rPr>
        <w:t>应急物资保障体系有待完善、应急物资保障能力亟待提升等问题。</w:t>
      </w:r>
      <w:r>
        <w:rPr>
          <w:rFonts w:hint="eastAsia" w:ascii="Times New Roman" w:hAnsi="Times New Roman" w:eastAsia="仿宋_GB2312"/>
          <w:color w:val="auto"/>
          <w:kern w:val="0"/>
          <w:sz w:val="32"/>
          <w:szCs w:val="32"/>
          <w:u w:val="none"/>
          <w:lang w:eastAsia="zh-CN"/>
        </w:rPr>
        <w:t>“</w:t>
      </w:r>
      <w:r>
        <w:rPr>
          <w:rFonts w:ascii="Times New Roman" w:hAnsi="Times New Roman" w:eastAsia="仿宋_GB2312"/>
          <w:color w:val="auto"/>
          <w:kern w:val="0"/>
          <w:sz w:val="32"/>
          <w:szCs w:val="32"/>
          <w:u w:val="none"/>
        </w:rPr>
        <w:t>十四五</w:t>
      </w:r>
      <w:r>
        <w:rPr>
          <w:rFonts w:hint="eastAsia" w:ascii="Times New Roman" w:hAnsi="Times New Roman" w:eastAsia="仿宋_GB2312"/>
          <w:color w:val="auto"/>
          <w:kern w:val="0"/>
          <w:sz w:val="32"/>
          <w:szCs w:val="32"/>
          <w:u w:val="none"/>
          <w:lang w:eastAsia="zh-CN"/>
        </w:rPr>
        <w:t>”</w:t>
      </w:r>
      <w:r>
        <w:rPr>
          <w:rFonts w:ascii="Times New Roman" w:hAnsi="Times New Roman" w:eastAsia="仿宋_GB2312"/>
          <w:color w:val="auto"/>
          <w:kern w:val="0"/>
          <w:sz w:val="32"/>
          <w:szCs w:val="32"/>
          <w:u w:val="none"/>
        </w:rPr>
        <w:t>时期，我</w:t>
      </w:r>
      <w:r>
        <w:rPr>
          <w:rFonts w:hint="eastAsia" w:ascii="Times New Roman" w:hAnsi="Times New Roman" w:eastAsia="仿宋_GB2312"/>
          <w:color w:val="auto"/>
          <w:kern w:val="0"/>
          <w:sz w:val="32"/>
          <w:szCs w:val="32"/>
          <w:u w:val="none"/>
          <w:lang w:val="en-US" w:eastAsia="zh-CN"/>
        </w:rPr>
        <w:t>市</w:t>
      </w:r>
      <w:r>
        <w:rPr>
          <w:rFonts w:ascii="Times New Roman" w:hAnsi="Times New Roman" w:eastAsia="仿宋_GB2312"/>
          <w:color w:val="auto"/>
          <w:kern w:val="0"/>
          <w:sz w:val="32"/>
          <w:szCs w:val="32"/>
          <w:u w:val="none"/>
        </w:rPr>
        <w:t>自然灾害</w:t>
      </w:r>
      <w:r>
        <w:rPr>
          <w:rFonts w:hint="eastAsia" w:ascii="Times New Roman" w:hAnsi="Times New Roman" w:eastAsia="仿宋_GB2312"/>
          <w:color w:val="auto"/>
          <w:kern w:val="0"/>
          <w:sz w:val="32"/>
          <w:szCs w:val="32"/>
          <w:u w:val="none"/>
          <w:lang w:val="en-US" w:eastAsia="zh-CN"/>
        </w:rPr>
        <w:t>种类多、分布地域广</w:t>
      </w:r>
      <w:r>
        <w:rPr>
          <w:rFonts w:ascii="Times New Roman" w:hAnsi="Times New Roman" w:eastAsia="仿宋_GB2312"/>
          <w:color w:val="auto"/>
          <w:kern w:val="0"/>
          <w:sz w:val="32"/>
          <w:szCs w:val="32"/>
          <w:u w:val="none"/>
        </w:rPr>
        <w:t>的基本</w:t>
      </w:r>
      <w:r>
        <w:rPr>
          <w:rFonts w:hint="eastAsia" w:ascii="Times New Roman" w:hAnsi="Times New Roman" w:eastAsia="仿宋_GB2312"/>
          <w:color w:val="auto"/>
          <w:kern w:val="0"/>
          <w:sz w:val="32"/>
          <w:szCs w:val="32"/>
          <w:u w:val="none"/>
          <w:lang w:val="en-US" w:eastAsia="zh-CN"/>
        </w:rPr>
        <w:t>情况</w:t>
      </w:r>
      <w:r>
        <w:rPr>
          <w:rFonts w:ascii="Times New Roman" w:hAnsi="Times New Roman" w:eastAsia="仿宋_GB2312"/>
          <w:color w:val="auto"/>
          <w:kern w:val="0"/>
          <w:sz w:val="32"/>
          <w:szCs w:val="32"/>
          <w:u w:val="none"/>
        </w:rPr>
        <w:t>没有改变，</w:t>
      </w:r>
      <w:r>
        <w:rPr>
          <w:rFonts w:hint="eastAsia" w:ascii="仿宋_GB2312" w:hAnsi="Times New Roman" w:eastAsia="仿宋_GB2312" w:cs="Times New Roman"/>
          <w:sz w:val="32"/>
          <w:szCs w:val="32"/>
          <w:lang w:val="en-US" w:eastAsia="zh-CN"/>
        </w:rPr>
        <w:t>突发自然灾害将呈现出伤亡大、损失大、影响大，新风险新隐患增多，防控难度变大等特点，</w:t>
      </w:r>
      <w:r>
        <w:rPr>
          <w:rFonts w:hint="eastAsia" w:ascii="仿宋_GB2312" w:eastAsia="仿宋_GB2312"/>
          <w:sz w:val="32"/>
          <w:szCs w:val="32"/>
        </w:rPr>
        <w:t>应急物资保障工作面临诸多新问题、新要求、新机遇。构建统一的应急物资保障体系是推进国家应急管理体系和能力现代化的必然要求，是高效应对巨灾、大灾的基础性保障</w:t>
      </w:r>
      <w:r>
        <w:rPr>
          <w:rFonts w:hint="default" w:ascii="仿宋_GB2312" w:hAnsi="Times New Roman" w:eastAsia="仿宋_GB2312" w:cs="Times New Roman"/>
          <w:sz w:val="32"/>
          <w:szCs w:val="32"/>
          <w:lang w:val="en-US" w:eastAsia="zh-CN"/>
        </w:rPr>
        <w:t>，是一项系统性工程。</w:t>
      </w:r>
      <w:r>
        <w:rPr>
          <w:rFonts w:hint="eastAsia" w:ascii="仿宋_GB2312" w:eastAsia="仿宋_GB2312"/>
          <w:sz w:val="32"/>
          <w:szCs w:val="32"/>
        </w:rPr>
        <w:t>随着社会</w:t>
      </w:r>
      <w:r>
        <w:rPr>
          <w:rFonts w:hint="eastAsia" w:ascii="仿宋_GB2312" w:eastAsia="仿宋_GB2312"/>
          <w:sz w:val="32"/>
          <w:szCs w:val="32"/>
          <w:lang w:eastAsia="zh-CN"/>
        </w:rPr>
        <w:t>经济的发展</w:t>
      </w:r>
      <w:r>
        <w:rPr>
          <w:rFonts w:hint="eastAsia" w:ascii="仿宋_GB2312" w:eastAsia="仿宋_GB2312"/>
          <w:sz w:val="32"/>
          <w:szCs w:val="32"/>
        </w:rPr>
        <w:t>，对应急物资数量品种、应急物资使用质量、应急物资保障时效等提出了更高要求</w:t>
      </w:r>
      <w:r>
        <w:rPr>
          <w:rFonts w:hint="default" w:ascii="Times New Roman" w:hAnsi="Times New Roman" w:eastAsia="仿宋_GB2312" w:cs="Times New Roman"/>
          <w:snapToGrid w:val="0"/>
          <w:color w:val="auto"/>
          <w:kern w:val="0"/>
          <w:sz w:val="32"/>
          <w:szCs w:val="32"/>
          <w:highlight w:val="none"/>
        </w:rPr>
        <w:t>，为推进</w:t>
      </w:r>
      <w:r>
        <w:rPr>
          <w:rFonts w:hint="eastAsia" w:ascii="Times New Roman" w:hAnsi="Times New Roman" w:eastAsia="仿宋_GB2312" w:cs="Times New Roman"/>
          <w:snapToGrid w:val="0"/>
          <w:color w:val="auto"/>
          <w:kern w:val="0"/>
          <w:sz w:val="32"/>
          <w:szCs w:val="32"/>
          <w:highlight w:val="none"/>
          <w:lang w:val="en-US" w:eastAsia="zh-CN"/>
        </w:rPr>
        <w:t>应急物资保障</w:t>
      </w:r>
      <w:r>
        <w:rPr>
          <w:rFonts w:hint="default" w:ascii="Times New Roman" w:hAnsi="Times New Roman" w:eastAsia="仿宋_GB2312" w:cs="Times New Roman"/>
          <w:snapToGrid w:val="0"/>
          <w:color w:val="auto"/>
          <w:kern w:val="0"/>
          <w:sz w:val="32"/>
          <w:szCs w:val="32"/>
          <w:highlight w:val="none"/>
        </w:rPr>
        <w:t>工作提供了强大动力</w:t>
      </w:r>
      <w:r>
        <w:rPr>
          <w:rFonts w:hint="eastAsia" w:ascii="Times New Roman" w:hAnsi="Times New Roman" w:eastAsia="仿宋_GB2312" w:cs="Times New Roman"/>
          <w:snapToGrid w:val="0"/>
          <w:color w:val="auto"/>
          <w:kern w:val="0"/>
          <w:sz w:val="32"/>
          <w:szCs w:val="32"/>
          <w:highlight w:val="none"/>
          <w:lang w:eastAsia="zh-CN"/>
        </w:rPr>
        <w:t>。</w:t>
      </w:r>
    </w:p>
    <w:p>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0" w:firstLineChars="200"/>
        <w:jc w:val="both"/>
        <w:textAlignment w:val="auto"/>
        <w:rPr>
          <w:rFonts w:hint="eastAsia" w:ascii="方正小标宋简体" w:eastAsia="方正小标宋简体"/>
          <w:sz w:val="36"/>
          <w:szCs w:val="36"/>
        </w:rPr>
      </w:pPr>
      <w:r>
        <w:rPr>
          <w:rFonts w:hint="eastAsia" w:ascii="黑体" w:hAnsi="黑体" w:eastAsia="黑体"/>
          <w:sz w:val="32"/>
          <w:szCs w:val="32"/>
        </w:rPr>
        <w:t>二、指导思想、基本原则和建设目标</w:t>
      </w:r>
      <w:bookmarkStart w:id="16" w:name="_Toc18883"/>
      <w:bookmarkEnd w:id="16"/>
      <w:bookmarkStart w:id="17" w:name="_Toc13934"/>
      <w:bookmarkEnd w:id="17"/>
      <w:bookmarkStart w:id="18" w:name="_Toc30229"/>
      <w:bookmarkEnd w:id="18"/>
      <w:bookmarkStart w:id="19" w:name="_Toc17623"/>
      <w:bookmarkEnd w:id="19"/>
    </w:p>
    <w:p>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3" w:firstLineChars="200"/>
        <w:jc w:val="both"/>
        <w:textAlignment w:val="auto"/>
        <w:rPr>
          <w:rFonts w:hint="eastAsia" w:ascii="仿宋_GB2312" w:eastAsia="仿宋_GB2312"/>
          <w:sz w:val="32"/>
          <w:szCs w:val="32"/>
        </w:rPr>
      </w:pPr>
      <w:r>
        <w:rPr>
          <w:rFonts w:hint="eastAsia" w:ascii="楷体_GB2312" w:eastAsia="楷体_GB2312"/>
          <w:b/>
          <w:bCs/>
          <w:sz w:val="32"/>
          <w:szCs w:val="32"/>
        </w:rPr>
        <w:t>（一）指导思想</w:t>
      </w:r>
    </w:p>
    <w:p>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以习近平新时代中国特色社会主义思想为指导，学习贯彻习近平总书记关于应急管理体系和能力现代化重要论述和重要指示批示精神，</w:t>
      </w:r>
      <w:r>
        <w:rPr>
          <w:rFonts w:hint="eastAsia" w:ascii="仿宋_GB2312" w:eastAsia="仿宋_GB2312"/>
          <w:sz w:val="32"/>
          <w:szCs w:val="32"/>
          <w:lang w:eastAsia="zh-CN"/>
        </w:rPr>
        <w:t>全面</w:t>
      </w:r>
      <w:r>
        <w:rPr>
          <w:rFonts w:hint="eastAsia" w:ascii="仿宋_GB2312" w:eastAsia="仿宋_GB2312"/>
          <w:sz w:val="32"/>
          <w:szCs w:val="32"/>
        </w:rPr>
        <w:t>贯彻党的十九大和十九届</w:t>
      </w:r>
      <w:r>
        <w:rPr>
          <w:rFonts w:hint="eastAsia" w:ascii="仿宋_GB2312" w:eastAsia="仿宋_GB2312"/>
          <w:sz w:val="32"/>
          <w:szCs w:val="32"/>
          <w:lang w:eastAsia="zh-CN"/>
        </w:rPr>
        <w:t>历次</w:t>
      </w:r>
      <w:r>
        <w:rPr>
          <w:rFonts w:hint="eastAsia" w:ascii="仿宋_GB2312" w:eastAsia="仿宋_GB2312"/>
          <w:sz w:val="32"/>
          <w:szCs w:val="32"/>
        </w:rPr>
        <w:t>全会精神，深入落实省委、省政府和市委、市政府部署，坚持以人民至上、生命至上和高质量发展为时代主题，以建立健全集中统一的应急物资保障体系为目标，按照集中管理、统一调拨、平时服务、灾时应急、采储结合、节约高效的原则，理顺体制、明确职责、优化布局、提升能力，完善应急物资储备管理法规制度、标准规范和管理机制，通过政府主导、市场化运作方式，构建政府、企业（商业）、社会和使用单位相衔接的应急物资储备体系，确保关键时刻拿得出、调得快、用得上、有保证，有效应对较大突发事件</w:t>
      </w:r>
      <w:r>
        <w:rPr>
          <w:rFonts w:hint="eastAsia" w:ascii="仿宋_GB2312" w:eastAsia="仿宋_GB2312"/>
          <w:sz w:val="32"/>
          <w:szCs w:val="32"/>
          <w:lang w:eastAsia="zh-CN"/>
        </w:rPr>
        <w:t>，</w:t>
      </w:r>
      <w:r>
        <w:rPr>
          <w:rFonts w:hint="eastAsia" w:ascii="仿宋_GB2312" w:eastAsia="仿宋_GB2312"/>
          <w:sz w:val="32"/>
          <w:szCs w:val="32"/>
        </w:rPr>
        <w:t>不断提高应对重特大突发事件的应急物资保障水平</w:t>
      </w:r>
      <w:bookmarkStart w:id="20" w:name="_Toc13184"/>
      <w:bookmarkEnd w:id="20"/>
      <w:bookmarkStart w:id="21" w:name="_Toc18336"/>
      <w:bookmarkEnd w:id="21"/>
      <w:bookmarkStart w:id="22" w:name="_Toc1218"/>
      <w:bookmarkEnd w:id="22"/>
      <w:bookmarkStart w:id="23" w:name="_Toc13946"/>
      <w:bookmarkEnd w:id="23"/>
      <w:r>
        <w:rPr>
          <w:rFonts w:hint="eastAsia" w:ascii="仿宋_GB2312" w:eastAsia="仿宋_GB2312"/>
          <w:sz w:val="32"/>
          <w:szCs w:val="32"/>
          <w:lang w:eastAsia="zh-CN"/>
        </w:rPr>
        <w:t>，</w:t>
      </w:r>
      <w:r>
        <w:rPr>
          <w:rFonts w:hint="eastAsia" w:ascii="仿宋_GB2312" w:eastAsia="仿宋_GB2312"/>
          <w:sz w:val="32"/>
          <w:szCs w:val="32"/>
          <w:lang w:val="en-US" w:eastAsia="zh-CN"/>
        </w:rPr>
        <w:t>为加快六安绿色振兴赶超发展，</w:t>
      </w:r>
      <w:r>
        <w:rPr>
          <w:rFonts w:hint="eastAsia" w:ascii="仿宋_GB2312" w:eastAsia="仿宋_GB2312"/>
          <w:sz w:val="32"/>
          <w:szCs w:val="32"/>
        </w:rPr>
        <w:t>建设</w:t>
      </w:r>
      <w:r>
        <w:rPr>
          <w:rFonts w:hint="eastAsia" w:ascii="仿宋_GB2312" w:eastAsia="仿宋_GB2312"/>
          <w:sz w:val="32"/>
          <w:szCs w:val="32"/>
          <w:lang w:eastAsia="zh-CN"/>
        </w:rPr>
        <w:t>新阶段</w:t>
      </w:r>
      <w:r>
        <w:rPr>
          <w:rFonts w:hint="eastAsia" w:ascii="仿宋_GB2312" w:eastAsia="仿宋_GB2312"/>
          <w:sz w:val="32"/>
          <w:szCs w:val="32"/>
        </w:rPr>
        <w:t>现代化</w:t>
      </w:r>
      <w:r>
        <w:rPr>
          <w:rFonts w:hint="eastAsia" w:ascii="仿宋_GB2312" w:eastAsia="仿宋_GB2312"/>
          <w:sz w:val="32"/>
          <w:szCs w:val="32"/>
          <w:lang w:val="en-US" w:eastAsia="zh-CN"/>
        </w:rPr>
        <w:t>幸福六安</w:t>
      </w:r>
      <w:r>
        <w:rPr>
          <w:rFonts w:hint="eastAsia" w:ascii="仿宋_GB2312" w:eastAsia="仿宋_GB2312"/>
          <w:sz w:val="32"/>
          <w:szCs w:val="32"/>
        </w:rPr>
        <w:t>提供强有力的应急物资保障</w:t>
      </w:r>
      <w:r>
        <w:rPr>
          <w:rFonts w:hint="eastAsia" w:ascii="仿宋_GB2312" w:eastAsia="仿宋_GB2312"/>
          <w:sz w:val="32"/>
          <w:szCs w:val="32"/>
          <w:lang w:eastAsia="zh-CN"/>
        </w:rPr>
        <w:t>，</w:t>
      </w:r>
      <w:r>
        <w:rPr>
          <w:rFonts w:hint="eastAsia" w:ascii="仿宋_GB2312" w:eastAsia="仿宋_GB2312"/>
          <w:sz w:val="32"/>
          <w:szCs w:val="32"/>
        </w:rPr>
        <w:t>切实维护人民群众生命财产安全。</w:t>
      </w:r>
    </w:p>
    <w:p>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3" w:firstLineChars="200"/>
        <w:jc w:val="both"/>
        <w:textAlignment w:val="auto"/>
        <w:rPr>
          <w:rFonts w:hint="eastAsia" w:ascii="楷体_GB2312" w:eastAsia="楷体_GB2312"/>
          <w:b/>
          <w:bCs/>
          <w:sz w:val="32"/>
          <w:szCs w:val="32"/>
        </w:rPr>
      </w:pPr>
      <w:r>
        <w:rPr>
          <w:rFonts w:hint="eastAsia" w:ascii="楷体_GB2312" w:eastAsia="楷体_GB2312"/>
          <w:b/>
          <w:bCs/>
          <w:sz w:val="32"/>
          <w:szCs w:val="32"/>
        </w:rPr>
        <w:t>（二）基本原则</w:t>
      </w:r>
    </w:p>
    <w:p>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3" w:firstLineChars="200"/>
        <w:jc w:val="both"/>
        <w:textAlignment w:val="auto"/>
        <w:rPr>
          <w:rFonts w:hint="eastAsia" w:ascii="仿宋_GB2312" w:eastAsia="仿宋_GB2312"/>
          <w:sz w:val="32"/>
          <w:szCs w:val="32"/>
        </w:rPr>
      </w:pPr>
      <w:r>
        <w:rPr>
          <w:rFonts w:hint="eastAsia" w:ascii="仿宋_GB2312" w:eastAsia="仿宋_GB2312"/>
          <w:b/>
          <w:bCs/>
          <w:sz w:val="32"/>
          <w:szCs w:val="32"/>
        </w:rPr>
        <w:t>1.</w:t>
      </w:r>
      <w:r>
        <w:rPr>
          <w:rFonts w:hint="eastAsia" w:ascii="仿宋_GB2312" w:eastAsia="仿宋_GB2312"/>
          <w:b/>
          <w:bCs/>
          <w:sz w:val="32"/>
          <w:szCs w:val="32"/>
          <w:lang w:val="en-US" w:eastAsia="zh-CN"/>
        </w:rPr>
        <w:t>统一指挥</w:t>
      </w:r>
      <w:r>
        <w:rPr>
          <w:rFonts w:hint="eastAsia" w:ascii="仿宋_GB2312" w:eastAsia="仿宋_GB2312"/>
          <w:b/>
          <w:bCs/>
          <w:sz w:val="32"/>
          <w:szCs w:val="32"/>
        </w:rPr>
        <w:t>，</w:t>
      </w:r>
      <w:r>
        <w:rPr>
          <w:rFonts w:hint="eastAsia" w:ascii="仿宋_GB2312" w:eastAsia="仿宋_GB2312"/>
          <w:b/>
          <w:bCs/>
          <w:sz w:val="32"/>
          <w:szCs w:val="32"/>
          <w:lang w:val="en-US" w:eastAsia="zh-CN"/>
        </w:rPr>
        <w:t>分级负责</w:t>
      </w:r>
      <w:r>
        <w:rPr>
          <w:rFonts w:hint="eastAsia" w:ascii="仿宋_GB2312" w:eastAsia="仿宋_GB2312"/>
          <w:b/>
          <w:bCs/>
          <w:sz w:val="32"/>
          <w:szCs w:val="32"/>
        </w:rPr>
        <w:t>。</w:t>
      </w:r>
      <w:r>
        <w:rPr>
          <w:rFonts w:hint="eastAsia" w:ascii="仿宋_GB2312" w:eastAsia="仿宋_GB2312"/>
          <w:sz w:val="32"/>
          <w:szCs w:val="32"/>
          <w:lang w:eastAsia="zh-CN"/>
        </w:rPr>
        <w:t>坚持各级党委在应急物资保障工作中的领导地位，</w:t>
      </w:r>
      <w:r>
        <w:rPr>
          <w:rFonts w:hint="eastAsia" w:ascii="仿宋_GB2312" w:eastAsia="仿宋_GB2312"/>
          <w:sz w:val="32"/>
          <w:szCs w:val="32"/>
        </w:rPr>
        <w:t>各级政府要按照“统一指挥、分级负责、统筹布局、分类储备、共享资源、综合调度”的要求，建立健全应急物资保障体系，应急物资保障以县（区）</w:t>
      </w:r>
      <w:r>
        <w:rPr>
          <w:rFonts w:hint="eastAsia" w:ascii="仿宋_GB2312" w:eastAsia="仿宋_GB2312"/>
          <w:sz w:val="32"/>
          <w:szCs w:val="32"/>
          <w:lang w:eastAsia="zh-CN"/>
        </w:rPr>
        <w:t>、</w:t>
      </w:r>
      <w:r>
        <w:rPr>
          <w:rFonts w:hint="eastAsia" w:ascii="仿宋_GB2312" w:eastAsia="仿宋_GB2312"/>
          <w:sz w:val="32"/>
          <w:szCs w:val="32"/>
          <w:lang w:val="en-US" w:eastAsia="zh-CN"/>
        </w:rPr>
        <w:t>乡镇（街道）</w:t>
      </w:r>
      <w:r>
        <w:rPr>
          <w:rFonts w:hint="eastAsia" w:ascii="仿宋_GB2312" w:eastAsia="仿宋_GB2312"/>
          <w:sz w:val="32"/>
          <w:szCs w:val="32"/>
        </w:rPr>
        <w:t>为主，实行属地管理，各级相关部门承担主体责任，负责组织协调本行政区域内的应急物资保障工作。</w:t>
      </w:r>
      <w:r>
        <w:rPr>
          <w:rFonts w:hint="eastAsia" w:ascii="仿宋_GB2312" w:eastAsia="仿宋_GB2312"/>
          <w:sz w:val="32"/>
          <w:szCs w:val="32"/>
          <w:lang w:val="en-US" w:eastAsia="zh-CN"/>
        </w:rPr>
        <w:t>市</w:t>
      </w:r>
      <w:r>
        <w:rPr>
          <w:rFonts w:hint="eastAsia" w:ascii="仿宋_GB2312" w:eastAsia="仿宋_GB2312"/>
          <w:sz w:val="32"/>
          <w:szCs w:val="32"/>
        </w:rPr>
        <w:t>级发挥统筹指导和支持作用，协助各级应对重特大突发事件。</w:t>
      </w:r>
    </w:p>
    <w:p>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3" w:firstLineChars="200"/>
        <w:jc w:val="both"/>
        <w:textAlignment w:val="auto"/>
        <w:rPr>
          <w:rFonts w:eastAsia="仿宋_GB2312"/>
          <w:sz w:val="32"/>
          <w:szCs w:val="32"/>
        </w:rPr>
      </w:pPr>
      <w:r>
        <w:rPr>
          <w:rFonts w:hint="eastAsia" w:eastAsia="仿宋_GB2312"/>
          <w:b/>
          <w:bCs/>
          <w:sz w:val="32"/>
          <w:szCs w:val="32"/>
          <w:lang w:val="en-US" w:eastAsia="zh-CN"/>
        </w:rPr>
        <w:t>2</w:t>
      </w:r>
      <w:r>
        <w:rPr>
          <w:rFonts w:eastAsia="仿宋_GB2312"/>
          <w:b/>
          <w:bCs/>
          <w:sz w:val="32"/>
          <w:szCs w:val="32"/>
        </w:rPr>
        <w:t>.集中管理，统一调拨。</w:t>
      </w:r>
      <w:r>
        <w:rPr>
          <w:rFonts w:eastAsia="仿宋_GB2312"/>
          <w:sz w:val="32"/>
          <w:szCs w:val="32"/>
        </w:rPr>
        <w:t>建立政府集中管理的应急物资保障制度，统一仓储管理，实行统一指挥、统一调拨、统一配送，通过完善民间应急物资和运输紧急征用补偿机制，将各类有效社会资源纳入全</w:t>
      </w:r>
      <w:r>
        <w:rPr>
          <w:rFonts w:hint="eastAsia" w:eastAsia="仿宋_GB2312"/>
          <w:sz w:val="32"/>
          <w:szCs w:val="32"/>
          <w:lang w:val="en-US" w:eastAsia="zh-CN"/>
        </w:rPr>
        <w:t>市</w:t>
      </w:r>
      <w:r>
        <w:rPr>
          <w:rFonts w:eastAsia="仿宋_GB2312"/>
          <w:sz w:val="32"/>
          <w:szCs w:val="32"/>
        </w:rPr>
        <w:t>应急物资动员保障体系</w:t>
      </w:r>
      <w:r>
        <w:rPr>
          <w:rFonts w:hint="eastAsia" w:eastAsia="仿宋_GB2312"/>
          <w:sz w:val="32"/>
          <w:szCs w:val="32"/>
          <w:lang w:eastAsia="zh-CN"/>
        </w:rPr>
        <w:t>，</w:t>
      </w:r>
      <w:r>
        <w:rPr>
          <w:rFonts w:eastAsia="仿宋_GB2312"/>
          <w:sz w:val="32"/>
          <w:szCs w:val="32"/>
        </w:rPr>
        <w:t>确保应急物资调运快捷高效。在应急使用期间，启动重大灾害事故应急物资保障相关工作机制，确保关键时候应急物资拿得出、调得快、用得上。</w:t>
      </w:r>
    </w:p>
    <w:p>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3" w:firstLineChars="200"/>
        <w:jc w:val="both"/>
        <w:textAlignment w:val="auto"/>
        <w:rPr>
          <w:rFonts w:eastAsia="方正小标宋简体"/>
          <w:sz w:val="36"/>
          <w:szCs w:val="36"/>
        </w:rPr>
      </w:pPr>
      <w:r>
        <w:rPr>
          <w:rFonts w:hint="eastAsia" w:eastAsia="仿宋_GB2312"/>
          <w:b/>
          <w:bCs/>
          <w:sz w:val="32"/>
          <w:szCs w:val="32"/>
          <w:lang w:val="en-US" w:eastAsia="zh-CN"/>
        </w:rPr>
        <w:t>3</w:t>
      </w:r>
      <w:r>
        <w:rPr>
          <w:rFonts w:eastAsia="仿宋_GB2312"/>
          <w:b/>
          <w:bCs/>
          <w:sz w:val="32"/>
          <w:szCs w:val="32"/>
        </w:rPr>
        <w:t>.采储结合，</w:t>
      </w:r>
      <w:r>
        <w:rPr>
          <w:rFonts w:hint="eastAsia" w:eastAsia="仿宋_GB2312"/>
          <w:b/>
          <w:bCs/>
          <w:sz w:val="32"/>
          <w:szCs w:val="32"/>
          <w:lang w:val="en-US" w:eastAsia="zh-CN"/>
        </w:rPr>
        <w:t>注重实效</w:t>
      </w:r>
      <w:r>
        <w:rPr>
          <w:rFonts w:eastAsia="仿宋_GB2312"/>
          <w:b/>
          <w:bCs/>
          <w:sz w:val="32"/>
          <w:szCs w:val="32"/>
        </w:rPr>
        <w:t>。</w:t>
      </w:r>
      <w:r>
        <w:rPr>
          <w:rFonts w:eastAsia="仿宋_GB2312"/>
          <w:sz w:val="32"/>
          <w:szCs w:val="32"/>
        </w:rPr>
        <w:t>立足需求、服务应急，把储备和采购等环节统一起来，完善应急物资采购机制，开展常态化统筹管理和动态监控</w:t>
      </w:r>
      <w:r>
        <w:rPr>
          <w:rFonts w:hint="eastAsia" w:eastAsia="仿宋_GB2312"/>
          <w:sz w:val="32"/>
          <w:szCs w:val="32"/>
          <w:lang w:eastAsia="zh-CN"/>
        </w:rPr>
        <w:t>。</w:t>
      </w:r>
      <w:r>
        <w:rPr>
          <w:rFonts w:eastAsia="仿宋_GB2312"/>
          <w:sz w:val="32"/>
          <w:szCs w:val="32"/>
        </w:rPr>
        <w:t>综合运用实物储备、协议储备等多种储备方式，倡导全社会积极捐助、捐赠各类应急救援物资，鼓励家庭储备个人基本应急物资</w:t>
      </w:r>
      <w:r>
        <w:rPr>
          <w:rFonts w:hint="eastAsia" w:eastAsia="仿宋_GB2312"/>
          <w:sz w:val="32"/>
          <w:szCs w:val="32"/>
          <w:lang w:eastAsia="zh-CN"/>
        </w:rPr>
        <w:t>，</w:t>
      </w:r>
      <w:r>
        <w:rPr>
          <w:rFonts w:eastAsia="仿宋_GB2312"/>
          <w:sz w:val="32"/>
          <w:szCs w:val="32"/>
        </w:rPr>
        <w:t>提高应急物资使用效率，提升应急物资储备效能。</w:t>
      </w:r>
      <w:bookmarkStart w:id="24" w:name="_Toc32670"/>
      <w:bookmarkEnd w:id="24"/>
      <w:bookmarkStart w:id="25" w:name="_Toc19105"/>
      <w:bookmarkEnd w:id="25"/>
      <w:bookmarkStart w:id="26" w:name="_Toc22999"/>
      <w:bookmarkEnd w:id="26"/>
      <w:bookmarkStart w:id="27" w:name="_Toc26920"/>
      <w:bookmarkEnd w:id="27"/>
    </w:p>
    <w:p>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3" w:firstLineChars="200"/>
        <w:jc w:val="both"/>
        <w:textAlignment w:val="auto"/>
        <w:outlineLvl w:val="1"/>
        <w:rPr>
          <w:rFonts w:eastAsia="楷体_GB2312"/>
          <w:b/>
          <w:bCs/>
          <w:sz w:val="32"/>
          <w:szCs w:val="32"/>
        </w:rPr>
      </w:pPr>
      <w:r>
        <w:rPr>
          <w:rFonts w:eastAsia="楷体_GB2312"/>
          <w:b/>
          <w:bCs/>
          <w:sz w:val="32"/>
          <w:szCs w:val="32"/>
        </w:rPr>
        <w:t>（三）建设目标</w:t>
      </w:r>
    </w:p>
    <w:p>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0" w:firstLineChars="200"/>
        <w:jc w:val="both"/>
        <w:textAlignment w:val="auto"/>
        <w:rPr>
          <w:rFonts w:eastAsia="仿宋_GB2312"/>
          <w:sz w:val="32"/>
          <w:szCs w:val="32"/>
        </w:rPr>
      </w:pPr>
      <w:r>
        <w:rPr>
          <w:rFonts w:eastAsia="仿宋_GB2312"/>
          <w:sz w:val="32"/>
          <w:szCs w:val="32"/>
        </w:rPr>
        <w:t>到2025年，推进市—县—乡能够满足本行政区域启动Ⅱ级应急响应的应急物资保障需求</w:t>
      </w:r>
      <w:r>
        <w:rPr>
          <w:rFonts w:hint="eastAsia" w:eastAsia="仿宋_GB2312"/>
          <w:sz w:val="32"/>
          <w:szCs w:val="32"/>
          <w:lang w:eastAsia="zh-CN"/>
        </w:rPr>
        <w:t>。并</w:t>
      </w:r>
      <w:r>
        <w:rPr>
          <w:rFonts w:eastAsia="仿宋_GB2312"/>
          <w:sz w:val="32"/>
          <w:szCs w:val="32"/>
        </w:rPr>
        <w:t>从体制机制、储备调配、社会协同、科技支撑等方面，提高</w:t>
      </w:r>
      <w:r>
        <w:rPr>
          <w:rFonts w:hint="eastAsia" w:eastAsia="仿宋_GB2312"/>
          <w:sz w:val="32"/>
          <w:szCs w:val="32"/>
          <w:lang w:eastAsia="zh-CN"/>
        </w:rPr>
        <w:t>应对</w:t>
      </w:r>
      <w:r>
        <w:rPr>
          <w:rFonts w:eastAsia="仿宋_GB2312"/>
          <w:sz w:val="32"/>
          <w:szCs w:val="32"/>
        </w:rPr>
        <w:t>灾害事故应急物资保障能力。</w:t>
      </w:r>
    </w:p>
    <w:tbl>
      <w:tblPr>
        <w:tblStyle w:val="7"/>
        <w:tblW w:w="8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8999" w:type="dxa"/>
            <w:tcBorders>
              <w:top w:val="single" w:color="auto" w:sz="4" w:space="0"/>
              <w:left w:val="single" w:color="auto" w:sz="4" w:space="0"/>
              <w:bottom w:val="single" w:color="auto" w:sz="4" w:space="0"/>
              <w:right w:val="single" w:color="auto" w:sz="4" w:space="0"/>
            </w:tcBorders>
            <w:shd w:val="clear" w:color="auto" w:fill="EEECE1"/>
            <w:vAlign w:val="top"/>
          </w:tcPr>
          <w:p>
            <w:pPr>
              <w:pStyle w:val="6"/>
              <w:jc w:val="center"/>
              <w:rPr>
                <w:rFonts w:eastAsia="黑体"/>
                <w:szCs w:val="21"/>
              </w:rPr>
            </w:pPr>
            <w:r>
              <w:rPr>
                <w:rFonts w:hint="eastAsia" w:ascii="黑体" w:hAnsi="黑体" w:eastAsia="黑体"/>
              </w:rPr>
              <w:t>专栏</w:t>
            </w:r>
            <w:r>
              <w:rPr>
                <w:rFonts w:hint="eastAsia" w:eastAsia="黑体"/>
                <w:lang w:val="en-US" w:eastAsia="zh-CN"/>
              </w:rPr>
              <w:t>1</w:t>
            </w:r>
            <w:r>
              <w:rPr>
                <w:rFonts w:hint="eastAsia" w:ascii="黑体" w:hAnsi="黑体" w:eastAsia="黑体"/>
              </w:rPr>
              <w:t>：</w:t>
            </w:r>
            <w:r>
              <w:rPr>
                <w:rFonts w:hint="eastAsia" w:ascii="黑体" w:hAnsi="黑体" w:eastAsia="黑体"/>
                <w:lang w:eastAsia="zh-CN"/>
              </w:rPr>
              <w:t>森林防灭火</w:t>
            </w:r>
            <w:r>
              <w:rPr>
                <w:rFonts w:hint="eastAsia" w:ascii="黑体" w:hAnsi="黑体" w:eastAsia="黑体"/>
              </w:rPr>
              <w:t>应急物资储备</w:t>
            </w:r>
            <w:r>
              <w:rPr>
                <w:rFonts w:hint="eastAsia" w:ascii="黑体" w:hAnsi="黑体" w:eastAsia="黑体"/>
                <w:lang w:eastAsia="zh-CN"/>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9" w:type="dxa"/>
            <w:tcBorders>
              <w:top w:val="single" w:color="auto" w:sz="4" w:space="0"/>
              <w:left w:val="single" w:color="auto" w:sz="4" w:space="0"/>
              <w:bottom w:val="single" w:color="auto" w:sz="4" w:space="0"/>
              <w:right w:val="single" w:color="auto" w:sz="4" w:space="0"/>
            </w:tcBorders>
            <w:vAlign w:val="top"/>
          </w:tcPr>
          <w:p>
            <w:pPr>
              <w:widowControl/>
              <w:spacing w:line="520" w:lineRule="exact"/>
              <w:ind w:firstLine="641"/>
              <w:rPr>
                <w:sz w:val="24"/>
              </w:rPr>
            </w:pPr>
            <w:r>
              <w:rPr>
                <w:b/>
                <w:bCs/>
                <w:sz w:val="24"/>
              </w:rPr>
              <w:t>1</w:t>
            </w:r>
            <w:r>
              <w:rPr>
                <w:rFonts w:hint="eastAsia"/>
                <w:b/>
                <w:bCs/>
                <w:sz w:val="24"/>
              </w:rPr>
              <w:t>.</w:t>
            </w:r>
            <w:r>
              <w:rPr>
                <w:rFonts w:hint="eastAsia" w:ascii="宋体" w:hAnsi="宋体"/>
                <w:b/>
                <w:bCs/>
                <w:sz w:val="24"/>
                <w:lang w:eastAsia="zh-CN"/>
              </w:rPr>
              <w:t>市本级</w:t>
            </w:r>
            <w:r>
              <w:rPr>
                <w:rFonts w:hint="eastAsia" w:ascii="宋体" w:hAnsi="宋体"/>
                <w:b/>
                <w:bCs/>
                <w:sz w:val="24"/>
              </w:rPr>
              <w:t>：</w:t>
            </w:r>
            <w:r>
              <w:rPr>
                <w:rFonts w:hint="eastAsia" w:ascii="宋体" w:hAnsi="宋体"/>
                <w:kern w:val="0"/>
                <w:sz w:val="24"/>
                <w:lang w:eastAsia="zh-CN"/>
              </w:rPr>
              <w:t>增加</w:t>
            </w:r>
            <w:r>
              <w:rPr>
                <w:rFonts w:hint="eastAsia" w:ascii="宋体" w:hAnsi="宋体"/>
                <w:kern w:val="0"/>
                <w:sz w:val="24"/>
                <w:lang w:val="en-US" w:eastAsia="zh-CN"/>
              </w:rPr>
              <w:t>120万元森林防火物资储备，以风力灭火机和二号工具等为主，新增购买森林消防水泵和巡查无人机等物资品种，提升水灭火能力和火灾空中预警监测能力</w:t>
            </w:r>
            <w:r>
              <w:rPr>
                <w:rFonts w:hint="eastAsia" w:ascii="宋体" w:hAnsi="宋体"/>
                <w:sz w:val="24"/>
              </w:rPr>
              <w:t>。</w:t>
            </w:r>
          </w:p>
          <w:p>
            <w:pPr>
              <w:widowControl/>
              <w:spacing w:line="520" w:lineRule="exact"/>
              <w:ind w:firstLine="641"/>
              <w:rPr>
                <w:rFonts w:hint="eastAsia" w:ascii="宋体" w:hAnsi="宋体"/>
                <w:b/>
                <w:bCs/>
                <w:sz w:val="24"/>
                <w:lang w:eastAsia="zh-CN"/>
              </w:rPr>
            </w:pPr>
            <w:r>
              <w:rPr>
                <w:b/>
                <w:bCs/>
                <w:sz w:val="24"/>
              </w:rPr>
              <w:t>2.</w:t>
            </w:r>
            <w:r>
              <w:rPr>
                <w:rFonts w:hint="eastAsia" w:ascii="宋体" w:hAnsi="宋体"/>
                <w:b/>
                <w:bCs/>
                <w:sz w:val="24"/>
                <w:lang w:eastAsia="zh-CN"/>
              </w:rPr>
              <w:t>县区</w:t>
            </w:r>
            <w:r>
              <w:rPr>
                <w:rFonts w:ascii="宋体" w:hAnsi="宋体"/>
                <w:b/>
                <w:bCs/>
                <w:sz w:val="24"/>
              </w:rPr>
              <w:t>：</w:t>
            </w:r>
            <w:r>
              <w:rPr>
                <w:rFonts w:hint="eastAsia" w:ascii="宋体" w:hAnsi="宋体"/>
                <w:kern w:val="0"/>
                <w:sz w:val="24"/>
                <w:lang w:val="en-US" w:eastAsia="zh-CN"/>
              </w:rPr>
              <w:t>重点防火县区（金寨、霍山、舒城）物资配备要达到市级储备的80%、金安、裕安达到市级50%、霍邱、叶集达到30%。</w:t>
            </w:r>
          </w:p>
          <w:p>
            <w:pPr>
              <w:widowControl/>
              <w:spacing w:line="520" w:lineRule="exact"/>
              <w:ind w:firstLine="641"/>
              <w:rPr>
                <w:szCs w:val="21"/>
              </w:rPr>
            </w:pPr>
            <w:r>
              <w:rPr>
                <w:rFonts w:hint="eastAsia" w:ascii="宋体" w:hAnsi="宋体"/>
                <w:b/>
                <w:bCs/>
                <w:sz w:val="24"/>
                <w:lang w:val="en-US" w:eastAsia="zh-CN"/>
              </w:rPr>
              <w:t>3.乡镇：</w:t>
            </w:r>
            <w:r>
              <w:rPr>
                <w:rFonts w:hint="eastAsia" w:ascii="宋体" w:hAnsi="宋体" w:eastAsiaTheme="minorEastAsia"/>
                <w:spacing w:val="-11"/>
                <w:kern w:val="0"/>
                <w:sz w:val="24"/>
                <w:lang w:val="en-US" w:eastAsia="zh-CN"/>
              </w:rPr>
              <w:t>森林防火重点乡镇要配备4台以上森林消防水泵、5台以上风力灭火机。</w:t>
            </w:r>
          </w:p>
        </w:tc>
      </w:tr>
    </w:tbl>
    <w:p>
      <w:pPr>
        <w:autoSpaceDE w:val="0"/>
        <w:spacing w:line="580" w:lineRule="exact"/>
        <w:ind w:firstLine="640" w:firstLineChars="200"/>
        <w:rPr>
          <w:rFonts w:hint="eastAsia" w:eastAsia="仿宋_GB2312"/>
          <w:sz w:val="32"/>
          <w:szCs w:val="32"/>
          <w:lang w:eastAsia="zh-CN"/>
        </w:rPr>
      </w:pPr>
    </w:p>
    <w:tbl>
      <w:tblPr>
        <w:tblStyle w:val="7"/>
        <w:tblW w:w="8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8999" w:type="dxa"/>
            <w:tcBorders>
              <w:top w:val="single" w:color="auto" w:sz="4" w:space="0"/>
              <w:left w:val="single" w:color="auto" w:sz="4" w:space="0"/>
              <w:bottom w:val="single" w:color="auto" w:sz="4" w:space="0"/>
              <w:right w:val="single" w:color="auto" w:sz="4" w:space="0"/>
            </w:tcBorders>
            <w:shd w:val="clear" w:color="auto" w:fill="EEECE1"/>
            <w:vAlign w:val="top"/>
          </w:tcPr>
          <w:p>
            <w:pPr>
              <w:pStyle w:val="6"/>
              <w:jc w:val="center"/>
              <w:rPr>
                <w:rFonts w:eastAsia="黑体"/>
                <w:szCs w:val="21"/>
              </w:rPr>
            </w:pPr>
            <w:r>
              <w:rPr>
                <w:rFonts w:hint="eastAsia" w:ascii="黑体" w:hAnsi="黑体" w:eastAsia="黑体"/>
              </w:rPr>
              <w:t>专栏</w:t>
            </w:r>
            <w:r>
              <w:rPr>
                <w:rFonts w:hint="eastAsia" w:eastAsia="黑体"/>
                <w:lang w:val="en-US" w:eastAsia="zh-CN"/>
              </w:rPr>
              <w:t>2</w:t>
            </w:r>
            <w:r>
              <w:rPr>
                <w:rFonts w:hint="eastAsia" w:ascii="黑体" w:hAnsi="黑体" w:eastAsia="黑体"/>
              </w:rPr>
              <w:t>：</w:t>
            </w:r>
            <w:r>
              <w:rPr>
                <w:rFonts w:hint="eastAsia" w:ascii="黑体" w:hAnsi="黑体" w:eastAsia="黑体"/>
                <w:lang w:eastAsia="zh-CN"/>
              </w:rPr>
              <w:t>防汛</w:t>
            </w:r>
            <w:r>
              <w:rPr>
                <w:rFonts w:hint="eastAsia" w:ascii="黑体" w:hAnsi="黑体" w:eastAsia="黑体"/>
              </w:rPr>
              <w:t>应急物资储备</w:t>
            </w:r>
            <w:r>
              <w:rPr>
                <w:rFonts w:hint="eastAsia" w:ascii="黑体" w:hAnsi="黑体" w:eastAsia="黑体"/>
                <w:lang w:eastAsia="zh-CN"/>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9" w:type="dxa"/>
            <w:tcBorders>
              <w:top w:val="single" w:color="auto" w:sz="4" w:space="0"/>
              <w:left w:val="single" w:color="auto" w:sz="4" w:space="0"/>
              <w:bottom w:val="single" w:color="auto" w:sz="4" w:space="0"/>
              <w:right w:val="single" w:color="auto" w:sz="4" w:space="0"/>
            </w:tcBorders>
            <w:vAlign w:val="top"/>
          </w:tcPr>
          <w:p>
            <w:pPr>
              <w:widowControl/>
              <w:spacing w:line="520" w:lineRule="exact"/>
              <w:ind w:firstLine="641"/>
              <w:rPr>
                <w:color w:val="0000FF"/>
                <w:sz w:val="24"/>
              </w:rPr>
            </w:pPr>
            <w:r>
              <w:rPr>
                <w:b/>
                <w:bCs/>
                <w:sz w:val="24"/>
              </w:rPr>
              <w:t>1</w:t>
            </w:r>
            <w:r>
              <w:rPr>
                <w:rFonts w:hint="eastAsia"/>
                <w:b/>
                <w:bCs/>
                <w:sz w:val="24"/>
              </w:rPr>
              <w:t>.</w:t>
            </w:r>
            <w:r>
              <w:rPr>
                <w:rFonts w:hint="eastAsia" w:ascii="宋体" w:hAnsi="宋体"/>
                <w:b/>
                <w:bCs/>
                <w:sz w:val="24"/>
                <w:lang w:eastAsia="zh-CN"/>
              </w:rPr>
              <w:t>市本级</w:t>
            </w:r>
            <w:r>
              <w:rPr>
                <w:rFonts w:hint="eastAsia" w:ascii="宋体" w:hAnsi="宋体"/>
                <w:b/>
                <w:bCs/>
                <w:sz w:val="24"/>
              </w:rPr>
              <w:t>：</w:t>
            </w:r>
            <w:r>
              <w:rPr>
                <w:rFonts w:hint="eastAsia" w:ascii="宋体" w:hAnsi="宋体"/>
                <w:kern w:val="0"/>
                <w:sz w:val="24"/>
                <w:lang w:eastAsia="zh-CN"/>
              </w:rPr>
              <w:t>增加</w:t>
            </w:r>
            <w:r>
              <w:rPr>
                <w:rFonts w:hint="eastAsia" w:ascii="宋体" w:hAnsi="宋体"/>
                <w:kern w:val="0"/>
                <w:sz w:val="24"/>
                <w:lang w:val="en-US" w:eastAsia="zh-CN"/>
              </w:rPr>
              <w:t>500万元防汛抢险应急物资储备，以冲锋舟、排涝设备等抢险装备为主，争取市级财政支持购买或者租赁防汛应急通信指挥车，解决突发自然灾害现场可能出现的通讯中断问题，提高应对突发灾害事件的快速处置能力。</w:t>
            </w:r>
          </w:p>
          <w:p>
            <w:pPr>
              <w:widowControl/>
              <w:spacing w:line="520" w:lineRule="exact"/>
              <w:ind w:firstLine="641"/>
              <w:rPr>
                <w:rFonts w:hint="eastAsia" w:ascii="宋体" w:hAnsi="宋体"/>
                <w:b/>
                <w:bCs/>
                <w:sz w:val="24"/>
                <w:lang w:val="en-US" w:eastAsia="zh-CN"/>
              </w:rPr>
            </w:pPr>
            <w:r>
              <w:rPr>
                <w:b/>
                <w:bCs/>
                <w:sz w:val="24"/>
              </w:rPr>
              <w:t>2.</w:t>
            </w:r>
            <w:r>
              <w:rPr>
                <w:rFonts w:hint="eastAsia" w:ascii="宋体" w:hAnsi="宋体"/>
                <w:b/>
                <w:bCs/>
                <w:sz w:val="24"/>
                <w:lang w:eastAsia="zh-CN"/>
              </w:rPr>
              <w:t>县区</w:t>
            </w:r>
            <w:r>
              <w:rPr>
                <w:rFonts w:ascii="宋体" w:hAnsi="宋体"/>
                <w:b/>
                <w:bCs/>
                <w:sz w:val="24"/>
              </w:rPr>
              <w:t>：</w:t>
            </w:r>
            <w:r>
              <w:rPr>
                <w:rFonts w:hint="eastAsia" w:ascii="宋体" w:hAnsi="宋体"/>
                <w:kern w:val="0"/>
                <w:sz w:val="24"/>
                <w:lang w:val="en-US" w:eastAsia="zh-CN"/>
              </w:rPr>
              <w:t>重点防汛抢险物资要达到应对启动Ⅱ级防汛应急响应的需求。其中冲锋舟/橡皮艇、排涝设备等重点防汛物资在现有配备基础上增加50%。</w:t>
            </w:r>
          </w:p>
          <w:p>
            <w:pPr>
              <w:widowControl/>
              <w:spacing w:line="520" w:lineRule="exact"/>
              <w:ind w:firstLine="641"/>
              <w:rPr>
                <w:szCs w:val="21"/>
              </w:rPr>
            </w:pPr>
            <w:r>
              <w:rPr>
                <w:rFonts w:hint="eastAsia" w:ascii="宋体" w:hAnsi="宋体"/>
                <w:b/>
                <w:bCs/>
                <w:sz w:val="24"/>
                <w:lang w:val="en-US" w:eastAsia="zh-CN"/>
              </w:rPr>
              <w:t>3.乡镇：</w:t>
            </w:r>
            <w:r>
              <w:rPr>
                <w:rFonts w:hint="eastAsia" w:ascii="宋体" w:hAnsi="宋体"/>
                <w:kern w:val="0"/>
                <w:sz w:val="24"/>
                <w:lang w:val="en-US" w:eastAsia="zh-CN"/>
              </w:rPr>
              <w:t>重点防汛抢险物资要达到应对较大灾害保障需求，山区和平原乡镇按照一定标准配备防汛抢险物资。其中山区乡镇应达到全覆盖配备卫星电话并不少于1部。重要沿河乡镇配备冲锋舟/橡皮艇不少于3艘，排涝设备不低于5套。</w:t>
            </w:r>
          </w:p>
        </w:tc>
      </w:tr>
    </w:tbl>
    <w:p>
      <w:pPr>
        <w:autoSpaceDE w:val="0"/>
        <w:spacing w:line="580" w:lineRule="exact"/>
        <w:ind w:firstLine="640" w:firstLineChars="200"/>
        <w:rPr>
          <w:rFonts w:hint="eastAsia" w:eastAsia="仿宋_GB2312"/>
          <w:sz w:val="32"/>
          <w:szCs w:val="32"/>
          <w:lang w:eastAsia="zh-CN"/>
        </w:rPr>
      </w:pPr>
    </w:p>
    <w:tbl>
      <w:tblPr>
        <w:tblStyle w:val="7"/>
        <w:tblW w:w="8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8999" w:type="dxa"/>
            <w:tcBorders>
              <w:top w:val="single" w:color="auto" w:sz="4" w:space="0"/>
              <w:left w:val="single" w:color="auto" w:sz="4" w:space="0"/>
              <w:bottom w:val="single" w:color="auto" w:sz="4" w:space="0"/>
              <w:right w:val="single" w:color="auto" w:sz="4" w:space="0"/>
            </w:tcBorders>
            <w:shd w:val="clear" w:color="auto" w:fill="EEECE1"/>
            <w:vAlign w:val="top"/>
          </w:tcPr>
          <w:p>
            <w:pPr>
              <w:pStyle w:val="6"/>
              <w:jc w:val="center"/>
              <w:rPr>
                <w:rFonts w:eastAsia="黑体"/>
                <w:szCs w:val="21"/>
              </w:rPr>
            </w:pPr>
            <w:r>
              <w:rPr>
                <w:rFonts w:hint="eastAsia" w:ascii="黑体" w:hAnsi="黑体" w:eastAsia="黑体"/>
              </w:rPr>
              <w:t>专栏</w:t>
            </w:r>
            <w:r>
              <w:rPr>
                <w:rFonts w:hint="eastAsia" w:eastAsia="黑体"/>
                <w:lang w:val="en-US" w:eastAsia="zh-CN"/>
              </w:rPr>
              <w:t>3</w:t>
            </w:r>
            <w:r>
              <w:rPr>
                <w:rFonts w:hint="eastAsia" w:ascii="黑体" w:hAnsi="黑体" w:eastAsia="黑体"/>
              </w:rPr>
              <w:t>：</w:t>
            </w:r>
            <w:r>
              <w:rPr>
                <w:rFonts w:hint="eastAsia" w:ascii="黑体" w:hAnsi="黑体" w:eastAsia="黑体"/>
                <w:lang w:eastAsia="zh-CN"/>
              </w:rPr>
              <w:t>生活类</w:t>
            </w:r>
            <w:r>
              <w:rPr>
                <w:rFonts w:hint="eastAsia" w:ascii="黑体" w:hAnsi="黑体" w:eastAsia="黑体"/>
              </w:rPr>
              <w:t>物资储备</w:t>
            </w:r>
            <w:r>
              <w:rPr>
                <w:rFonts w:hint="eastAsia" w:ascii="黑体" w:hAnsi="黑体" w:eastAsia="黑体"/>
                <w:lang w:eastAsia="zh-CN"/>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9" w:type="dxa"/>
            <w:tcBorders>
              <w:top w:val="single" w:color="auto" w:sz="4" w:space="0"/>
              <w:left w:val="single" w:color="auto" w:sz="4" w:space="0"/>
              <w:bottom w:val="single" w:color="auto" w:sz="4" w:space="0"/>
              <w:right w:val="single" w:color="auto" w:sz="4" w:space="0"/>
            </w:tcBorders>
            <w:vAlign w:val="top"/>
          </w:tcPr>
          <w:p>
            <w:pPr>
              <w:widowControl/>
              <w:spacing w:line="520" w:lineRule="exact"/>
              <w:ind w:firstLine="641"/>
              <w:rPr>
                <w:sz w:val="24"/>
              </w:rPr>
            </w:pPr>
            <w:r>
              <w:rPr>
                <w:b/>
                <w:bCs/>
                <w:sz w:val="24"/>
              </w:rPr>
              <w:t>1</w:t>
            </w:r>
            <w:r>
              <w:rPr>
                <w:rFonts w:hint="eastAsia"/>
                <w:b/>
                <w:bCs/>
                <w:sz w:val="24"/>
              </w:rPr>
              <w:t>.</w:t>
            </w:r>
            <w:r>
              <w:rPr>
                <w:rFonts w:hint="eastAsia" w:ascii="宋体" w:hAnsi="宋体"/>
                <w:b/>
                <w:bCs/>
                <w:sz w:val="24"/>
                <w:lang w:eastAsia="zh-CN"/>
              </w:rPr>
              <w:t>市本级</w:t>
            </w:r>
            <w:r>
              <w:rPr>
                <w:rFonts w:hint="eastAsia" w:ascii="宋体" w:hAnsi="宋体"/>
                <w:b/>
                <w:bCs/>
                <w:sz w:val="24"/>
              </w:rPr>
              <w:t>：</w:t>
            </w:r>
            <w:r>
              <w:rPr>
                <w:rFonts w:hint="eastAsia" w:ascii="宋体" w:hAnsi="宋体"/>
                <w:kern w:val="0"/>
                <w:sz w:val="24"/>
                <w:lang w:val="en-US" w:eastAsia="zh-CN"/>
              </w:rPr>
              <w:t>增加</w:t>
            </w:r>
            <w:r>
              <w:rPr>
                <w:rFonts w:hint="eastAsia" w:ascii="宋体" w:hAnsi="宋体"/>
                <w:color w:val="FF0000"/>
                <w:kern w:val="0"/>
                <w:sz w:val="24"/>
                <w:lang w:val="en-US" w:eastAsia="zh-CN"/>
              </w:rPr>
              <w:t>300万元</w:t>
            </w:r>
            <w:r>
              <w:rPr>
                <w:rFonts w:hint="eastAsia" w:ascii="宋体" w:hAnsi="宋体"/>
                <w:kern w:val="0"/>
                <w:sz w:val="24"/>
                <w:lang w:val="en-US" w:eastAsia="zh-CN"/>
              </w:rPr>
              <w:t>生活类物资实物储备，以</w:t>
            </w:r>
            <w:r>
              <w:rPr>
                <w:rFonts w:hint="eastAsia" w:ascii="宋体" w:hAnsi="宋体"/>
                <w:sz w:val="24"/>
              </w:rPr>
              <w:t>照明设施、发电机、净水设备、棉被、棉被褥、棉大衣、毛巾被、空调被、折叠床、绒衣裤、枕头、毛毯、家庭应急包、帐篷</w:t>
            </w:r>
            <w:r>
              <w:rPr>
                <w:rFonts w:hint="eastAsia" w:ascii="宋体" w:hAnsi="宋体"/>
                <w:sz w:val="24"/>
                <w:lang w:eastAsia="zh-CN"/>
              </w:rPr>
              <w:t>等为主；食品储备以协议储备为主，达到保障</w:t>
            </w:r>
            <w:r>
              <w:rPr>
                <w:rFonts w:hint="eastAsia" w:ascii="宋体" w:hAnsi="宋体"/>
                <w:color w:val="FF0000"/>
                <w:sz w:val="24"/>
                <w:lang w:val="en-US" w:eastAsia="zh-CN"/>
              </w:rPr>
              <w:t>1</w:t>
            </w:r>
            <w:r>
              <w:rPr>
                <w:rFonts w:hint="eastAsia" w:ascii="宋体" w:hAnsi="宋体"/>
                <w:color w:val="FF0000"/>
                <w:sz w:val="24"/>
                <w:lang w:eastAsia="zh-CN"/>
              </w:rPr>
              <w:t>万</w:t>
            </w:r>
            <w:r>
              <w:rPr>
                <w:rFonts w:hint="eastAsia" w:ascii="宋体" w:hAnsi="宋体"/>
                <w:sz w:val="24"/>
                <w:lang w:eastAsia="zh-CN"/>
              </w:rPr>
              <w:t>集中转移安置人口</w:t>
            </w:r>
            <w:r>
              <w:rPr>
                <w:rFonts w:hint="eastAsia" w:ascii="宋体" w:hAnsi="宋体"/>
                <w:sz w:val="24"/>
                <w:lang w:val="en-US" w:eastAsia="zh-CN"/>
              </w:rPr>
              <w:t>5</w:t>
            </w:r>
            <w:r>
              <w:rPr>
                <w:rFonts w:hint="eastAsia" w:ascii="宋体" w:hAnsi="宋体"/>
                <w:sz w:val="24"/>
                <w:lang w:eastAsia="zh-CN"/>
              </w:rPr>
              <w:t>天基本生活的规模。市级企业（商业）储备和产能储备分别达到保障</w:t>
            </w:r>
            <w:r>
              <w:rPr>
                <w:rFonts w:hint="eastAsia" w:ascii="宋体" w:hAnsi="宋体"/>
                <w:color w:val="FF0000"/>
                <w:sz w:val="24"/>
                <w:lang w:val="en-US" w:eastAsia="zh-CN"/>
              </w:rPr>
              <w:t>1</w:t>
            </w:r>
            <w:r>
              <w:rPr>
                <w:rFonts w:hint="eastAsia" w:ascii="宋体" w:hAnsi="宋体"/>
                <w:color w:val="FF0000"/>
                <w:sz w:val="24"/>
                <w:lang w:eastAsia="zh-CN"/>
              </w:rPr>
              <w:t>万</w:t>
            </w:r>
            <w:r>
              <w:rPr>
                <w:rFonts w:hint="eastAsia" w:ascii="宋体" w:hAnsi="宋体"/>
                <w:sz w:val="24"/>
                <w:lang w:eastAsia="zh-CN"/>
              </w:rPr>
              <w:t>紧急集中转移安置人口10天基本生活的规模。</w:t>
            </w:r>
          </w:p>
          <w:p>
            <w:pPr>
              <w:widowControl/>
              <w:spacing w:line="520" w:lineRule="exact"/>
              <w:ind w:firstLine="641"/>
              <w:rPr>
                <w:szCs w:val="21"/>
              </w:rPr>
            </w:pPr>
            <w:r>
              <w:rPr>
                <w:b/>
                <w:bCs/>
                <w:sz w:val="24"/>
              </w:rPr>
              <w:t>2.</w:t>
            </w:r>
            <w:r>
              <w:rPr>
                <w:rFonts w:hint="eastAsia" w:ascii="宋体" w:hAnsi="宋体"/>
                <w:b/>
                <w:bCs/>
                <w:sz w:val="24"/>
                <w:lang w:eastAsia="zh-CN"/>
              </w:rPr>
              <w:t>县区</w:t>
            </w:r>
            <w:r>
              <w:rPr>
                <w:rFonts w:ascii="宋体" w:hAnsi="宋体"/>
                <w:b/>
                <w:bCs/>
                <w:sz w:val="24"/>
              </w:rPr>
              <w:t>：</w:t>
            </w:r>
            <w:r>
              <w:rPr>
                <w:rFonts w:hint="eastAsia" w:ascii="宋体" w:hAnsi="宋体"/>
                <w:kern w:val="0"/>
                <w:sz w:val="24"/>
                <w:lang w:val="en-US" w:eastAsia="zh-CN"/>
              </w:rPr>
              <w:t>救灾物资配备要达到保障当地1%的常住人口紧急转移安置。</w:t>
            </w:r>
          </w:p>
        </w:tc>
      </w:tr>
    </w:tbl>
    <w:p>
      <w:pPr>
        <w:rPr>
          <w:rFonts w:hint="eastAsia"/>
          <w:lang w:eastAsia="zh-CN"/>
        </w:rPr>
      </w:pPr>
    </w:p>
    <w:p>
      <w:pPr>
        <w:keepNext w:val="0"/>
        <w:keepLines w:val="0"/>
        <w:pageBreakBefore w:val="0"/>
        <w:widowControl w:val="0"/>
        <w:kinsoku/>
        <w:wordWrap/>
        <w:overflowPunct/>
        <w:topLinePunct w:val="0"/>
        <w:autoSpaceDE w:val="0"/>
        <w:autoSpaceDN/>
        <w:bidi w:val="0"/>
        <w:spacing w:line="560" w:lineRule="exact"/>
        <w:ind w:firstLine="643" w:firstLineChars="200"/>
        <w:textAlignment w:val="auto"/>
        <w:rPr>
          <w:rFonts w:eastAsia="仿宋_GB2312"/>
          <w:sz w:val="32"/>
          <w:szCs w:val="32"/>
        </w:rPr>
      </w:pPr>
      <w:r>
        <w:rPr>
          <w:rFonts w:eastAsia="仿宋_GB2312"/>
          <w:b/>
          <w:bCs/>
          <w:sz w:val="32"/>
          <w:szCs w:val="32"/>
        </w:rPr>
        <w:t>1.体制机制更加健全</w:t>
      </w:r>
      <w:r>
        <w:rPr>
          <w:rFonts w:hint="eastAsia" w:eastAsia="仿宋_GB2312"/>
          <w:b/>
          <w:bCs/>
          <w:sz w:val="32"/>
          <w:szCs w:val="32"/>
          <w:lang w:val="en-US" w:eastAsia="zh-CN"/>
        </w:rPr>
        <w:t>完善</w:t>
      </w:r>
      <w:r>
        <w:rPr>
          <w:rFonts w:eastAsia="仿宋_GB2312"/>
          <w:b/>
          <w:bCs/>
          <w:sz w:val="32"/>
          <w:szCs w:val="32"/>
        </w:rPr>
        <w:t>。</w:t>
      </w:r>
      <w:r>
        <w:rPr>
          <w:rFonts w:eastAsia="仿宋_GB2312"/>
          <w:sz w:val="32"/>
          <w:szCs w:val="32"/>
        </w:rPr>
        <w:t>建立政府、军队、企业、社会组织等共同参与，统一指挥、资源共享、调度灵活、配送快捷的应急物资快速调配</w:t>
      </w:r>
      <w:r>
        <w:rPr>
          <w:rFonts w:hint="eastAsia" w:eastAsia="仿宋_GB2312"/>
          <w:sz w:val="32"/>
          <w:szCs w:val="32"/>
          <w:lang w:eastAsia="zh-CN"/>
        </w:rPr>
        <w:t>机制</w:t>
      </w:r>
      <w:r>
        <w:rPr>
          <w:rFonts w:eastAsia="仿宋_GB2312"/>
          <w:sz w:val="32"/>
          <w:szCs w:val="32"/>
        </w:rPr>
        <w:t>，形成统一领导、综合协调和各方齐抓共管、协同配合的应急物资保障格局。</w:t>
      </w:r>
    </w:p>
    <w:p>
      <w:pPr>
        <w:keepNext w:val="0"/>
        <w:keepLines w:val="0"/>
        <w:pageBreakBefore w:val="0"/>
        <w:widowControl w:val="0"/>
        <w:numPr>
          <w:ilvl w:val="0"/>
          <w:numId w:val="0"/>
        </w:numPr>
        <w:kinsoku/>
        <w:wordWrap/>
        <w:overflowPunct/>
        <w:topLinePunct w:val="0"/>
        <w:autoSpaceDE w:val="0"/>
        <w:autoSpaceDN/>
        <w:bidi w:val="0"/>
        <w:spacing w:line="560" w:lineRule="exact"/>
        <w:ind w:firstLine="643" w:firstLineChars="200"/>
        <w:textAlignment w:val="auto"/>
        <w:rPr>
          <w:rFonts w:eastAsia="仿宋_GB2312"/>
          <w:sz w:val="32"/>
          <w:szCs w:val="32"/>
        </w:rPr>
      </w:pPr>
      <w:r>
        <w:rPr>
          <w:rFonts w:hint="eastAsia" w:eastAsia="仿宋_GB2312"/>
          <w:b/>
          <w:bCs/>
          <w:sz w:val="32"/>
          <w:szCs w:val="32"/>
          <w:lang w:val="en-US" w:eastAsia="zh-CN"/>
        </w:rPr>
        <w:t>2.</w:t>
      </w:r>
      <w:r>
        <w:rPr>
          <w:rFonts w:eastAsia="仿宋_GB2312"/>
          <w:b/>
          <w:bCs/>
          <w:sz w:val="32"/>
          <w:szCs w:val="32"/>
        </w:rPr>
        <w:t>物资储备更加科学</w:t>
      </w:r>
      <w:r>
        <w:rPr>
          <w:rFonts w:hint="eastAsia" w:eastAsia="仿宋_GB2312"/>
          <w:b/>
          <w:bCs/>
          <w:sz w:val="32"/>
          <w:szCs w:val="32"/>
          <w:lang w:val="en-US" w:eastAsia="zh-CN"/>
        </w:rPr>
        <w:t>优化</w:t>
      </w:r>
      <w:r>
        <w:rPr>
          <w:rFonts w:eastAsia="仿宋_GB2312"/>
          <w:b/>
          <w:bCs/>
          <w:sz w:val="32"/>
          <w:szCs w:val="32"/>
        </w:rPr>
        <w:t>。</w:t>
      </w:r>
      <w:r>
        <w:rPr>
          <w:rFonts w:eastAsia="仿宋_GB2312"/>
          <w:sz w:val="32"/>
          <w:szCs w:val="32"/>
        </w:rPr>
        <w:t>健全市—县—乡</w:t>
      </w:r>
      <w:r>
        <w:rPr>
          <w:rFonts w:hint="eastAsia" w:eastAsia="仿宋_GB2312"/>
          <w:sz w:val="32"/>
          <w:szCs w:val="32"/>
          <w:lang w:val="en-US" w:eastAsia="zh-CN"/>
        </w:rPr>
        <w:t>三</w:t>
      </w:r>
      <w:r>
        <w:rPr>
          <w:rFonts w:eastAsia="仿宋_GB2312"/>
          <w:sz w:val="32"/>
          <w:szCs w:val="32"/>
        </w:rPr>
        <w:t>级应急物资储备网络，储备品种、规模和布局更加科学合理。建立</w:t>
      </w:r>
      <w:r>
        <w:rPr>
          <w:rFonts w:hint="eastAsia" w:eastAsia="仿宋_GB2312"/>
          <w:sz w:val="32"/>
          <w:szCs w:val="32"/>
          <w:lang w:val="en-US" w:eastAsia="zh-CN"/>
        </w:rPr>
        <w:t>市</w:t>
      </w:r>
      <w:r>
        <w:rPr>
          <w:rFonts w:eastAsia="仿宋_GB2312"/>
          <w:sz w:val="32"/>
          <w:szCs w:val="32"/>
        </w:rPr>
        <w:t>级储备和县乡储备相互补充、政府储备和社会储备相互结合、实物储备和协议储备相互衔接的应急物资储备体系。</w:t>
      </w:r>
    </w:p>
    <w:p>
      <w:pPr>
        <w:keepNext w:val="0"/>
        <w:keepLines w:val="0"/>
        <w:pageBreakBefore w:val="0"/>
        <w:widowControl w:val="0"/>
        <w:kinsoku/>
        <w:wordWrap/>
        <w:overflowPunct/>
        <w:topLinePunct w:val="0"/>
        <w:autoSpaceDE w:val="0"/>
        <w:autoSpaceDN/>
        <w:bidi w:val="0"/>
        <w:spacing w:line="560" w:lineRule="exact"/>
        <w:ind w:firstLine="643" w:firstLineChars="200"/>
        <w:textAlignment w:val="auto"/>
        <w:rPr>
          <w:rFonts w:eastAsia="仿宋_GB2312"/>
          <w:sz w:val="32"/>
          <w:szCs w:val="32"/>
        </w:rPr>
      </w:pPr>
      <w:r>
        <w:rPr>
          <w:rFonts w:hint="eastAsia" w:eastAsia="仿宋_GB2312"/>
          <w:b/>
          <w:bCs/>
          <w:sz w:val="32"/>
          <w:szCs w:val="32"/>
          <w:lang w:val="en-US" w:eastAsia="zh-CN"/>
        </w:rPr>
        <w:t>3</w:t>
      </w:r>
      <w:r>
        <w:rPr>
          <w:rFonts w:eastAsia="仿宋_GB2312"/>
          <w:b/>
          <w:bCs/>
          <w:sz w:val="32"/>
          <w:szCs w:val="32"/>
        </w:rPr>
        <w:t>.社会协同能力普遍提升。</w:t>
      </w:r>
      <w:r>
        <w:rPr>
          <w:rFonts w:eastAsia="仿宋_GB2312"/>
          <w:sz w:val="32"/>
          <w:szCs w:val="32"/>
        </w:rPr>
        <w:t>积极调动社会力量共同参与应急物资保障</w:t>
      </w:r>
      <w:r>
        <w:rPr>
          <w:rFonts w:hint="eastAsia" w:ascii="Times New Roman" w:eastAsia="仿宋_GB2312"/>
          <w:sz w:val="32"/>
          <w:szCs w:val="32"/>
          <w:lang w:eastAsia="zh-CN" w:bidi="ar"/>
        </w:rPr>
        <w:t>，</w:t>
      </w:r>
      <w:r>
        <w:rPr>
          <w:rFonts w:eastAsia="仿宋_GB2312"/>
          <w:sz w:val="32"/>
          <w:szCs w:val="32"/>
        </w:rPr>
        <w:t>倡导家庭层面应急物资储备，社区应急物资保障能力快速提升，社会力量物资捐赠平台高效运行，营造社会多方力量共同参与的良好氛围。</w:t>
      </w:r>
    </w:p>
    <w:p>
      <w:pPr>
        <w:keepNext w:val="0"/>
        <w:keepLines w:val="0"/>
        <w:pageBreakBefore w:val="0"/>
        <w:widowControl w:val="0"/>
        <w:kinsoku/>
        <w:wordWrap/>
        <w:overflowPunct/>
        <w:topLinePunct w:val="0"/>
        <w:autoSpaceDE w:val="0"/>
        <w:autoSpaceDN/>
        <w:bidi w:val="0"/>
        <w:spacing w:line="560" w:lineRule="exact"/>
        <w:ind w:firstLine="643" w:firstLineChars="200"/>
        <w:textAlignment w:val="auto"/>
        <w:rPr>
          <w:rFonts w:eastAsia="仿宋_GB2312"/>
          <w:sz w:val="32"/>
          <w:szCs w:val="32"/>
        </w:rPr>
      </w:pPr>
      <w:r>
        <w:rPr>
          <w:rFonts w:hint="eastAsia" w:eastAsia="仿宋_GB2312"/>
          <w:b/>
          <w:bCs/>
          <w:sz w:val="32"/>
          <w:szCs w:val="32"/>
          <w:lang w:val="en-US" w:eastAsia="zh-CN"/>
        </w:rPr>
        <w:t>4</w:t>
      </w:r>
      <w:r>
        <w:rPr>
          <w:rFonts w:eastAsia="仿宋_GB2312"/>
          <w:b/>
          <w:bCs/>
          <w:sz w:val="32"/>
          <w:szCs w:val="32"/>
        </w:rPr>
        <w:t>.科技支撑水平显著提高。</w:t>
      </w:r>
      <w:r>
        <w:rPr>
          <w:rFonts w:hint="eastAsia" w:eastAsia="仿宋_GB2312"/>
          <w:sz w:val="32"/>
          <w:szCs w:val="32"/>
          <w:lang w:eastAsia="zh-CN"/>
        </w:rPr>
        <w:t>加快推进各级应急指挥中心信息化平台建设，充分利用</w:t>
      </w:r>
      <w:r>
        <w:rPr>
          <w:rFonts w:eastAsia="仿宋_GB2312"/>
          <w:sz w:val="32"/>
          <w:szCs w:val="32"/>
        </w:rPr>
        <w:t>大数据、云计算、人工智能等高新技术，全面提高应急物资全程监管、统一调拨、动态追溯、信息共享、决策支持能力。</w:t>
      </w:r>
      <w:bookmarkStart w:id="28" w:name="_Toc57"/>
      <w:bookmarkEnd w:id="28"/>
      <w:bookmarkStart w:id="29" w:name="_Toc26280"/>
      <w:bookmarkEnd w:id="29"/>
      <w:bookmarkStart w:id="30" w:name="_Toc31646"/>
      <w:bookmarkEnd w:id="30"/>
      <w:bookmarkStart w:id="31" w:name="_Toc1995"/>
      <w:bookmarkEnd w:id="31"/>
    </w:p>
    <w:p>
      <w:pPr>
        <w:keepNext w:val="0"/>
        <w:keepLines w:val="0"/>
        <w:pageBreakBefore w:val="0"/>
        <w:widowControl w:val="0"/>
        <w:kinsoku/>
        <w:wordWrap/>
        <w:overflowPunct/>
        <w:topLinePunct w:val="0"/>
        <w:autoSpaceDE w:val="0"/>
        <w:autoSpaceDN/>
        <w:bidi w:val="0"/>
        <w:spacing w:line="560" w:lineRule="exact"/>
        <w:ind w:firstLine="640" w:firstLineChars="200"/>
        <w:textAlignment w:val="auto"/>
        <w:rPr>
          <w:rFonts w:hint="eastAsia" w:eastAsia="仿宋_GB2312"/>
          <w:sz w:val="32"/>
          <w:szCs w:val="32"/>
        </w:rPr>
      </w:pPr>
      <w:r>
        <w:rPr>
          <w:rFonts w:hint="eastAsia" w:ascii="黑体" w:hAnsi="黑体" w:eastAsia="黑体" w:cs="黑体"/>
          <w:sz w:val="32"/>
          <w:szCs w:val="32"/>
        </w:rPr>
        <w:t>三、重点任务</w:t>
      </w:r>
    </w:p>
    <w:p>
      <w:pPr>
        <w:keepNext w:val="0"/>
        <w:keepLines w:val="0"/>
        <w:pageBreakBefore w:val="0"/>
        <w:widowControl w:val="0"/>
        <w:kinsoku/>
        <w:wordWrap/>
        <w:overflowPunct/>
        <w:topLinePunct w:val="0"/>
        <w:autoSpaceDE w:val="0"/>
        <w:autoSpaceDN/>
        <w:bidi w:val="0"/>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（一）完善应急物资储备管理体制机制</w:t>
      </w:r>
    </w:p>
    <w:p>
      <w:pPr>
        <w:keepNext w:val="0"/>
        <w:keepLines w:val="0"/>
        <w:pageBreakBefore w:val="0"/>
        <w:widowControl w:val="0"/>
        <w:kinsoku/>
        <w:wordWrap/>
        <w:overflowPunct/>
        <w:topLinePunct w:val="0"/>
        <w:autoSpaceDE w:val="0"/>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1. 加强组织领导。加快构建党委、政府统一领导、应急管理部门统筹协调、统分结合的应急物资储备保障体制，实现统一规划、统一布局、统一管理、统一调度。</w:t>
      </w:r>
      <w:r>
        <w:rPr>
          <w:rFonts w:hint="eastAsia" w:eastAsia="仿宋_GB2312"/>
          <w:sz w:val="32"/>
          <w:szCs w:val="32"/>
          <w:lang w:eastAsia="zh-CN"/>
        </w:rPr>
        <w:t>由市县减灾救灾委员会办公室具体负责应急物资保障工作</w:t>
      </w:r>
      <w:r>
        <w:rPr>
          <w:rFonts w:hint="eastAsia" w:eastAsia="仿宋_GB2312"/>
          <w:sz w:val="32"/>
          <w:szCs w:val="32"/>
        </w:rPr>
        <w:t>。</w:t>
      </w:r>
    </w:p>
    <w:p>
      <w:pPr>
        <w:keepNext w:val="0"/>
        <w:keepLines w:val="0"/>
        <w:pageBreakBefore w:val="0"/>
        <w:widowControl w:val="0"/>
        <w:kinsoku/>
        <w:wordWrap/>
        <w:overflowPunct/>
        <w:topLinePunct w:val="0"/>
        <w:autoSpaceDE w:val="0"/>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2. 实行分级分类储备。以“省级储备为支撑、市级储备为依托、县级储备为基础”的应急物资储备体系要求，落实市县分级储备责任。推进市—县—乡能够满足本行政区域启动Ⅱ级应急响应的应急物资保障需求，储备符合区域突发事件特点的应急物资。各行业部门按职责承担应急物资储备任务，明确储备地点，科学论证各类应急物资储备重点、规模和方式。</w:t>
      </w:r>
    </w:p>
    <w:p>
      <w:pPr>
        <w:keepNext w:val="0"/>
        <w:keepLines w:val="0"/>
        <w:pageBreakBefore w:val="0"/>
        <w:widowControl w:val="0"/>
        <w:kinsoku/>
        <w:wordWrap/>
        <w:overflowPunct/>
        <w:topLinePunct w:val="0"/>
        <w:autoSpaceDE w:val="0"/>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3. 建立健全分级响应协同保障机制。自然灾害、事故灾难发生后，各级应先行启用本级应急物资储备。在本级储备难以满足需要时，可向上一级提出应急物资调用申请，调用申请应明确需要调用的应急物资种类、规格、数量及调运时间和地点等内容。建立协同保障机制，</w:t>
      </w:r>
      <w:r>
        <w:rPr>
          <w:rFonts w:hint="eastAsia" w:eastAsia="仿宋_GB2312"/>
          <w:color w:val="FF0000"/>
          <w:sz w:val="32"/>
          <w:szCs w:val="32"/>
        </w:rPr>
        <w:t>市应急管理部门</w:t>
      </w:r>
      <w:r>
        <w:rPr>
          <w:rFonts w:hint="eastAsia" w:eastAsia="仿宋_GB2312"/>
          <w:sz w:val="32"/>
          <w:szCs w:val="32"/>
        </w:rPr>
        <w:t>统筹全市应急物资的调配调用，向有关县区和市有关部门发出调拨指令</w:t>
      </w:r>
      <w:r>
        <w:rPr>
          <w:rFonts w:hint="eastAsia" w:eastAsia="仿宋_GB2312"/>
          <w:sz w:val="32"/>
          <w:szCs w:val="32"/>
          <w:lang w:eastAsia="zh-CN"/>
        </w:rPr>
        <w:t>。</w:t>
      </w:r>
      <w:r>
        <w:rPr>
          <w:rFonts w:hint="eastAsia" w:eastAsia="仿宋_GB2312"/>
          <w:sz w:val="32"/>
          <w:szCs w:val="32"/>
        </w:rPr>
        <w:t>各级各有关部门（单位）要严格执行调拨指令，负责组织实施应急物资调运等工作，并及时报告应急物资调运情况。</w:t>
      </w:r>
    </w:p>
    <w:p>
      <w:pPr>
        <w:keepNext w:val="0"/>
        <w:keepLines w:val="0"/>
        <w:pageBreakBefore w:val="0"/>
        <w:widowControl w:val="0"/>
        <w:kinsoku/>
        <w:wordWrap/>
        <w:overflowPunct/>
        <w:topLinePunct w:val="0"/>
        <w:autoSpaceDE w:val="0"/>
        <w:autoSpaceDN/>
        <w:bidi w:val="0"/>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（二）优化提升仓储设施建设布局</w:t>
      </w:r>
    </w:p>
    <w:p>
      <w:pPr>
        <w:keepNext w:val="0"/>
        <w:keepLines w:val="0"/>
        <w:pageBreakBefore w:val="0"/>
        <w:widowControl w:val="0"/>
        <w:kinsoku/>
        <w:wordWrap/>
        <w:overflowPunct/>
        <w:topLinePunct w:val="0"/>
        <w:autoSpaceDE w:val="0"/>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1. 优化市级仓储布局。加快推进</w:t>
      </w:r>
      <w:r>
        <w:rPr>
          <w:rFonts w:hint="eastAsia" w:eastAsia="仿宋_GB2312"/>
          <w:sz w:val="32"/>
          <w:szCs w:val="32"/>
          <w:lang w:eastAsia="zh-CN"/>
        </w:rPr>
        <w:t>市级救灾</w:t>
      </w:r>
      <w:r>
        <w:rPr>
          <w:rFonts w:hint="eastAsia" w:eastAsia="仿宋_GB2312"/>
          <w:sz w:val="32"/>
          <w:szCs w:val="32"/>
        </w:rPr>
        <w:t>物资储备</w:t>
      </w:r>
      <w:r>
        <w:rPr>
          <w:rFonts w:hint="eastAsia" w:eastAsia="仿宋_GB2312"/>
          <w:sz w:val="32"/>
          <w:szCs w:val="32"/>
          <w:lang w:eastAsia="zh-CN"/>
        </w:rPr>
        <w:t>库</w:t>
      </w:r>
      <w:r>
        <w:rPr>
          <w:rFonts w:hint="eastAsia" w:eastAsia="仿宋_GB2312"/>
          <w:sz w:val="32"/>
          <w:szCs w:val="32"/>
        </w:rPr>
        <w:t>项目建设，提升社会化应急物资仓储水平。</w:t>
      </w:r>
    </w:p>
    <w:p>
      <w:pPr>
        <w:keepNext w:val="0"/>
        <w:keepLines w:val="0"/>
        <w:pageBreakBefore w:val="0"/>
        <w:widowControl w:val="0"/>
        <w:kinsoku/>
        <w:wordWrap/>
        <w:overflowPunct/>
        <w:topLinePunct w:val="0"/>
        <w:autoSpaceDE w:val="0"/>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2. 提升县级仓储布局。</w:t>
      </w:r>
      <w:r>
        <w:rPr>
          <w:rFonts w:hint="eastAsia" w:eastAsia="仿宋_GB2312"/>
          <w:color w:val="FF0000"/>
          <w:sz w:val="32"/>
          <w:szCs w:val="32"/>
          <w:lang w:eastAsia="zh-CN"/>
        </w:rPr>
        <w:t>多灾易灾</w:t>
      </w:r>
      <w:r>
        <w:rPr>
          <w:rFonts w:hint="eastAsia" w:eastAsia="仿宋_GB2312"/>
          <w:color w:val="FF0000"/>
          <w:sz w:val="32"/>
          <w:szCs w:val="32"/>
        </w:rPr>
        <w:t>县区</w:t>
      </w:r>
      <w:r>
        <w:rPr>
          <w:rFonts w:hint="eastAsia" w:eastAsia="仿宋_GB2312"/>
          <w:color w:val="FF0000"/>
          <w:sz w:val="32"/>
          <w:szCs w:val="32"/>
          <w:lang w:eastAsia="zh-CN"/>
        </w:rPr>
        <w:t>可</w:t>
      </w:r>
      <w:r>
        <w:rPr>
          <w:rFonts w:hint="eastAsia" w:eastAsia="仿宋_GB2312"/>
          <w:color w:val="FF0000"/>
          <w:sz w:val="32"/>
          <w:szCs w:val="32"/>
        </w:rPr>
        <w:t>依托</w:t>
      </w:r>
      <w:r>
        <w:rPr>
          <w:rFonts w:hint="eastAsia" w:eastAsia="仿宋_GB2312"/>
          <w:sz w:val="32"/>
          <w:szCs w:val="32"/>
        </w:rPr>
        <w:t>本区域综合性物流中心、国有粮食储备库或产能企业仓库，采取新建、改扩建或代储等方式，统筹建设一处仓储面积不低于 2000 平方米的综合应急物资储备库。</w:t>
      </w:r>
    </w:p>
    <w:p>
      <w:pPr>
        <w:keepNext w:val="0"/>
        <w:keepLines w:val="0"/>
        <w:pageBreakBefore w:val="0"/>
        <w:widowControl w:val="0"/>
        <w:kinsoku/>
        <w:wordWrap/>
        <w:overflowPunct/>
        <w:topLinePunct w:val="0"/>
        <w:autoSpaceDE w:val="0"/>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3. 扩大森林防灭火专业队伍装备仓储布局。市级依托</w:t>
      </w:r>
      <w:r>
        <w:rPr>
          <w:rFonts w:hint="eastAsia" w:eastAsia="仿宋_GB2312"/>
          <w:sz w:val="32"/>
          <w:szCs w:val="32"/>
          <w:lang w:eastAsia="zh-CN"/>
        </w:rPr>
        <w:t>县区林场</w:t>
      </w:r>
      <w:r>
        <w:rPr>
          <w:rFonts w:hint="eastAsia" w:eastAsia="仿宋_GB2312"/>
          <w:sz w:val="32"/>
          <w:szCs w:val="32"/>
        </w:rPr>
        <w:t>的专业森林消防队伍，建设一处仓储面积不低于 300平方米的专业队伍防灭火装备仓库；各县建设仓储面积不低于200 平方米的专业队伍防灭火装备仓库。</w:t>
      </w:r>
    </w:p>
    <w:p>
      <w:pPr>
        <w:keepNext w:val="0"/>
        <w:keepLines w:val="0"/>
        <w:pageBreakBefore w:val="0"/>
        <w:widowControl w:val="0"/>
        <w:kinsoku/>
        <w:wordWrap/>
        <w:overflowPunct/>
        <w:topLinePunct w:val="0"/>
        <w:autoSpaceDE w:val="0"/>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4. 完善防汛抗旱类应急物资仓储布局。进一步改造市防汛抗旱物资储备</w:t>
      </w:r>
      <w:r>
        <w:rPr>
          <w:rFonts w:hint="eastAsia" w:eastAsia="仿宋_GB2312"/>
          <w:sz w:val="32"/>
          <w:szCs w:val="32"/>
          <w:lang w:eastAsia="zh-CN"/>
        </w:rPr>
        <w:t>库</w:t>
      </w:r>
      <w:r>
        <w:rPr>
          <w:rFonts w:hint="eastAsia" w:eastAsia="仿宋_GB2312"/>
          <w:sz w:val="32"/>
          <w:szCs w:val="32"/>
        </w:rPr>
        <w:t>，统筹水利、城市管理等部门分散的仓储设施，优化职能部门储备布局，满足仓储需求。</w:t>
      </w:r>
    </w:p>
    <w:p>
      <w:pPr>
        <w:keepNext w:val="0"/>
        <w:keepLines w:val="0"/>
        <w:pageBreakBefore w:val="0"/>
        <w:widowControl w:val="0"/>
        <w:kinsoku/>
        <w:wordWrap/>
        <w:overflowPunct/>
        <w:topLinePunct w:val="0"/>
        <w:autoSpaceDE w:val="0"/>
        <w:autoSpaceDN/>
        <w:bidi w:val="0"/>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（三）加强生活保障应急物资储备</w:t>
      </w:r>
    </w:p>
    <w:p>
      <w:pPr>
        <w:keepNext w:val="0"/>
        <w:keepLines w:val="0"/>
        <w:pageBreakBefore w:val="0"/>
        <w:widowControl w:val="0"/>
        <w:kinsoku/>
        <w:wordWrap/>
        <w:overflowPunct/>
        <w:topLinePunct w:val="0"/>
        <w:autoSpaceDE w:val="0"/>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到2025年，市级储备达到保障</w:t>
      </w:r>
      <w:r>
        <w:rPr>
          <w:rFonts w:hint="eastAsia" w:eastAsia="仿宋_GB2312"/>
          <w:color w:val="FF0000"/>
          <w:sz w:val="32"/>
          <w:szCs w:val="32"/>
          <w:lang w:val="en-US" w:eastAsia="zh-CN"/>
        </w:rPr>
        <w:t>1</w:t>
      </w:r>
      <w:r>
        <w:rPr>
          <w:rFonts w:hint="eastAsia" w:eastAsia="仿宋_GB2312"/>
          <w:color w:val="FF0000"/>
          <w:sz w:val="32"/>
          <w:szCs w:val="32"/>
        </w:rPr>
        <w:t>万</w:t>
      </w:r>
      <w:r>
        <w:rPr>
          <w:rFonts w:hint="eastAsia" w:eastAsia="仿宋_GB2312"/>
          <w:sz w:val="32"/>
          <w:szCs w:val="32"/>
        </w:rPr>
        <w:t>集中转移安置人口15天基本生活的规模。</w:t>
      </w:r>
    </w:p>
    <w:p>
      <w:pPr>
        <w:keepNext w:val="0"/>
        <w:keepLines w:val="0"/>
        <w:pageBreakBefore w:val="0"/>
        <w:widowControl w:val="0"/>
        <w:numPr>
          <w:ilvl w:val="0"/>
          <w:numId w:val="1"/>
        </w:numPr>
        <w:kinsoku/>
        <w:wordWrap/>
        <w:overflowPunct/>
        <w:topLinePunct w:val="0"/>
        <w:autoSpaceDE w:val="0"/>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强化政府实物储备。</w:t>
      </w:r>
      <w:r>
        <w:rPr>
          <w:rFonts w:hint="eastAsia" w:eastAsia="仿宋_GB2312"/>
          <w:color w:val="FF0000"/>
          <w:sz w:val="32"/>
          <w:szCs w:val="32"/>
        </w:rPr>
        <w:t>自2021年起，逐年加大政府实物储备规模。</w:t>
      </w:r>
      <w:r>
        <w:rPr>
          <w:rFonts w:hint="eastAsia" w:eastAsia="仿宋_GB2312"/>
          <w:sz w:val="32"/>
          <w:szCs w:val="32"/>
        </w:rPr>
        <w:t>到2025年，市级政府实物储备达到保障</w:t>
      </w:r>
      <w:r>
        <w:rPr>
          <w:rFonts w:hint="eastAsia" w:eastAsia="仿宋_GB2312"/>
          <w:color w:val="FF0000"/>
          <w:sz w:val="32"/>
          <w:szCs w:val="32"/>
          <w:lang w:val="en-US" w:eastAsia="zh-CN"/>
        </w:rPr>
        <w:t>1</w:t>
      </w:r>
      <w:r>
        <w:rPr>
          <w:rFonts w:hint="eastAsia" w:eastAsia="仿宋_GB2312"/>
          <w:color w:val="FF0000"/>
          <w:sz w:val="32"/>
          <w:szCs w:val="32"/>
        </w:rPr>
        <w:t>万</w:t>
      </w:r>
      <w:r>
        <w:rPr>
          <w:rFonts w:hint="eastAsia" w:eastAsia="仿宋_GB2312"/>
          <w:sz w:val="32"/>
          <w:szCs w:val="32"/>
        </w:rPr>
        <w:t>集中转移安置人口</w:t>
      </w:r>
      <w:r>
        <w:rPr>
          <w:rFonts w:hint="eastAsia" w:eastAsia="仿宋_GB2312"/>
          <w:sz w:val="32"/>
          <w:szCs w:val="32"/>
          <w:lang w:val="en-US" w:eastAsia="zh-CN"/>
        </w:rPr>
        <w:t>5</w:t>
      </w:r>
      <w:r>
        <w:rPr>
          <w:rFonts w:hint="eastAsia" w:eastAsia="仿宋_GB2312"/>
          <w:sz w:val="32"/>
          <w:szCs w:val="32"/>
        </w:rPr>
        <w:t>天基本生活的规模。</w:t>
      </w:r>
    </w:p>
    <w:p>
      <w:pPr>
        <w:keepNext w:val="0"/>
        <w:keepLines w:val="0"/>
        <w:pageBreakBefore w:val="0"/>
        <w:widowControl w:val="0"/>
        <w:numPr>
          <w:ilvl w:val="0"/>
          <w:numId w:val="0"/>
        </w:numPr>
        <w:kinsoku/>
        <w:wordWrap/>
        <w:overflowPunct/>
        <w:topLinePunct w:val="0"/>
        <w:autoSpaceDE w:val="0"/>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 xml:space="preserve">2. 扩大企业（商业）和产能储备。对于难以长期储存或市场供应充足、企业能够快速生产的品类，主要实行企业（商业）储备和产能储备。到 2025 年，市级企业（商业）储备和产能储备分别达到保障 </w:t>
      </w:r>
      <w:r>
        <w:rPr>
          <w:rFonts w:hint="eastAsia" w:eastAsia="仿宋_GB2312"/>
          <w:color w:val="FF0000"/>
          <w:sz w:val="32"/>
          <w:szCs w:val="32"/>
          <w:lang w:val="en-US" w:eastAsia="zh-CN"/>
        </w:rPr>
        <w:t>1</w:t>
      </w:r>
      <w:r>
        <w:rPr>
          <w:rFonts w:hint="eastAsia" w:eastAsia="仿宋_GB2312"/>
          <w:color w:val="FF0000"/>
          <w:sz w:val="32"/>
          <w:szCs w:val="32"/>
        </w:rPr>
        <w:t xml:space="preserve"> 万</w:t>
      </w:r>
      <w:r>
        <w:rPr>
          <w:rFonts w:hint="eastAsia" w:eastAsia="仿宋_GB2312"/>
          <w:sz w:val="32"/>
          <w:szCs w:val="32"/>
        </w:rPr>
        <w:t xml:space="preserve">紧急集中转移安置人口 </w:t>
      </w:r>
      <w:r>
        <w:rPr>
          <w:rFonts w:hint="eastAsia" w:eastAsia="仿宋_GB2312"/>
          <w:sz w:val="32"/>
          <w:szCs w:val="32"/>
          <w:lang w:val="en-US" w:eastAsia="zh-CN"/>
        </w:rPr>
        <w:t>10</w:t>
      </w:r>
      <w:r>
        <w:rPr>
          <w:rFonts w:hint="eastAsia" w:eastAsia="仿宋_GB2312"/>
          <w:sz w:val="32"/>
          <w:szCs w:val="32"/>
        </w:rPr>
        <w:t xml:space="preserve"> 天基本生活的规模；各职能部门应严格遵守招投标程序选择合适的企业作为承储企业，每年年初组织对企业（商业）和产能储备合同进行修订完善。</w:t>
      </w:r>
    </w:p>
    <w:p>
      <w:pPr>
        <w:keepNext w:val="0"/>
        <w:keepLines w:val="0"/>
        <w:pageBreakBefore w:val="0"/>
        <w:widowControl w:val="0"/>
        <w:kinsoku/>
        <w:wordWrap/>
        <w:overflowPunct/>
        <w:topLinePunct w:val="0"/>
        <w:autoSpaceDE w:val="0"/>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3. 加强其他战略物资储备。对肉类、食盐、食糖、粮油等战略储备物资，由相关职能部门根据国家要求储备。</w:t>
      </w:r>
    </w:p>
    <w:p>
      <w:pPr>
        <w:keepNext w:val="0"/>
        <w:keepLines w:val="0"/>
        <w:pageBreakBefore w:val="0"/>
        <w:widowControl w:val="0"/>
        <w:kinsoku/>
        <w:wordWrap/>
        <w:overflowPunct/>
        <w:topLinePunct w:val="0"/>
        <w:autoSpaceDE w:val="0"/>
        <w:autoSpaceDN/>
        <w:bidi w:val="0"/>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四</w:t>
      </w:r>
      <w:r>
        <w:rPr>
          <w:rFonts w:hint="eastAsia" w:ascii="楷体" w:hAnsi="楷体" w:eastAsia="楷体" w:cs="楷体"/>
          <w:sz w:val="32"/>
          <w:szCs w:val="32"/>
        </w:rPr>
        <w:t>）加强森林防灭火应急物资储备</w:t>
      </w:r>
    </w:p>
    <w:p>
      <w:pPr>
        <w:keepNext w:val="0"/>
        <w:keepLines w:val="0"/>
        <w:pageBreakBefore w:val="0"/>
        <w:widowControl w:val="0"/>
        <w:kinsoku/>
        <w:wordWrap/>
        <w:overflowPunct/>
        <w:topLinePunct w:val="0"/>
        <w:autoSpaceDE w:val="0"/>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市级森林防灭火类应急物资以政府（实物）储备为主，采取专业队伍“库队合一”方式储备。依托现有森林防灭火物资储备仓库及新建不低于 300 平方米仓库，重点储备工程抢险与专业处置类物资，包括火灾处置、消防防护、野外生产、无线通讯、专用车辆等品类，便携式灭火机、背负式风力灭火机、背负式机动高压灭火水枪、高扬程大功率移动水泵、串联水泵、山地远程输水车、单兵作战防护装备、对讲机等装备类应急物资。为专业队伍配备大功能自动调压中继功能泵、山地远程输水车、阻燃剂、监测无人机等特殊稀缺类装备器材。</w:t>
      </w:r>
    </w:p>
    <w:p>
      <w:pPr>
        <w:keepNext w:val="0"/>
        <w:keepLines w:val="0"/>
        <w:pageBreakBefore w:val="0"/>
        <w:widowControl w:val="0"/>
        <w:kinsoku/>
        <w:wordWrap/>
        <w:overflowPunct/>
        <w:topLinePunct w:val="0"/>
        <w:autoSpaceDE w:val="0"/>
        <w:autoSpaceDN/>
        <w:bidi w:val="0"/>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五</w:t>
      </w:r>
      <w:r>
        <w:rPr>
          <w:rFonts w:hint="eastAsia" w:ascii="楷体" w:hAnsi="楷体" w:eastAsia="楷体" w:cs="楷体"/>
          <w:sz w:val="32"/>
          <w:szCs w:val="32"/>
        </w:rPr>
        <w:t>）加强防汛抗旱应急物资储备</w:t>
      </w:r>
    </w:p>
    <w:p>
      <w:pPr>
        <w:keepNext w:val="0"/>
        <w:keepLines w:val="0"/>
        <w:pageBreakBefore w:val="0"/>
        <w:widowControl w:val="0"/>
        <w:kinsoku/>
        <w:wordWrap/>
        <w:overflowPunct/>
        <w:topLinePunct w:val="0"/>
        <w:autoSpaceDE w:val="0"/>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洪涝灾害与抗旱类应急物资采取政府（实物）储备、企业（商业）储备和社会化储备相结合的方式，实行市、县（区）两级分级储备，重点储备工程抢险与专业处置类物资，包括自移动排水泵车、大流量移动泵站、防汛抢险打桩机、挖掘机、抢险自卸车、切割设备等。对基础性抢险救援类物资和设备，依托市防汛抗旱物资储备</w:t>
      </w:r>
      <w:r>
        <w:rPr>
          <w:rFonts w:hint="eastAsia" w:eastAsia="仿宋_GB2312"/>
          <w:sz w:val="32"/>
          <w:szCs w:val="32"/>
          <w:lang w:eastAsia="zh-CN"/>
        </w:rPr>
        <w:t>库</w:t>
      </w:r>
      <w:r>
        <w:rPr>
          <w:rFonts w:hint="eastAsia" w:eastAsia="仿宋_GB2312"/>
          <w:sz w:val="32"/>
          <w:szCs w:val="32"/>
        </w:rPr>
        <w:t>、各县（区）固定储备点和</w:t>
      </w:r>
      <w:r>
        <w:rPr>
          <w:rFonts w:hint="eastAsia" w:eastAsia="仿宋_GB2312"/>
          <w:sz w:val="32"/>
          <w:szCs w:val="32"/>
          <w:lang w:eastAsia="zh-CN"/>
        </w:rPr>
        <w:t>水利工程管理单位</w:t>
      </w:r>
      <w:r>
        <w:rPr>
          <w:rFonts w:hint="eastAsia" w:eastAsia="仿宋_GB2312"/>
          <w:sz w:val="32"/>
          <w:szCs w:val="32"/>
        </w:rPr>
        <w:t>，以政府（实物）储备为主；对抢险施工设备、砂石料和块石等消耗类应急物资，主要采取企业（商业）和社会化储备。市、县（区）规划建设1-2 支本级防汛抗旱（水旱灾害防御）专业队伍，配备水上救援机器人、大流量移动泵站、管涌探测仪等重要装备器材。</w:t>
      </w:r>
    </w:p>
    <w:p>
      <w:pPr>
        <w:keepNext w:val="0"/>
        <w:keepLines w:val="0"/>
        <w:pageBreakBefore w:val="0"/>
        <w:widowControl w:val="0"/>
        <w:kinsoku/>
        <w:wordWrap/>
        <w:overflowPunct/>
        <w:topLinePunct w:val="0"/>
        <w:autoSpaceDE w:val="0"/>
        <w:autoSpaceDN/>
        <w:bidi w:val="0"/>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六</w:t>
      </w:r>
      <w:r>
        <w:rPr>
          <w:rFonts w:hint="eastAsia" w:ascii="楷体" w:hAnsi="楷体" w:eastAsia="楷体" w:cs="楷体"/>
          <w:sz w:val="32"/>
          <w:szCs w:val="32"/>
        </w:rPr>
        <w:t>）增强应急物资要素配置能力</w:t>
      </w:r>
    </w:p>
    <w:p>
      <w:pPr>
        <w:keepNext w:val="0"/>
        <w:keepLines w:val="0"/>
        <w:pageBreakBefore w:val="0"/>
        <w:widowControl w:val="0"/>
        <w:kinsoku/>
        <w:wordWrap/>
        <w:overflowPunct/>
        <w:topLinePunct w:val="0"/>
        <w:autoSpaceDE w:val="0"/>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1. 建立应急物资采购机制。分级分类评估应急物资需求，科学确定政府储备、社会化储备、生产能力储备的比例及数量，按需制定应急物资年度采购计划，规范采购流程，提高采购效率。科学合理制定应急物资紧急筹措计划</w:t>
      </w:r>
      <w:r>
        <w:rPr>
          <w:rFonts w:hint="eastAsia" w:eastAsia="仿宋_GB2312"/>
          <w:sz w:val="32"/>
          <w:szCs w:val="32"/>
          <w:lang w:val="en-US" w:eastAsia="zh-CN"/>
        </w:rPr>
        <w:t>,</w:t>
      </w:r>
      <w:r>
        <w:rPr>
          <w:rFonts w:hint="eastAsia" w:eastAsia="仿宋_GB2312"/>
          <w:sz w:val="32"/>
          <w:szCs w:val="32"/>
        </w:rPr>
        <w:t>形成上下联动、横向协作、部门互动、资源共享的应急物资调拨保障制度，提高社会救援力量参与积极性。</w:t>
      </w:r>
    </w:p>
    <w:p>
      <w:pPr>
        <w:keepNext w:val="0"/>
        <w:keepLines w:val="0"/>
        <w:pageBreakBefore w:val="0"/>
        <w:widowControl w:val="0"/>
        <w:kinsoku/>
        <w:wordWrap/>
        <w:overflowPunct/>
        <w:topLinePunct w:val="0"/>
        <w:autoSpaceDE w:val="0"/>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2. 建立存储物资轮换机制。按照“总量稳定、用旧储新、等量补充、动态轮换”的原则，建立应急物资轮换管理制度，通过供应周转、调拨使用、市场销售、返厂轮换、代储轮换等模式，适时倒库更新，最大限度发挥物资存储效能。</w:t>
      </w:r>
    </w:p>
    <w:p>
      <w:pPr>
        <w:keepNext w:val="0"/>
        <w:keepLines w:val="0"/>
        <w:pageBreakBefore w:val="0"/>
        <w:widowControl w:val="0"/>
        <w:kinsoku/>
        <w:wordWrap/>
        <w:overflowPunct/>
        <w:topLinePunct w:val="0"/>
        <w:autoSpaceDE w:val="0"/>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3. 建立保障联动机制。建立政府（实物）、企业（商业）、专业队伍等储备和其他储备互联互通的应急物资保障联动机制。根据应对处置需求，依次动用实物、队伍、企业、产能等储备，以紧急采购、临时征用、社会捐赠等作为补充，形成稳定可靠的应急物资供应链。积极推进应急物资储备军民合作。</w:t>
      </w:r>
    </w:p>
    <w:p>
      <w:pPr>
        <w:keepNext w:val="0"/>
        <w:keepLines w:val="0"/>
        <w:pageBreakBefore w:val="0"/>
        <w:widowControl w:val="0"/>
        <w:kinsoku/>
        <w:wordWrap/>
        <w:overflowPunct/>
        <w:topLinePunct w:val="0"/>
        <w:autoSpaceDE w:val="0"/>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4. 建立高效运输配送机制。</w:t>
      </w:r>
      <w:r>
        <w:rPr>
          <w:rFonts w:hint="eastAsia" w:eastAsia="仿宋_GB2312"/>
          <w:color w:val="FF0000"/>
          <w:sz w:val="32"/>
          <w:szCs w:val="32"/>
        </w:rPr>
        <w:t>依托各类交通设施，建立应急物资优先通道和快速通行机制，提高应急物流配送效率。借助社会力量，与大型物流企业深入合作，提高应急物资分发和配送能力，实现物资调运</w:t>
      </w:r>
      <w:r>
        <w:rPr>
          <w:rFonts w:hint="eastAsia" w:eastAsia="仿宋_GB2312"/>
          <w:color w:val="FF0000"/>
          <w:sz w:val="32"/>
          <w:szCs w:val="32"/>
          <w:lang w:val="en-US" w:eastAsia="zh-CN"/>
        </w:rPr>
        <w:t>4</w:t>
      </w:r>
      <w:r>
        <w:rPr>
          <w:rFonts w:hint="eastAsia" w:eastAsia="仿宋_GB2312"/>
          <w:color w:val="FF0000"/>
          <w:sz w:val="32"/>
          <w:szCs w:val="32"/>
        </w:rPr>
        <w:t>小时市内全覆盖。</w:t>
      </w:r>
    </w:p>
    <w:p>
      <w:pPr>
        <w:keepNext w:val="0"/>
        <w:keepLines w:val="0"/>
        <w:pageBreakBefore w:val="0"/>
        <w:widowControl w:val="0"/>
        <w:kinsoku/>
        <w:wordWrap/>
        <w:overflowPunct/>
        <w:topLinePunct w:val="0"/>
        <w:autoSpaceDE w:val="0"/>
        <w:autoSpaceDN/>
        <w:bidi w:val="0"/>
        <w:spacing w:line="560" w:lineRule="exact"/>
        <w:ind w:firstLine="640" w:firstLineChars="200"/>
        <w:textAlignment w:val="auto"/>
        <w:rPr>
          <w:rFonts w:hint="eastAsia" w:eastAsia="仿宋_GB2312"/>
          <w:sz w:val="32"/>
          <w:szCs w:val="32"/>
        </w:rPr>
      </w:pPr>
      <w:r>
        <w:rPr>
          <w:rFonts w:hint="eastAsia" w:eastAsia="仿宋_GB2312"/>
          <w:sz w:val="32"/>
          <w:szCs w:val="32"/>
        </w:rPr>
        <w:t>5. 建立应急物资社会化储备机制。对不宜由政府储备的易耗类、保质期短的物资和大型装备，统筹利用企业、个人仓储设施，采取签订协议储备合同、协议供货合同、委托代储、政府适当付仓储费用等多种方式，实施社会化储备。鼓励、引导、指导企事业单位、社会组织和家庭储备必要应急物资。</w:t>
      </w:r>
    </w:p>
    <w:p>
      <w:pPr>
        <w:keepNext w:val="0"/>
        <w:keepLines w:val="0"/>
        <w:pageBreakBefore w:val="0"/>
        <w:widowControl w:val="0"/>
        <w:kinsoku/>
        <w:wordWrap/>
        <w:overflowPunct/>
        <w:topLinePunct w:val="0"/>
        <w:autoSpaceDE w:val="0"/>
        <w:autoSpaceDN/>
        <w:bidi w:val="0"/>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七</w:t>
      </w:r>
      <w:r>
        <w:rPr>
          <w:rFonts w:hint="eastAsia" w:ascii="楷体" w:hAnsi="楷体" w:eastAsia="楷体" w:cs="楷体"/>
          <w:sz w:val="32"/>
          <w:szCs w:val="32"/>
        </w:rPr>
        <w:t>）建设应急物资储备管理信息平台</w:t>
      </w:r>
    </w:p>
    <w:p>
      <w:pPr>
        <w:keepNext w:val="0"/>
        <w:keepLines w:val="0"/>
        <w:pageBreakBefore w:val="0"/>
        <w:widowControl w:val="0"/>
        <w:kinsoku/>
        <w:wordWrap/>
        <w:overflowPunct/>
        <w:topLinePunct w:val="0"/>
        <w:autoSpaceDE w:val="0"/>
        <w:autoSpaceDN/>
        <w:bidi w:val="0"/>
        <w:spacing w:line="560" w:lineRule="exact"/>
        <w:ind w:firstLine="640" w:firstLineChars="200"/>
        <w:textAlignment w:val="auto"/>
        <w:rPr>
          <w:rFonts w:hint="eastAsia" w:eastAsia="仿宋_GB2312"/>
          <w:color w:val="FF0000"/>
          <w:sz w:val="32"/>
          <w:szCs w:val="32"/>
        </w:rPr>
      </w:pPr>
      <w:r>
        <w:rPr>
          <w:rFonts w:hint="eastAsia" w:eastAsia="仿宋_GB2312"/>
          <w:color w:val="FF0000"/>
          <w:sz w:val="32"/>
          <w:szCs w:val="32"/>
        </w:rPr>
        <w:t>实现各部门（单位）应急物资、储备库、队伍、装备等信息的互联互通，对应急物资储备情况实施全周期动态监测；根据突发事件物资需求，实现应急物资调拨、运输、紧急生产、配送分发、征用、捐赠全流程管理。建立全市统一的应急物资信息资源库，涵盖市、县政府（实物）储备、企业（商业）储备、产能储备、专业队伍能力储备和社会化储备，实施有效的信息化管理。</w:t>
      </w:r>
    </w:p>
    <w:p>
      <w:pPr>
        <w:keepNext w:val="0"/>
        <w:keepLines w:val="0"/>
        <w:pageBreakBefore w:val="0"/>
        <w:widowControl w:val="0"/>
        <w:kinsoku/>
        <w:wordWrap/>
        <w:overflowPunct/>
        <w:topLinePunct w:val="0"/>
        <w:autoSpaceDE w:val="0"/>
        <w:autoSpaceDN/>
        <w:bidi w:val="0"/>
        <w:spacing w:line="560" w:lineRule="exact"/>
        <w:ind w:firstLine="640" w:firstLineChars="200"/>
        <w:textAlignment w:val="auto"/>
        <w:rPr>
          <w:rFonts w:eastAsia="黑体"/>
          <w:sz w:val="32"/>
          <w:szCs w:val="32"/>
        </w:rPr>
      </w:pPr>
      <w:bookmarkStart w:id="32" w:name="_Toc4283"/>
      <w:bookmarkEnd w:id="32"/>
      <w:bookmarkStart w:id="33" w:name="_Toc8585"/>
      <w:bookmarkEnd w:id="33"/>
      <w:bookmarkStart w:id="34" w:name="_Toc1662"/>
      <w:bookmarkEnd w:id="34"/>
      <w:bookmarkStart w:id="35" w:name="_Toc31418"/>
      <w:bookmarkEnd w:id="35"/>
      <w:bookmarkStart w:id="36" w:name="_Toc19512"/>
      <w:bookmarkEnd w:id="36"/>
      <w:bookmarkStart w:id="37" w:name="_Toc25652"/>
      <w:bookmarkEnd w:id="37"/>
      <w:bookmarkStart w:id="38" w:name="_Toc27282"/>
      <w:r>
        <w:rPr>
          <w:rFonts w:hint="eastAsia" w:hAnsi="黑体" w:eastAsia="黑体"/>
          <w:sz w:val="32"/>
          <w:szCs w:val="32"/>
          <w:lang w:eastAsia="zh-CN"/>
        </w:rPr>
        <w:t>四</w:t>
      </w:r>
      <w:r>
        <w:rPr>
          <w:rFonts w:hAnsi="黑体" w:eastAsia="黑体"/>
          <w:sz w:val="32"/>
          <w:szCs w:val="32"/>
        </w:rPr>
        <w:t>、保障措施</w:t>
      </w:r>
      <w:bookmarkEnd w:id="38"/>
    </w:p>
    <w:p>
      <w:pPr>
        <w:keepNext w:val="0"/>
        <w:keepLines w:val="0"/>
        <w:pageBreakBefore w:val="0"/>
        <w:widowControl w:val="0"/>
        <w:kinsoku/>
        <w:wordWrap/>
        <w:overflowPunct/>
        <w:topLinePunct w:val="0"/>
        <w:autoSpaceDE w:val="0"/>
        <w:autoSpaceDN/>
        <w:bidi w:val="0"/>
        <w:spacing w:line="560" w:lineRule="exact"/>
        <w:ind w:firstLine="643" w:firstLineChars="200"/>
        <w:textAlignment w:val="auto"/>
        <w:rPr>
          <w:rFonts w:eastAsia="楷体_GB2312"/>
          <w:b/>
          <w:bCs/>
          <w:sz w:val="32"/>
          <w:szCs w:val="32"/>
        </w:rPr>
      </w:pPr>
      <w:bookmarkStart w:id="39" w:name="_Toc695"/>
      <w:bookmarkEnd w:id="39"/>
      <w:bookmarkStart w:id="40" w:name="_Toc3753"/>
      <w:bookmarkEnd w:id="40"/>
      <w:bookmarkStart w:id="41" w:name="_Toc10058"/>
      <w:bookmarkEnd w:id="41"/>
      <w:bookmarkStart w:id="42" w:name="_Toc3623"/>
      <w:r>
        <w:rPr>
          <w:rFonts w:eastAsia="楷体_GB2312"/>
          <w:b/>
          <w:bCs/>
          <w:sz w:val="32"/>
          <w:szCs w:val="32"/>
        </w:rPr>
        <w:t>（一）加强组织协调</w:t>
      </w:r>
      <w:bookmarkEnd w:id="42"/>
    </w:p>
    <w:p>
      <w:pPr>
        <w:keepNext w:val="0"/>
        <w:keepLines w:val="0"/>
        <w:pageBreakBefore w:val="0"/>
        <w:widowControl w:val="0"/>
        <w:kinsoku/>
        <w:wordWrap/>
        <w:overflowPunct/>
        <w:topLinePunct w:val="0"/>
        <w:autoSpaceDN/>
        <w:bidi w:val="0"/>
        <w:adjustRightInd w:val="0"/>
        <w:snapToGrid w:val="0"/>
        <w:spacing w:line="560" w:lineRule="exact"/>
        <w:ind w:firstLine="640" w:firstLineChars="200"/>
        <w:textAlignment w:val="auto"/>
        <w:rPr>
          <w:rFonts w:ascii="Times New Roman" w:hAnsi="Times New Roman" w:eastAsia="仿宋_GB2312"/>
          <w:sz w:val="32"/>
          <w:szCs w:val="32"/>
        </w:rPr>
      </w:pPr>
      <w:r>
        <w:rPr>
          <w:rFonts w:ascii="Times New Roman" w:eastAsia="仿宋_GB2312"/>
          <w:sz w:val="32"/>
          <w:szCs w:val="32"/>
          <w:lang w:bidi="ar"/>
        </w:rPr>
        <w:t>各级党委、政府要高度重视，</w:t>
      </w:r>
      <w:r>
        <w:rPr>
          <w:rFonts w:ascii="Times New Roman" w:hAnsi="Times New Roman" w:eastAsia="仿宋_GB2312"/>
          <w:color w:val="auto"/>
          <w:kern w:val="0"/>
          <w:sz w:val="32"/>
          <w:szCs w:val="32"/>
          <w:u w:val="none"/>
        </w:rPr>
        <w:t>加强对规划实施的组织领导，明确责任部门和责任人，建立健全上下联动、协调推进的工作机制。</w:t>
      </w:r>
      <w:r>
        <w:rPr>
          <w:rFonts w:ascii="Times New Roman" w:eastAsia="仿宋_GB2312"/>
          <w:sz w:val="32"/>
          <w:szCs w:val="32"/>
          <w:lang w:bidi="ar"/>
        </w:rPr>
        <w:t>把加强应急物资保障体系建设列入重要议事日程，把应急物资保障主要任务和建设项目纳入本地国民经济与社会发展规划，确保各项政策措施落实到位。</w:t>
      </w:r>
    </w:p>
    <w:p>
      <w:pPr>
        <w:keepNext w:val="0"/>
        <w:keepLines w:val="0"/>
        <w:pageBreakBefore w:val="0"/>
        <w:widowControl w:val="0"/>
        <w:kinsoku/>
        <w:wordWrap/>
        <w:overflowPunct/>
        <w:topLinePunct w:val="0"/>
        <w:autoSpaceDE w:val="0"/>
        <w:autoSpaceDN/>
        <w:bidi w:val="0"/>
        <w:spacing w:line="560" w:lineRule="exact"/>
        <w:ind w:firstLine="643" w:firstLineChars="200"/>
        <w:textAlignment w:val="auto"/>
        <w:rPr>
          <w:rFonts w:hint="default" w:eastAsia="楷体_GB2312"/>
          <w:sz w:val="32"/>
          <w:szCs w:val="32"/>
          <w:lang w:val="en-US" w:eastAsia="zh-CN"/>
        </w:rPr>
      </w:pPr>
      <w:r>
        <w:rPr>
          <w:rFonts w:eastAsia="楷体_GB2312"/>
          <w:b/>
          <w:bCs/>
          <w:sz w:val="32"/>
          <w:szCs w:val="32"/>
        </w:rPr>
        <w:t>（二）</w:t>
      </w:r>
      <w:r>
        <w:rPr>
          <w:rFonts w:hint="eastAsia" w:eastAsia="楷体_GB2312"/>
          <w:b/>
          <w:bCs/>
          <w:sz w:val="32"/>
          <w:szCs w:val="32"/>
          <w:lang w:val="en-US" w:eastAsia="zh-CN"/>
        </w:rPr>
        <w:t>加强资金保障</w:t>
      </w:r>
    </w:p>
    <w:p>
      <w:pPr>
        <w:keepNext w:val="0"/>
        <w:keepLines w:val="0"/>
        <w:pageBreakBefore w:val="0"/>
        <w:widowControl w:val="0"/>
        <w:kinsoku/>
        <w:wordWrap/>
        <w:overflowPunct/>
        <w:topLinePunct w:val="0"/>
        <w:autoSpaceDE w:val="0"/>
        <w:autoSpaceDN/>
        <w:bidi w:val="0"/>
        <w:spacing w:line="560" w:lineRule="exact"/>
        <w:ind w:firstLine="640" w:firstLineChars="200"/>
        <w:textAlignment w:val="auto"/>
        <w:rPr>
          <w:rFonts w:eastAsia="仿宋_GB2312"/>
          <w:sz w:val="32"/>
          <w:szCs w:val="32"/>
        </w:rPr>
      </w:pPr>
      <w:r>
        <w:rPr>
          <w:rFonts w:eastAsia="仿宋_GB2312"/>
          <w:sz w:val="32"/>
          <w:szCs w:val="32"/>
        </w:rPr>
        <w:t>各级政府要按照现行事权、财权划分原则，分级负担规划实施所需经费，并列入本级财政预算，支持应急物资建设、运行维护和轮换更新等工作。</w:t>
      </w:r>
      <w:r>
        <w:rPr>
          <w:rFonts w:hint="eastAsia" w:eastAsia="仿宋_GB2312"/>
          <w:sz w:val="32"/>
          <w:szCs w:val="32"/>
          <w:lang w:val="en-US" w:eastAsia="zh-CN"/>
        </w:rPr>
        <w:t>要</w:t>
      </w:r>
      <w:r>
        <w:rPr>
          <w:rFonts w:hint="eastAsia" w:ascii="Times New Roman" w:hAnsi="Times New Roman" w:eastAsia="仿宋_GB2312"/>
          <w:color w:val="auto"/>
          <w:kern w:val="0"/>
          <w:sz w:val="32"/>
          <w:szCs w:val="32"/>
          <w:u w:val="none"/>
          <w:lang w:val="en-US" w:eastAsia="zh-CN"/>
        </w:rPr>
        <w:t>统筹资金使用，整合优化资源，发挥政策导向作用，引导多元化资金投入。</w:t>
      </w:r>
    </w:p>
    <w:p>
      <w:pPr>
        <w:keepNext w:val="0"/>
        <w:keepLines w:val="0"/>
        <w:pageBreakBefore w:val="0"/>
        <w:widowControl w:val="0"/>
        <w:kinsoku/>
        <w:wordWrap/>
        <w:overflowPunct/>
        <w:topLinePunct w:val="0"/>
        <w:autoSpaceDE w:val="0"/>
        <w:autoSpaceDN/>
        <w:bidi w:val="0"/>
        <w:spacing w:line="560" w:lineRule="exact"/>
        <w:ind w:firstLine="643" w:firstLineChars="200"/>
        <w:textAlignment w:val="auto"/>
        <w:rPr>
          <w:rFonts w:eastAsia="楷体_GB2312"/>
          <w:b/>
          <w:bCs/>
          <w:sz w:val="32"/>
          <w:szCs w:val="32"/>
        </w:rPr>
      </w:pPr>
      <w:bookmarkStart w:id="43" w:name="_Toc20866"/>
      <w:bookmarkEnd w:id="43"/>
      <w:bookmarkStart w:id="44" w:name="_Toc31111"/>
      <w:bookmarkEnd w:id="44"/>
      <w:bookmarkStart w:id="45" w:name="_Toc2237"/>
      <w:bookmarkEnd w:id="45"/>
      <w:bookmarkStart w:id="46" w:name="_Toc32760"/>
      <w:bookmarkEnd w:id="46"/>
      <w:bookmarkStart w:id="47" w:name="_Toc29793"/>
      <w:bookmarkEnd w:id="47"/>
      <w:bookmarkStart w:id="48" w:name="_Toc21228"/>
      <w:bookmarkEnd w:id="48"/>
      <w:bookmarkStart w:id="49" w:name="_Toc18758"/>
      <w:r>
        <w:rPr>
          <w:rFonts w:eastAsia="楷体_GB2312"/>
          <w:b/>
          <w:bCs/>
          <w:sz w:val="32"/>
          <w:szCs w:val="32"/>
        </w:rPr>
        <w:t>（</w:t>
      </w:r>
      <w:r>
        <w:rPr>
          <w:rFonts w:hint="eastAsia" w:eastAsia="楷体_GB2312"/>
          <w:b/>
          <w:bCs/>
          <w:sz w:val="32"/>
          <w:szCs w:val="32"/>
          <w:lang w:val="en-US" w:eastAsia="zh-CN"/>
        </w:rPr>
        <w:t>三</w:t>
      </w:r>
      <w:r>
        <w:rPr>
          <w:rFonts w:eastAsia="楷体_GB2312"/>
          <w:b/>
          <w:bCs/>
          <w:sz w:val="32"/>
          <w:szCs w:val="32"/>
        </w:rPr>
        <w:t>）</w:t>
      </w:r>
      <w:r>
        <w:rPr>
          <w:rFonts w:hint="eastAsia" w:eastAsia="楷体_GB2312"/>
          <w:b/>
          <w:bCs/>
          <w:sz w:val="32"/>
          <w:szCs w:val="32"/>
          <w:lang w:val="en-US" w:eastAsia="zh-CN"/>
        </w:rPr>
        <w:t>加强考核</w:t>
      </w:r>
      <w:r>
        <w:rPr>
          <w:rFonts w:eastAsia="楷体_GB2312"/>
          <w:b/>
          <w:bCs/>
          <w:sz w:val="32"/>
          <w:szCs w:val="32"/>
        </w:rPr>
        <w:t>评估</w:t>
      </w:r>
      <w:bookmarkEnd w:id="49"/>
    </w:p>
    <w:p>
      <w:pPr>
        <w:keepNext w:val="0"/>
        <w:keepLines w:val="0"/>
        <w:pageBreakBefore w:val="0"/>
        <w:widowControl w:val="0"/>
        <w:kinsoku/>
        <w:wordWrap/>
        <w:overflowPunct/>
        <w:topLinePunct w:val="0"/>
        <w:autoSpaceDE w:val="0"/>
        <w:autoSpaceDN/>
        <w:bidi w:val="0"/>
        <w:spacing w:line="560" w:lineRule="exact"/>
        <w:ind w:firstLine="640" w:firstLineChars="200"/>
        <w:textAlignment w:val="auto"/>
        <w:rPr>
          <w:rFonts w:eastAsia="仿宋_GB2312"/>
          <w:sz w:val="32"/>
          <w:szCs w:val="32"/>
        </w:rPr>
      </w:pPr>
      <w:r>
        <w:rPr>
          <w:rFonts w:hint="eastAsia" w:ascii="仿宋_GB2312" w:eastAsia="仿宋_GB2312"/>
          <w:sz w:val="32"/>
          <w:szCs w:val="32"/>
        </w:rPr>
        <w:t>建立健全规划实施考核评估制度，加强对规划实施情况的跟踪分析，</w:t>
      </w:r>
      <w:r>
        <w:rPr>
          <w:rFonts w:eastAsia="仿宋_GB2312"/>
          <w:sz w:val="32"/>
          <w:szCs w:val="32"/>
        </w:rPr>
        <w:t>将规划目标指标和任务落实情况纳入各地区、各有关部门应急管理综合评价和绩效考核范畴，对规划进展情况实施常态化监督管理。组织开展规划实施情况中期评估，及时发现问题并提出改进措施，保障规划顺利执行。</w:t>
      </w:r>
    </w:p>
    <w:p>
      <w:pPr>
        <w:pStyle w:val="6"/>
        <w:spacing w:line="580" w:lineRule="exact"/>
        <w:rPr>
          <w:rFonts w:ascii="Times New Roman" w:hAnsi="Times New Roman" w:eastAsia="仿宋_GB2312"/>
          <w:sz w:val="32"/>
          <w:szCs w:val="32"/>
        </w:rPr>
      </w:pPr>
      <w:r>
        <w:rPr>
          <w:rFonts w:ascii="Times New Roman" w:hAnsi="Times New Roman" w:eastAsia="仿宋_GB2312"/>
          <w:sz w:val="32"/>
          <w:szCs w:val="32"/>
        </w:rPr>
        <w:t xml:space="preserve"> </w:t>
      </w:r>
    </w:p>
    <w:p>
      <w:pPr>
        <w:autoSpaceDE w:val="0"/>
        <w:spacing w:line="580" w:lineRule="exact"/>
        <w:ind w:firstLine="640" w:firstLineChars="200"/>
        <w:rPr>
          <w:rFonts w:eastAsia="仿宋_GB2312"/>
          <w:sz w:val="32"/>
          <w:szCs w:val="32"/>
        </w:rPr>
      </w:pPr>
      <w:bookmarkStart w:id="50" w:name="_Toc22196"/>
      <w:bookmarkEnd w:id="50"/>
      <w:bookmarkStart w:id="51" w:name="_Toc27425"/>
      <w:bookmarkEnd w:id="51"/>
      <w:bookmarkStart w:id="52" w:name="_Toc23211"/>
      <w:bookmarkEnd w:id="52"/>
      <w:bookmarkStart w:id="53" w:name="_Toc23054"/>
      <w:r>
        <w:rPr>
          <w:rFonts w:eastAsia="仿宋_GB2312"/>
          <w:sz w:val="32"/>
          <w:szCs w:val="32"/>
        </w:rPr>
        <w:t xml:space="preserve">附件 </w:t>
      </w:r>
      <w:bookmarkEnd w:id="53"/>
      <w:r>
        <w:rPr>
          <w:rFonts w:hint="eastAsia" w:eastAsia="仿宋_GB2312"/>
          <w:sz w:val="32"/>
          <w:szCs w:val="32"/>
          <w:lang w:val="en-US" w:eastAsia="zh-CN"/>
        </w:rPr>
        <w:t>1</w:t>
      </w:r>
      <w:r>
        <w:rPr>
          <w:rFonts w:eastAsia="仿宋_GB2312"/>
          <w:sz w:val="32"/>
          <w:szCs w:val="32"/>
        </w:rPr>
        <w:t>.“十四五”时期</w:t>
      </w:r>
      <w:r>
        <w:rPr>
          <w:rFonts w:hint="eastAsia" w:eastAsia="仿宋_GB2312"/>
          <w:sz w:val="32"/>
          <w:szCs w:val="32"/>
          <w:lang w:val="en-US" w:eastAsia="zh-CN"/>
        </w:rPr>
        <w:t>市</w:t>
      </w:r>
      <w:r>
        <w:rPr>
          <w:rFonts w:eastAsia="仿宋_GB2312"/>
          <w:sz w:val="32"/>
          <w:szCs w:val="32"/>
        </w:rPr>
        <w:t>级应急物资保障发展主要指标</w:t>
      </w:r>
    </w:p>
    <w:p>
      <w:pPr>
        <w:autoSpaceDE w:val="0"/>
        <w:spacing w:line="580" w:lineRule="exact"/>
        <w:ind w:firstLine="640" w:firstLineChars="200"/>
        <w:rPr>
          <w:rFonts w:hint="eastAsia" w:ascii="仿宋_GB2312" w:eastAsia="仿宋_GB2312"/>
          <w:sz w:val="32"/>
          <w:szCs w:val="32"/>
        </w:rPr>
      </w:pPr>
      <w:r>
        <w:rPr>
          <w:rFonts w:eastAsia="仿宋_GB2312"/>
          <w:sz w:val="32"/>
          <w:szCs w:val="32"/>
        </w:rPr>
        <w:t xml:space="preserve">     </w:t>
      </w:r>
      <w:r>
        <w:rPr>
          <w:rFonts w:hint="eastAsia" w:eastAsia="仿宋_GB2312"/>
          <w:sz w:val="32"/>
          <w:szCs w:val="32"/>
          <w:lang w:val="en-US" w:eastAsia="zh-CN"/>
        </w:rPr>
        <w:t>2</w:t>
      </w:r>
      <w:r>
        <w:rPr>
          <w:rFonts w:eastAsia="仿宋_GB2312"/>
          <w:sz w:val="32"/>
          <w:szCs w:val="32"/>
        </w:rPr>
        <w:t>.“十四五”时期</w:t>
      </w:r>
      <w:r>
        <w:rPr>
          <w:rFonts w:hint="eastAsia" w:eastAsia="仿宋_GB2312"/>
          <w:sz w:val="32"/>
          <w:szCs w:val="32"/>
          <w:lang w:val="en-US" w:eastAsia="zh-CN"/>
        </w:rPr>
        <w:t>市</w:t>
      </w:r>
      <w:r>
        <w:rPr>
          <w:rFonts w:eastAsia="仿宋_GB2312"/>
          <w:sz w:val="32"/>
          <w:szCs w:val="32"/>
        </w:rPr>
        <w:t>级应急物</w:t>
      </w:r>
      <w:r>
        <w:rPr>
          <w:rFonts w:hint="eastAsia" w:ascii="仿宋_GB2312" w:eastAsia="仿宋_GB2312"/>
          <w:sz w:val="32"/>
          <w:szCs w:val="32"/>
        </w:rPr>
        <w:t>资储备品种计划表</w:t>
      </w:r>
    </w:p>
    <w:p>
      <w:pPr>
        <w:pStyle w:val="2"/>
        <w:rPr>
          <w:rFonts w:hint="eastAsia" w:eastAsia="方正仿宋_GBK"/>
          <w:lang w:val="en-US" w:eastAsia="zh-CN"/>
        </w:rPr>
      </w:pPr>
      <w:r>
        <w:rPr>
          <w:rFonts w:hint="eastAsia"/>
          <w:lang w:val="en-US" w:eastAsia="zh-CN"/>
        </w:rPr>
        <w:t xml:space="preserve">  </w:t>
      </w:r>
      <w:r>
        <w:rPr>
          <w:rFonts w:hint="eastAsia" w:eastAsia="仿宋_GB2312" w:asciiTheme="minorHAnsi" w:hAnsiTheme="minorHAnsi" w:cstheme="minorBidi"/>
          <w:kern w:val="2"/>
          <w:sz w:val="32"/>
          <w:szCs w:val="32"/>
          <w:lang w:val="en-US" w:eastAsia="zh-CN" w:bidi="ar-SA"/>
        </w:rPr>
        <w:t xml:space="preserve">     3.</w:t>
      </w:r>
      <w:r>
        <w:rPr>
          <w:rFonts w:eastAsia="仿宋_GB2312" w:asciiTheme="minorHAnsi" w:hAnsiTheme="minorHAnsi" w:cstheme="minorBidi"/>
          <w:kern w:val="2"/>
          <w:sz w:val="32"/>
          <w:szCs w:val="32"/>
          <w:lang w:val="en-US" w:eastAsia="zh-CN" w:bidi="ar-SA"/>
        </w:rPr>
        <w:t>“十四</w:t>
      </w:r>
      <w:r>
        <w:rPr>
          <w:rFonts w:eastAsia="仿宋_GB2312"/>
          <w:sz w:val="32"/>
          <w:szCs w:val="32"/>
        </w:rPr>
        <w:t>五”时期</w:t>
      </w:r>
      <w:r>
        <w:rPr>
          <w:rFonts w:hint="eastAsia" w:eastAsia="仿宋_GB2312"/>
          <w:sz w:val="32"/>
          <w:szCs w:val="32"/>
          <w:lang w:eastAsia="zh-CN"/>
        </w:rPr>
        <w:t>乡镇防汛抢险物资配备标准</w:t>
      </w:r>
    </w:p>
    <w:p>
      <w:pPr>
        <w:autoSpaceDE w:val="0"/>
        <w:rPr>
          <w:rFonts w:hint="eastAsia" w:ascii="仿宋_GB2312" w:eastAsia="仿宋_GB2312"/>
          <w:sz w:val="32"/>
          <w:szCs w:val="32"/>
        </w:rPr>
      </w:pPr>
      <w:bookmarkStart w:id="54" w:name="_Toc358"/>
      <w:bookmarkEnd w:id="54"/>
      <w:bookmarkStart w:id="55" w:name="_Toc2707"/>
      <w:bookmarkEnd w:id="55"/>
      <w:bookmarkStart w:id="56" w:name="_Toc29627"/>
      <w:bookmarkEnd w:id="56"/>
      <w:r>
        <w:rPr>
          <w:rFonts w:hint="eastAsia" w:ascii="仿宋_GB2312" w:eastAsia="仿宋_GB2312"/>
          <w:sz w:val="32"/>
          <w:szCs w:val="32"/>
        </w:rPr>
        <w:t xml:space="preserve"> </w:t>
      </w:r>
    </w:p>
    <w:p>
      <w:pPr>
        <w:autoSpaceDE w:val="0"/>
        <w:rPr>
          <w:rFonts w:hint="eastAsia" w:ascii="仿宋_GB2312" w:eastAsia="仿宋_GB2312"/>
          <w:sz w:val="32"/>
          <w:szCs w:val="32"/>
        </w:rPr>
      </w:pPr>
    </w:p>
    <w:p>
      <w:pPr>
        <w:pStyle w:val="2"/>
        <w:rPr>
          <w:rFonts w:hint="eastAsia" w:ascii="仿宋_GB2312" w:eastAsia="仿宋_GB2312"/>
          <w:sz w:val="32"/>
          <w:szCs w:val="32"/>
        </w:rPr>
      </w:pPr>
    </w:p>
    <w:p>
      <w:pPr>
        <w:rPr>
          <w:rFonts w:hint="eastAsia" w:ascii="仿宋_GB2312" w:eastAsia="仿宋_GB2312"/>
          <w:sz w:val="32"/>
          <w:szCs w:val="32"/>
        </w:rPr>
      </w:pPr>
    </w:p>
    <w:p>
      <w:pPr>
        <w:pStyle w:val="2"/>
        <w:rPr>
          <w:rFonts w:hint="eastAsia" w:ascii="仿宋_GB2312" w:eastAsia="仿宋_GB2312"/>
          <w:sz w:val="32"/>
          <w:szCs w:val="32"/>
        </w:rPr>
      </w:pPr>
    </w:p>
    <w:p>
      <w:pPr>
        <w:rPr>
          <w:rFonts w:hint="eastAsia" w:ascii="仿宋_GB2312" w:eastAsia="仿宋_GB2312"/>
          <w:sz w:val="32"/>
          <w:szCs w:val="32"/>
        </w:rPr>
      </w:pPr>
    </w:p>
    <w:p>
      <w:pPr>
        <w:pStyle w:val="2"/>
        <w:rPr>
          <w:rFonts w:hint="eastAsia"/>
        </w:rPr>
      </w:pPr>
    </w:p>
    <w:p>
      <w:pPr>
        <w:pStyle w:val="2"/>
        <w:rPr>
          <w:rFonts w:hint="eastAsia" w:ascii="仿宋_GB2312" w:eastAsia="仿宋_GB2312"/>
          <w:sz w:val="32"/>
          <w:szCs w:val="32"/>
        </w:rPr>
      </w:pPr>
    </w:p>
    <w:p>
      <w:pPr>
        <w:rPr>
          <w:rFonts w:hint="eastAsia" w:ascii="仿宋_GB2312" w:eastAsia="仿宋_GB2312"/>
          <w:sz w:val="32"/>
          <w:szCs w:val="32"/>
        </w:rPr>
      </w:pPr>
    </w:p>
    <w:p>
      <w:pPr>
        <w:pStyle w:val="2"/>
        <w:rPr>
          <w:rFonts w:hint="eastAsia" w:ascii="仿宋_GB2312" w:eastAsia="仿宋_GB2312"/>
          <w:sz w:val="32"/>
          <w:szCs w:val="32"/>
        </w:rPr>
      </w:pPr>
    </w:p>
    <w:p>
      <w:pPr>
        <w:rPr>
          <w:rFonts w:hint="eastAsia" w:ascii="仿宋_GB2312" w:eastAsia="仿宋_GB2312"/>
          <w:sz w:val="32"/>
          <w:szCs w:val="32"/>
        </w:rPr>
      </w:pPr>
    </w:p>
    <w:p>
      <w:pPr>
        <w:pStyle w:val="2"/>
        <w:rPr>
          <w:rFonts w:hint="eastAsia" w:ascii="仿宋_GB2312" w:eastAsia="仿宋_GB2312"/>
          <w:sz w:val="32"/>
          <w:szCs w:val="32"/>
        </w:rPr>
      </w:pPr>
    </w:p>
    <w:p>
      <w:pPr>
        <w:rPr>
          <w:rFonts w:hint="eastAsia" w:ascii="仿宋_GB2312" w:eastAsia="仿宋_GB2312"/>
          <w:sz w:val="32"/>
          <w:szCs w:val="32"/>
        </w:rPr>
      </w:pPr>
    </w:p>
    <w:p>
      <w:pPr>
        <w:pStyle w:val="2"/>
        <w:rPr>
          <w:rFonts w:hint="eastAsia" w:ascii="仿宋_GB2312" w:eastAsia="仿宋_GB2312"/>
          <w:sz w:val="32"/>
          <w:szCs w:val="32"/>
        </w:rPr>
      </w:pPr>
    </w:p>
    <w:p>
      <w:pPr>
        <w:rPr>
          <w:rFonts w:hint="eastAsia" w:ascii="仿宋_GB2312" w:eastAsia="仿宋_GB2312"/>
          <w:sz w:val="32"/>
          <w:szCs w:val="32"/>
        </w:rPr>
      </w:pPr>
    </w:p>
    <w:p>
      <w:pPr>
        <w:pStyle w:val="2"/>
        <w:rPr>
          <w:rFonts w:hint="eastAsia" w:ascii="仿宋_GB2312" w:eastAsia="仿宋_GB2312"/>
          <w:sz w:val="32"/>
          <w:szCs w:val="32"/>
        </w:rPr>
      </w:pPr>
    </w:p>
    <w:p>
      <w:pPr>
        <w:rPr>
          <w:rFonts w:hint="eastAsia" w:ascii="仿宋_GB2312" w:eastAsia="仿宋_GB2312"/>
          <w:sz w:val="32"/>
          <w:szCs w:val="32"/>
        </w:rPr>
      </w:pPr>
    </w:p>
    <w:p>
      <w:pPr>
        <w:pStyle w:val="2"/>
        <w:rPr>
          <w:rFonts w:hint="eastAsia" w:ascii="仿宋_GB2312" w:eastAsia="仿宋_GB2312"/>
          <w:sz w:val="32"/>
          <w:szCs w:val="32"/>
        </w:rPr>
      </w:pPr>
    </w:p>
    <w:p>
      <w:pPr>
        <w:rPr>
          <w:rFonts w:hint="eastAsia"/>
        </w:rPr>
      </w:pPr>
    </w:p>
    <w:p>
      <w:pPr>
        <w:pStyle w:val="2"/>
        <w:rPr>
          <w:rFonts w:hint="eastAsia"/>
        </w:rPr>
      </w:pPr>
    </w:p>
    <w:p>
      <w:pPr>
        <w:autoSpaceDE w:val="0"/>
        <w:outlineLvl w:val="0"/>
        <w:rPr>
          <w:rFonts w:hint="eastAsia" w:ascii="黑体" w:hAnsi="黑体" w:eastAsia="黑体"/>
          <w:sz w:val="32"/>
          <w:szCs w:val="32"/>
        </w:rPr>
      </w:pPr>
      <w:bookmarkStart w:id="57" w:name="_Toc30047"/>
      <w:bookmarkEnd w:id="57"/>
      <w:bookmarkStart w:id="58" w:name="_Toc8030"/>
      <w:bookmarkEnd w:id="58"/>
      <w:bookmarkStart w:id="59" w:name="_Toc12549"/>
      <w:bookmarkEnd w:id="59"/>
      <w:bookmarkStart w:id="60" w:name="_Toc8705"/>
      <w:r>
        <w:rPr>
          <w:rFonts w:hint="eastAsia" w:ascii="黑体" w:hAnsi="黑体" w:eastAsia="黑体"/>
          <w:sz w:val="32"/>
          <w:szCs w:val="32"/>
        </w:rPr>
        <w:t>附件</w:t>
      </w:r>
      <w:bookmarkEnd w:id="60"/>
      <w:r>
        <w:rPr>
          <w:rFonts w:hint="eastAsia" w:ascii="黑体" w:hAnsi="黑体" w:eastAsia="黑体"/>
          <w:sz w:val="32"/>
          <w:szCs w:val="32"/>
          <w:lang w:val="en-US" w:eastAsia="zh-CN"/>
        </w:rPr>
        <w:t>1</w:t>
      </w:r>
    </w:p>
    <w:p>
      <w:pPr>
        <w:autoSpaceDE w:val="0"/>
        <w:rPr>
          <w:rFonts w:hint="eastAsia" w:ascii="仿宋_GB2312" w:eastAsia="仿宋_GB2312"/>
          <w:sz w:val="32"/>
          <w:szCs w:val="32"/>
        </w:rPr>
      </w:pPr>
      <w:r>
        <w:rPr>
          <w:rFonts w:hint="eastAsia" w:ascii="仿宋_GB2312" w:eastAsia="仿宋_GB2312"/>
          <w:sz w:val="32"/>
          <w:szCs w:val="32"/>
        </w:rPr>
        <w:t xml:space="preserve"> </w:t>
      </w:r>
    </w:p>
    <w:tbl>
      <w:tblPr>
        <w:tblStyle w:val="7"/>
        <w:tblW w:w="8949" w:type="dxa"/>
        <w:tblInd w:w="0" w:type="dxa"/>
        <w:tblLayout w:type="fixed"/>
        <w:tblCellMar>
          <w:top w:w="0" w:type="dxa"/>
          <w:left w:w="108" w:type="dxa"/>
          <w:bottom w:w="0" w:type="dxa"/>
          <w:right w:w="108" w:type="dxa"/>
        </w:tblCellMar>
      </w:tblPr>
      <w:tblGrid>
        <w:gridCol w:w="696"/>
        <w:gridCol w:w="2149"/>
        <w:gridCol w:w="6104"/>
      </w:tblGrid>
      <w:tr>
        <w:tblPrEx>
          <w:tblCellMar>
            <w:top w:w="0" w:type="dxa"/>
            <w:left w:w="108" w:type="dxa"/>
            <w:bottom w:w="0" w:type="dxa"/>
            <w:right w:w="108" w:type="dxa"/>
          </w:tblCellMar>
        </w:tblPrEx>
        <w:trPr>
          <w:trHeight w:val="680" w:hRule="atLeast"/>
        </w:trPr>
        <w:tc>
          <w:tcPr>
            <w:tcW w:w="8949" w:type="dxa"/>
            <w:gridSpan w:val="3"/>
            <w:tcBorders>
              <w:top w:val="nil"/>
              <w:left w:val="nil"/>
              <w:bottom w:val="nil"/>
              <w:right w:val="nil"/>
            </w:tcBorders>
            <w:vAlign w:val="center"/>
          </w:tcPr>
          <w:p>
            <w:pPr>
              <w:widowControl/>
              <w:spacing w:line="560" w:lineRule="exact"/>
              <w:ind w:right="-634" w:rightChars="-302"/>
              <w:jc w:val="center"/>
              <w:textAlignment w:val="center"/>
              <w:rPr>
                <w:rFonts w:hint="eastAsia" w:ascii="方正小标宋简体" w:eastAsia="方正小标宋简体"/>
                <w:kern w:val="0"/>
                <w:sz w:val="44"/>
                <w:szCs w:val="44"/>
              </w:rPr>
            </w:pPr>
            <w:r>
              <w:rPr>
                <w:rFonts w:hint="eastAsia" w:ascii="方正小标宋简体" w:eastAsia="方正小标宋简体"/>
                <w:kern w:val="0"/>
                <w:sz w:val="28"/>
                <w:szCs w:val="28"/>
              </w:rPr>
              <w:t>“</w:t>
            </w:r>
            <w:r>
              <w:rPr>
                <w:rFonts w:hint="eastAsia" w:ascii="方正小标宋简体" w:eastAsia="方正小标宋简体"/>
                <w:kern w:val="0"/>
                <w:sz w:val="44"/>
                <w:szCs w:val="44"/>
              </w:rPr>
              <w:t>十四五”时期</w:t>
            </w:r>
            <w:r>
              <w:rPr>
                <w:rFonts w:hint="eastAsia" w:ascii="方正小标宋简体" w:eastAsia="方正小标宋简体"/>
                <w:kern w:val="0"/>
                <w:sz w:val="44"/>
                <w:szCs w:val="44"/>
                <w:lang w:val="en-US" w:eastAsia="zh-CN"/>
              </w:rPr>
              <w:t>市</w:t>
            </w:r>
            <w:r>
              <w:rPr>
                <w:rFonts w:hint="eastAsia" w:ascii="方正小标宋简体" w:eastAsia="方正小标宋简体"/>
                <w:kern w:val="0"/>
                <w:sz w:val="44"/>
                <w:szCs w:val="44"/>
              </w:rPr>
              <w:t>级应急物资保障发展</w:t>
            </w:r>
          </w:p>
          <w:p>
            <w:pPr>
              <w:widowControl/>
              <w:spacing w:line="560" w:lineRule="exact"/>
              <w:ind w:right="-634" w:rightChars="-302"/>
              <w:jc w:val="center"/>
              <w:textAlignment w:val="center"/>
              <w:rPr>
                <w:rFonts w:ascii="方正小标宋简体" w:eastAsia="方正小标宋简体"/>
                <w:sz w:val="24"/>
              </w:rPr>
            </w:pPr>
            <w:r>
              <w:rPr>
                <w:rFonts w:hint="eastAsia" w:ascii="方正小标宋简体" w:eastAsia="方正小标宋简体"/>
                <w:kern w:val="0"/>
                <w:sz w:val="44"/>
                <w:szCs w:val="44"/>
              </w:rPr>
              <w:t>主要指标</w:t>
            </w:r>
          </w:p>
        </w:tc>
      </w:tr>
      <w:tr>
        <w:tblPrEx>
          <w:tblCellMar>
            <w:top w:w="0" w:type="dxa"/>
            <w:left w:w="108" w:type="dxa"/>
            <w:bottom w:w="0" w:type="dxa"/>
            <w:right w:w="108" w:type="dxa"/>
          </w:tblCellMar>
        </w:tblPrEx>
        <w:trPr>
          <w:trHeight w:val="420"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黑体" w:hAnsi="黑体" w:eastAsia="黑体"/>
                <w:sz w:val="24"/>
              </w:rPr>
            </w:pPr>
            <w:r>
              <w:rPr>
                <w:rFonts w:hint="eastAsia" w:ascii="黑体" w:hAnsi="黑体" w:eastAsia="黑体"/>
                <w:kern w:val="0"/>
                <w:sz w:val="24"/>
              </w:rPr>
              <w:t>序号</w:t>
            </w:r>
          </w:p>
        </w:tc>
        <w:tc>
          <w:tcPr>
            <w:tcW w:w="214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黑体" w:hAnsi="黑体" w:eastAsia="黑体"/>
                <w:sz w:val="24"/>
              </w:rPr>
            </w:pPr>
            <w:r>
              <w:rPr>
                <w:rFonts w:hint="eastAsia" w:ascii="黑体" w:hAnsi="黑体" w:eastAsia="黑体"/>
                <w:kern w:val="0"/>
                <w:sz w:val="24"/>
              </w:rPr>
              <w:t>类别</w:t>
            </w:r>
          </w:p>
        </w:tc>
        <w:tc>
          <w:tcPr>
            <w:tcW w:w="610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黑体" w:hAnsi="黑体" w:eastAsia="黑体"/>
                <w:sz w:val="24"/>
              </w:rPr>
            </w:pPr>
            <w:r>
              <w:rPr>
                <w:rFonts w:hint="eastAsia" w:ascii="黑体" w:hAnsi="黑体" w:eastAsia="黑体"/>
                <w:kern w:val="0"/>
                <w:sz w:val="24"/>
              </w:rPr>
              <w:t>指标内容</w:t>
            </w:r>
          </w:p>
        </w:tc>
      </w:tr>
      <w:tr>
        <w:tblPrEx>
          <w:tblCellMar>
            <w:top w:w="0" w:type="dxa"/>
            <w:left w:w="108" w:type="dxa"/>
            <w:bottom w:w="0" w:type="dxa"/>
            <w:right w:w="108" w:type="dxa"/>
          </w:tblCellMar>
        </w:tblPrEx>
        <w:trPr>
          <w:trHeight w:val="1450"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 w:val="24"/>
              </w:rPr>
            </w:pPr>
            <w:r>
              <w:rPr>
                <w:rFonts w:hint="eastAsia" w:ascii="宋体" w:hAnsi="宋体"/>
                <w:kern w:val="0"/>
                <w:sz w:val="24"/>
              </w:rPr>
              <w:t>1</w:t>
            </w:r>
          </w:p>
        </w:tc>
        <w:tc>
          <w:tcPr>
            <w:tcW w:w="214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sz w:val="24"/>
              </w:rPr>
            </w:pPr>
            <w:r>
              <w:rPr>
                <w:rFonts w:hint="eastAsia" w:ascii="宋体" w:hAnsi="宋体"/>
                <w:kern w:val="0"/>
                <w:sz w:val="24"/>
              </w:rPr>
              <w:t>防汛抗旱物资</w:t>
            </w:r>
          </w:p>
        </w:tc>
        <w:tc>
          <w:tcPr>
            <w:tcW w:w="610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sz w:val="24"/>
              </w:rPr>
            </w:pPr>
            <w:r>
              <w:rPr>
                <w:rFonts w:hint="eastAsia" w:ascii="宋体" w:hAnsi="宋体"/>
                <w:kern w:val="0"/>
                <w:sz w:val="24"/>
              </w:rPr>
              <w:t>可应对全市发生大洪水、强台风以及重大山洪灾害</w:t>
            </w:r>
          </w:p>
        </w:tc>
      </w:tr>
      <w:tr>
        <w:tblPrEx>
          <w:tblCellMar>
            <w:top w:w="0" w:type="dxa"/>
            <w:left w:w="108" w:type="dxa"/>
            <w:bottom w:w="0" w:type="dxa"/>
            <w:right w:w="108" w:type="dxa"/>
          </w:tblCellMar>
        </w:tblPrEx>
        <w:trPr>
          <w:trHeight w:val="1000"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 w:val="24"/>
              </w:rPr>
            </w:pPr>
            <w:r>
              <w:rPr>
                <w:rFonts w:hint="eastAsia" w:ascii="宋体" w:hAnsi="宋体"/>
                <w:kern w:val="0"/>
                <w:sz w:val="24"/>
              </w:rPr>
              <w:t>2</w:t>
            </w:r>
          </w:p>
        </w:tc>
        <w:tc>
          <w:tcPr>
            <w:tcW w:w="214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eastAsiaTheme="minorEastAsia"/>
                <w:sz w:val="24"/>
                <w:lang w:eastAsia="zh-CN"/>
              </w:rPr>
            </w:pPr>
            <w:r>
              <w:rPr>
                <w:rFonts w:hint="eastAsia" w:ascii="宋体" w:hAnsi="宋体"/>
                <w:kern w:val="0"/>
                <w:sz w:val="24"/>
                <w:lang w:eastAsia="zh-CN"/>
              </w:rPr>
              <w:t>森林防灭火物资</w:t>
            </w:r>
          </w:p>
        </w:tc>
        <w:tc>
          <w:tcPr>
            <w:tcW w:w="610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eastAsia="宋体"/>
                <w:sz w:val="24"/>
                <w:szCs w:val="24"/>
                <w:lang w:val="en-US" w:eastAsia="zh-CN"/>
              </w:rPr>
            </w:pPr>
            <w:r>
              <w:rPr>
                <w:rFonts w:hint="eastAsia" w:ascii="宋体" w:hAnsi="宋体"/>
                <w:kern w:val="0"/>
                <w:sz w:val="24"/>
                <w:lang w:eastAsia="zh-CN"/>
              </w:rPr>
              <w:t>可应对突发</w:t>
            </w:r>
            <w:r>
              <w:rPr>
                <w:rFonts w:hint="eastAsia" w:ascii="宋体" w:hAnsi="宋体"/>
                <w:kern w:val="0"/>
                <w:sz w:val="24"/>
                <w:lang w:val="en-US" w:eastAsia="zh-CN"/>
              </w:rPr>
              <w:t>较大森林火灾救援需求</w:t>
            </w:r>
          </w:p>
        </w:tc>
      </w:tr>
      <w:tr>
        <w:tblPrEx>
          <w:tblCellMar>
            <w:top w:w="0" w:type="dxa"/>
            <w:left w:w="108" w:type="dxa"/>
            <w:bottom w:w="0" w:type="dxa"/>
            <w:right w:w="108" w:type="dxa"/>
          </w:tblCellMar>
        </w:tblPrEx>
        <w:trPr>
          <w:trHeight w:val="1000"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 w:val="24"/>
              </w:rPr>
            </w:pPr>
            <w:r>
              <w:rPr>
                <w:rFonts w:hint="eastAsia" w:ascii="宋体" w:hAnsi="宋体"/>
                <w:kern w:val="0"/>
                <w:sz w:val="24"/>
              </w:rPr>
              <w:t>3</w:t>
            </w:r>
          </w:p>
        </w:tc>
        <w:tc>
          <w:tcPr>
            <w:tcW w:w="214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sz w:val="24"/>
              </w:rPr>
            </w:pPr>
            <w:r>
              <w:rPr>
                <w:rFonts w:hint="eastAsia" w:ascii="宋体" w:hAnsi="宋体"/>
                <w:kern w:val="0"/>
                <w:sz w:val="24"/>
              </w:rPr>
              <w:t>生活类救灾物资</w:t>
            </w:r>
          </w:p>
        </w:tc>
        <w:tc>
          <w:tcPr>
            <w:tcW w:w="6104" w:type="dxa"/>
            <w:tcBorders>
              <w:top w:val="single" w:color="000000" w:sz="4" w:space="0"/>
              <w:left w:val="nil"/>
              <w:bottom w:val="single" w:color="000000" w:sz="4" w:space="0"/>
              <w:right w:val="single" w:color="000000" w:sz="4" w:space="0"/>
            </w:tcBorders>
            <w:vAlign w:val="center"/>
          </w:tcPr>
          <w:p>
            <w:pPr>
              <w:widowControl/>
              <w:jc w:val="center"/>
              <w:textAlignment w:val="center"/>
              <w:rPr>
                <w:sz w:val="24"/>
              </w:rPr>
            </w:pPr>
          </w:p>
          <w:p>
            <w:pPr>
              <w:widowControl/>
              <w:jc w:val="center"/>
              <w:textAlignment w:val="center"/>
              <w:rPr>
                <w:rFonts w:hint="eastAsia"/>
                <w:sz w:val="24"/>
              </w:rPr>
            </w:pPr>
          </w:p>
          <w:p>
            <w:pPr>
              <w:widowControl/>
              <w:jc w:val="center"/>
              <w:textAlignment w:val="center"/>
              <w:rPr>
                <w:rFonts w:hint="eastAsia"/>
                <w:sz w:val="24"/>
              </w:rPr>
            </w:pPr>
            <w:r>
              <w:rPr>
                <w:rFonts w:hint="eastAsia" w:ascii="宋体" w:hAnsi="宋体"/>
                <w:sz w:val="24"/>
              </w:rPr>
              <w:t>可保障</w:t>
            </w:r>
            <w:r>
              <w:rPr>
                <w:rFonts w:hint="eastAsia" w:ascii="宋体" w:hAnsi="宋体"/>
                <w:color w:val="FF0000"/>
                <w:sz w:val="24"/>
                <w:lang w:val="en-US" w:eastAsia="zh-CN"/>
              </w:rPr>
              <w:t>1</w:t>
            </w:r>
            <w:r>
              <w:rPr>
                <w:rFonts w:hint="eastAsia" w:ascii="宋体" w:hAnsi="宋体"/>
                <w:color w:val="FF0000"/>
                <w:sz w:val="24"/>
              </w:rPr>
              <w:t>万</w:t>
            </w:r>
            <w:r>
              <w:rPr>
                <w:rFonts w:hint="eastAsia" w:ascii="宋体" w:hAnsi="宋体"/>
                <w:sz w:val="24"/>
              </w:rPr>
              <w:t>人口安置</w:t>
            </w:r>
          </w:p>
          <w:p>
            <w:pPr>
              <w:pStyle w:val="6"/>
              <w:rPr>
                <w:sz w:val="24"/>
                <w:szCs w:val="24"/>
                <w:lang w:val="en-US" w:eastAsia="zh-CN"/>
              </w:rPr>
            </w:pPr>
          </w:p>
        </w:tc>
      </w:tr>
      <w:tr>
        <w:tblPrEx>
          <w:tblCellMar>
            <w:top w:w="0" w:type="dxa"/>
            <w:left w:w="108" w:type="dxa"/>
            <w:bottom w:w="0" w:type="dxa"/>
            <w:right w:w="108" w:type="dxa"/>
          </w:tblCellMar>
        </w:tblPrEx>
        <w:trPr>
          <w:trHeight w:val="1000" w:hRule="atLeast"/>
        </w:trPr>
        <w:tc>
          <w:tcPr>
            <w:tcW w:w="8949"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kern w:val="0"/>
                <w:sz w:val="24"/>
              </w:rPr>
            </w:pPr>
            <w:r>
              <w:rPr>
                <w:rFonts w:hint="eastAsia" w:ascii="宋体" w:hAnsi="宋体"/>
                <w:kern w:val="0"/>
                <w:sz w:val="24"/>
              </w:rPr>
              <w:t>注：</w:t>
            </w:r>
            <w:r>
              <w:rPr>
                <w:rFonts w:hint="eastAsia" w:ascii="宋体" w:hAnsi="宋体"/>
                <w:sz w:val="24"/>
              </w:rPr>
              <w:t>本表描述的指标均指</w:t>
            </w:r>
            <w:r>
              <w:rPr>
                <w:rFonts w:hint="eastAsia" w:ascii="宋体" w:hAnsi="宋体"/>
                <w:sz w:val="24"/>
                <w:lang w:val="en-US" w:eastAsia="zh-CN"/>
              </w:rPr>
              <w:t>市</w:t>
            </w:r>
            <w:r>
              <w:rPr>
                <w:rFonts w:hint="eastAsia" w:ascii="宋体" w:hAnsi="宋体"/>
                <w:sz w:val="24"/>
              </w:rPr>
              <w:t>级层面应急物资保障需要达到的要求。</w:t>
            </w:r>
          </w:p>
        </w:tc>
      </w:tr>
    </w:tbl>
    <w:p>
      <w:pPr>
        <w:autoSpaceDE w:val="0"/>
        <w:rPr>
          <w:rFonts w:hint="eastAsia" w:ascii="仿宋_GB2312" w:eastAsia="仿宋_GB2312"/>
          <w:sz w:val="32"/>
          <w:szCs w:val="32"/>
        </w:rPr>
      </w:pPr>
      <w:r>
        <w:rPr>
          <w:rFonts w:hint="eastAsia" w:ascii="仿宋_GB2312" w:eastAsia="仿宋_GB2312"/>
          <w:sz w:val="32"/>
          <w:szCs w:val="32"/>
        </w:rPr>
        <w:t xml:space="preserve"> </w:t>
      </w:r>
    </w:p>
    <w:p>
      <w:pPr>
        <w:autoSpaceDE w:val="0"/>
        <w:rPr>
          <w:rFonts w:hint="eastAsia" w:ascii="仿宋_GB2312" w:eastAsia="仿宋_GB2312"/>
          <w:sz w:val="32"/>
          <w:szCs w:val="32"/>
        </w:rPr>
      </w:pPr>
      <w:r>
        <w:rPr>
          <w:rFonts w:hint="eastAsia" w:ascii="仿宋_GB2312" w:eastAsia="仿宋_GB2312"/>
          <w:sz w:val="32"/>
          <w:szCs w:val="32"/>
        </w:rPr>
        <w:t xml:space="preserve"> </w:t>
      </w:r>
    </w:p>
    <w:p>
      <w:pPr>
        <w:autoSpaceDE w:val="0"/>
        <w:rPr>
          <w:rFonts w:hint="eastAsia" w:ascii="仿宋_GB2312" w:eastAsia="仿宋_GB2312"/>
          <w:sz w:val="32"/>
          <w:szCs w:val="32"/>
        </w:rPr>
      </w:pPr>
      <w:r>
        <w:rPr>
          <w:rFonts w:hint="eastAsia" w:ascii="仿宋_GB2312" w:eastAsia="仿宋_GB2312"/>
          <w:sz w:val="32"/>
          <w:szCs w:val="32"/>
        </w:rPr>
        <w:t xml:space="preserve"> </w:t>
      </w:r>
    </w:p>
    <w:p>
      <w:pPr>
        <w:autoSpaceDE w:val="0"/>
        <w:rPr>
          <w:rFonts w:hint="eastAsia" w:ascii="仿宋_GB2312" w:eastAsia="仿宋_GB2312"/>
          <w:sz w:val="32"/>
          <w:szCs w:val="32"/>
        </w:rPr>
      </w:pPr>
      <w:r>
        <w:rPr>
          <w:rFonts w:hint="eastAsia" w:ascii="仿宋_GB2312" w:eastAsia="仿宋_GB2312"/>
          <w:sz w:val="32"/>
          <w:szCs w:val="32"/>
        </w:rPr>
        <w:t xml:space="preserve"> </w:t>
      </w:r>
    </w:p>
    <w:p>
      <w:pPr>
        <w:pStyle w:val="2"/>
        <w:rPr>
          <w:rFonts w:hint="eastAsia" w:ascii="仿宋_GB2312" w:eastAsia="仿宋_GB2312"/>
          <w:sz w:val="32"/>
          <w:szCs w:val="32"/>
        </w:rPr>
      </w:pPr>
    </w:p>
    <w:p>
      <w:pPr>
        <w:rPr>
          <w:rFonts w:hint="eastAsia" w:ascii="仿宋_GB2312" w:eastAsia="仿宋_GB2312"/>
          <w:sz w:val="32"/>
          <w:szCs w:val="32"/>
        </w:rPr>
      </w:pPr>
    </w:p>
    <w:p>
      <w:pPr>
        <w:pStyle w:val="2"/>
        <w:rPr>
          <w:rFonts w:hint="eastAsia"/>
        </w:rPr>
      </w:pPr>
    </w:p>
    <w:p>
      <w:pPr>
        <w:autoSpaceDE w:val="0"/>
        <w:rPr>
          <w:rFonts w:hint="eastAsia" w:ascii="仿宋_GB2312" w:eastAsia="仿宋_GB2312"/>
          <w:sz w:val="32"/>
          <w:szCs w:val="32"/>
        </w:rPr>
      </w:pPr>
      <w:r>
        <w:rPr>
          <w:rFonts w:hint="eastAsia" w:ascii="仿宋_GB2312" w:eastAsia="仿宋_GB2312"/>
          <w:sz w:val="32"/>
          <w:szCs w:val="32"/>
        </w:rPr>
        <w:t xml:space="preserve">  </w:t>
      </w:r>
    </w:p>
    <w:p>
      <w:pPr>
        <w:autoSpaceDE w:val="0"/>
        <w:rPr>
          <w:rFonts w:hint="eastAsia" w:ascii="仿宋_GB2312" w:eastAsia="仿宋_GB2312"/>
          <w:sz w:val="32"/>
          <w:szCs w:val="32"/>
        </w:rPr>
      </w:pPr>
      <w:r>
        <w:rPr>
          <w:rFonts w:hint="eastAsia" w:ascii="黑体" w:hAnsi="黑体" w:eastAsia="黑体"/>
          <w:sz w:val="32"/>
          <w:szCs w:val="32"/>
        </w:rPr>
        <w:t xml:space="preserve"> 附件</w:t>
      </w:r>
      <w:r>
        <w:rPr>
          <w:rFonts w:hint="eastAsia" w:ascii="仿宋_GB2312" w:eastAsia="仿宋_GB2312"/>
          <w:sz w:val="32"/>
          <w:szCs w:val="32"/>
          <w:lang w:val="en-US" w:eastAsia="zh-CN"/>
        </w:rPr>
        <w:t>2</w:t>
      </w:r>
    </w:p>
    <w:p>
      <w:pPr>
        <w:autoSpaceDE w:val="0"/>
        <w:jc w:val="center"/>
        <w:rPr>
          <w:rFonts w:hint="eastAsia" w:ascii="仿宋_GB2312" w:eastAsia="仿宋_GB2312"/>
          <w:sz w:val="36"/>
          <w:szCs w:val="36"/>
        </w:rPr>
      </w:pPr>
      <w:r>
        <w:rPr>
          <w:rFonts w:hint="eastAsia" w:ascii="方正小标宋简体" w:eastAsia="方正小标宋简体"/>
          <w:kern w:val="0"/>
          <w:sz w:val="36"/>
          <w:szCs w:val="36"/>
        </w:rPr>
        <w:t>“十四五”时期</w:t>
      </w:r>
      <w:r>
        <w:rPr>
          <w:rFonts w:hint="eastAsia" w:ascii="方正小标宋简体" w:eastAsia="方正小标宋简体"/>
          <w:kern w:val="0"/>
          <w:sz w:val="36"/>
          <w:szCs w:val="36"/>
          <w:lang w:val="en-US" w:eastAsia="zh-CN"/>
        </w:rPr>
        <w:t>市</w:t>
      </w:r>
      <w:r>
        <w:rPr>
          <w:rFonts w:hint="eastAsia" w:ascii="方正小标宋简体" w:eastAsia="方正小标宋简体"/>
          <w:kern w:val="0"/>
          <w:sz w:val="36"/>
          <w:szCs w:val="36"/>
        </w:rPr>
        <w:t>级</w:t>
      </w:r>
      <w:r>
        <w:rPr>
          <w:rFonts w:hint="eastAsia" w:ascii="方正小标宋简体" w:eastAsia="方正小标宋简体"/>
          <w:kern w:val="0"/>
          <w:sz w:val="36"/>
          <w:szCs w:val="36"/>
          <w:lang w:eastAsia="zh-CN"/>
        </w:rPr>
        <w:t>重点</w:t>
      </w:r>
      <w:r>
        <w:rPr>
          <w:rFonts w:hint="eastAsia" w:ascii="方正小标宋简体" w:eastAsia="方正小标宋简体"/>
          <w:kern w:val="0"/>
          <w:sz w:val="36"/>
          <w:szCs w:val="36"/>
        </w:rPr>
        <w:t>应急物资储备品种计划表</w:t>
      </w:r>
    </w:p>
    <w:tbl>
      <w:tblPr>
        <w:tblStyle w:val="7"/>
        <w:tblW w:w="10000" w:type="dxa"/>
        <w:jc w:val="center"/>
        <w:tblLayout w:type="fixed"/>
        <w:tblCellMar>
          <w:top w:w="0" w:type="dxa"/>
          <w:left w:w="108" w:type="dxa"/>
          <w:bottom w:w="0" w:type="dxa"/>
          <w:right w:w="108" w:type="dxa"/>
        </w:tblCellMar>
      </w:tblPr>
      <w:tblGrid>
        <w:gridCol w:w="675"/>
        <w:gridCol w:w="998"/>
        <w:gridCol w:w="6678"/>
        <w:gridCol w:w="1104"/>
        <w:gridCol w:w="545"/>
      </w:tblGrid>
      <w:tr>
        <w:tblPrEx>
          <w:tblCellMar>
            <w:top w:w="0" w:type="dxa"/>
            <w:left w:w="108" w:type="dxa"/>
            <w:bottom w:w="0" w:type="dxa"/>
            <w:right w:w="108" w:type="dxa"/>
          </w:tblCellMar>
        </w:tblPrEx>
        <w:trPr>
          <w:trHeight w:val="910" w:hRule="atLeast"/>
          <w:jc w:val="center"/>
        </w:trPr>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黑体" w:eastAsia="黑体"/>
                <w:sz w:val="20"/>
                <w:szCs w:val="20"/>
              </w:rPr>
            </w:pPr>
            <w:r>
              <w:rPr>
                <w:rFonts w:hint="eastAsia" w:ascii="黑体" w:hAnsi="黑体" w:eastAsia="黑体"/>
                <w:kern w:val="0"/>
                <w:sz w:val="20"/>
                <w:szCs w:val="20"/>
              </w:rPr>
              <w:t>序号</w:t>
            </w:r>
          </w:p>
        </w:tc>
        <w:tc>
          <w:tcPr>
            <w:tcW w:w="99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黑体" w:hAnsi="黑体" w:eastAsia="黑体"/>
                <w:sz w:val="20"/>
                <w:szCs w:val="20"/>
              </w:rPr>
            </w:pPr>
            <w:r>
              <w:rPr>
                <w:rFonts w:hint="eastAsia" w:ascii="黑体" w:hAnsi="黑体" w:eastAsia="黑体"/>
                <w:kern w:val="0"/>
                <w:sz w:val="20"/>
                <w:szCs w:val="20"/>
              </w:rPr>
              <w:t>类别</w:t>
            </w:r>
          </w:p>
        </w:tc>
        <w:tc>
          <w:tcPr>
            <w:tcW w:w="667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黑体" w:hAnsi="黑体" w:eastAsia="黑体"/>
                <w:sz w:val="20"/>
                <w:szCs w:val="20"/>
              </w:rPr>
            </w:pPr>
            <w:r>
              <w:rPr>
                <w:rFonts w:hint="eastAsia" w:ascii="黑体" w:hAnsi="黑体" w:eastAsia="黑体"/>
                <w:kern w:val="0"/>
                <w:sz w:val="20"/>
                <w:szCs w:val="20"/>
              </w:rPr>
              <w:t>品种</w:t>
            </w:r>
          </w:p>
        </w:tc>
        <w:tc>
          <w:tcPr>
            <w:tcW w:w="110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黑体" w:hAnsi="黑体" w:eastAsia="黑体"/>
                <w:sz w:val="20"/>
                <w:szCs w:val="20"/>
              </w:rPr>
            </w:pPr>
            <w:r>
              <w:rPr>
                <w:rFonts w:hint="eastAsia" w:ascii="黑体" w:hAnsi="黑体" w:eastAsia="黑体"/>
                <w:kern w:val="0"/>
                <w:sz w:val="20"/>
                <w:szCs w:val="20"/>
              </w:rPr>
              <w:t>建议储备方式</w:t>
            </w:r>
          </w:p>
        </w:tc>
        <w:tc>
          <w:tcPr>
            <w:tcW w:w="54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黑体" w:hAnsi="黑体" w:eastAsia="黑体"/>
                <w:sz w:val="20"/>
                <w:szCs w:val="20"/>
              </w:rPr>
            </w:pPr>
            <w:r>
              <w:rPr>
                <w:rFonts w:hint="eastAsia" w:ascii="黑体" w:hAnsi="黑体" w:eastAsia="黑体"/>
                <w:kern w:val="0"/>
                <w:sz w:val="20"/>
                <w:szCs w:val="20"/>
              </w:rPr>
              <w:t>备注</w:t>
            </w:r>
          </w:p>
        </w:tc>
      </w:tr>
      <w:tr>
        <w:tblPrEx>
          <w:tblCellMar>
            <w:top w:w="0" w:type="dxa"/>
            <w:left w:w="108" w:type="dxa"/>
            <w:bottom w:w="0" w:type="dxa"/>
            <w:right w:w="108" w:type="dxa"/>
          </w:tblCellMar>
        </w:tblPrEx>
        <w:trPr>
          <w:trHeight w:val="1936" w:hRule="atLeast"/>
          <w:jc w:val="center"/>
        </w:trPr>
        <w:tc>
          <w:tcPr>
            <w:tcW w:w="675"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宋体" w:hAnsi="宋体"/>
                <w:sz w:val="20"/>
                <w:szCs w:val="20"/>
              </w:rPr>
            </w:pPr>
            <w:r>
              <w:rPr>
                <w:rFonts w:hint="eastAsia" w:ascii="宋体" w:hAnsi="宋体"/>
                <w:kern w:val="0"/>
                <w:sz w:val="20"/>
                <w:szCs w:val="20"/>
              </w:rPr>
              <w:t>1</w:t>
            </w:r>
          </w:p>
        </w:tc>
        <w:tc>
          <w:tcPr>
            <w:tcW w:w="998" w:type="dxa"/>
            <w:tcBorders>
              <w:top w:val="single" w:color="000000" w:sz="4" w:space="0"/>
              <w:left w:val="nil"/>
              <w:bottom w:val="nil"/>
              <w:right w:val="single" w:color="000000" w:sz="4" w:space="0"/>
            </w:tcBorders>
            <w:vAlign w:val="center"/>
          </w:tcPr>
          <w:p>
            <w:pPr>
              <w:widowControl/>
              <w:jc w:val="center"/>
              <w:textAlignment w:val="center"/>
              <w:rPr>
                <w:rFonts w:hint="eastAsia" w:ascii="宋体" w:hAnsi="宋体"/>
                <w:kern w:val="0"/>
                <w:sz w:val="20"/>
                <w:szCs w:val="20"/>
              </w:rPr>
            </w:pPr>
            <w:r>
              <w:rPr>
                <w:rFonts w:hint="eastAsia" w:ascii="宋体" w:hAnsi="宋体"/>
                <w:kern w:val="0"/>
                <w:sz w:val="20"/>
                <w:szCs w:val="20"/>
              </w:rPr>
              <w:t>森林防</w:t>
            </w:r>
            <w:r>
              <w:rPr>
                <w:rFonts w:hint="eastAsia" w:ascii="宋体" w:hAnsi="宋体"/>
                <w:kern w:val="0"/>
                <w:sz w:val="20"/>
                <w:szCs w:val="20"/>
                <w:lang w:eastAsia="zh-CN"/>
              </w:rPr>
              <w:t>灭</w:t>
            </w:r>
            <w:r>
              <w:rPr>
                <w:rFonts w:hint="eastAsia" w:ascii="宋体" w:hAnsi="宋体"/>
                <w:kern w:val="0"/>
                <w:sz w:val="20"/>
                <w:szCs w:val="20"/>
              </w:rPr>
              <w:t>火物资储备库</w:t>
            </w:r>
          </w:p>
        </w:tc>
        <w:tc>
          <w:tcPr>
            <w:tcW w:w="6678" w:type="dxa"/>
            <w:tcBorders>
              <w:top w:val="single" w:color="000000" w:sz="4" w:space="0"/>
              <w:left w:val="nil"/>
              <w:bottom w:val="single" w:color="000000" w:sz="4" w:space="0"/>
              <w:right w:val="single" w:color="000000" w:sz="4" w:space="0"/>
            </w:tcBorders>
            <w:vAlign w:val="center"/>
          </w:tcPr>
          <w:p>
            <w:pPr>
              <w:widowControl/>
              <w:jc w:val="both"/>
              <w:textAlignment w:val="center"/>
              <w:rPr>
                <w:rFonts w:hint="eastAsia" w:ascii="宋体" w:hAnsi="宋体"/>
                <w:kern w:val="0"/>
                <w:sz w:val="20"/>
                <w:szCs w:val="20"/>
              </w:rPr>
            </w:pPr>
            <w:r>
              <w:rPr>
                <w:rFonts w:hint="eastAsia" w:ascii="宋体" w:hAnsi="宋体"/>
                <w:sz w:val="20"/>
                <w:szCs w:val="20"/>
              </w:rPr>
              <w:t>风力灭火机、灭火水枪、水泵、油锯、割灌机、森林消防车、火灾灭火剂、灭火弹、单兵装备、组合工具、二号工具、消防铲、扑火服、防火头盔、防护眼镜、防爆电筒、对讲机、对讲头盔、卫星电话、中继台、数字海拔仪、测距仪、望远镜、无人机</w:t>
            </w:r>
          </w:p>
        </w:tc>
        <w:tc>
          <w:tcPr>
            <w:tcW w:w="110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kern w:val="0"/>
                <w:sz w:val="20"/>
                <w:szCs w:val="20"/>
              </w:rPr>
            </w:pPr>
            <w:r>
              <w:rPr>
                <w:rFonts w:hint="eastAsia" w:ascii="宋体" w:hAnsi="宋体"/>
                <w:kern w:val="0"/>
                <w:sz w:val="20"/>
                <w:szCs w:val="20"/>
              </w:rPr>
              <w:t>实物储备</w:t>
            </w:r>
          </w:p>
        </w:tc>
        <w:tc>
          <w:tcPr>
            <w:tcW w:w="545" w:type="dxa"/>
            <w:tcBorders>
              <w:top w:val="single" w:color="000000" w:sz="4" w:space="0"/>
              <w:left w:val="nil"/>
              <w:bottom w:val="single" w:color="000000" w:sz="4" w:space="0"/>
              <w:right w:val="single" w:color="000000" w:sz="4" w:space="0"/>
            </w:tcBorders>
            <w:vAlign w:val="center"/>
          </w:tcPr>
          <w:p>
            <w:pPr>
              <w:rPr>
                <w:rFonts w:ascii="宋体" w:hAnsi="宋体"/>
                <w:sz w:val="20"/>
                <w:szCs w:val="20"/>
              </w:rPr>
            </w:pPr>
          </w:p>
        </w:tc>
      </w:tr>
      <w:tr>
        <w:tblPrEx>
          <w:tblCellMar>
            <w:top w:w="0" w:type="dxa"/>
            <w:left w:w="108" w:type="dxa"/>
            <w:bottom w:w="0" w:type="dxa"/>
            <w:right w:w="108" w:type="dxa"/>
          </w:tblCellMar>
        </w:tblPrEx>
        <w:trPr>
          <w:trHeight w:val="1358" w:hRule="atLeast"/>
          <w:jc w:val="center"/>
        </w:trPr>
        <w:tc>
          <w:tcPr>
            <w:tcW w:w="675"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sz w:val="20"/>
                <w:szCs w:val="20"/>
              </w:rPr>
            </w:pPr>
            <w:r>
              <w:rPr>
                <w:rFonts w:hint="eastAsia" w:ascii="宋体" w:hAnsi="宋体"/>
                <w:kern w:val="0"/>
                <w:sz w:val="20"/>
                <w:szCs w:val="20"/>
              </w:rPr>
              <w:t>2</w:t>
            </w:r>
          </w:p>
        </w:tc>
        <w:tc>
          <w:tcPr>
            <w:tcW w:w="998" w:type="dxa"/>
            <w:vMerge w:val="restart"/>
            <w:tcBorders>
              <w:top w:val="single" w:color="000000" w:sz="4" w:space="0"/>
              <w:left w:val="nil"/>
              <w:right w:val="single" w:color="000000" w:sz="4" w:space="0"/>
            </w:tcBorders>
            <w:vAlign w:val="center"/>
          </w:tcPr>
          <w:p>
            <w:pPr>
              <w:widowControl/>
              <w:jc w:val="center"/>
              <w:textAlignment w:val="center"/>
              <w:rPr>
                <w:rFonts w:hint="eastAsia" w:ascii="宋体" w:hAnsi="宋体"/>
                <w:kern w:val="0"/>
                <w:sz w:val="20"/>
                <w:szCs w:val="20"/>
              </w:rPr>
            </w:pPr>
            <w:r>
              <w:rPr>
                <w:rFonts w:hint="eastAsia" w:ascii="宋体" w:hAnsi="宋体"/>
                <w:kern w:val="0"/>
                <w:sz w:val="20"/>
                <w:szCs w:val="20"/>
              </w:rPr>
              <w:t>防汛抗旱物资储备库</w:t>
            </w:r>
          </w:p>
        </w:tc>
        <w:tc>
          <w:tcPr>
            <w:tcW w:w="6678" w:type="dxa"/>
            <w:tcBorders>
              <w:top w:val="single" w:color="000000" w:sz="4" w:space="0"/>
              <w:left w:val="nil"/>
              <w:bottom w:val="single" w:color="000000" w:sz="4" w:space="0"/>
              <w:right w:val="single" w:color="000000" w:sz="4" w:space="0"/>
            </w:tcBorders>
            <w:vAlign w:val="center"/>
          </w:tcPr>
          <w:p>
            <w:pPr>
              <w:widowControl/>
              <w:jc w:val="both"/>
              <w:textAlignment w:val="center"/>
              <w:rPr>
                <w:rFonts w:hint="eastAsia" w:ascii="宋体" w:hAnsi="宋体"/>
                <w:kern w:val="0"/>
                <w:sz w:val="20"/>
                <w:szCs w:val="20"/>
              </w:rPr>
            </w:pPr>
            <w:r>
              <w:rPr>
                <w:rFonts w:hint="eastAsia" w:ascii="宋体" w:hAnsi="宋体"/>
                <w:sz w:val="20"/>
                <w:szCs w:val="20"/>
                <w:lang w:eastAsia="zh-CN"/>
              </w:rPr>
              <w:t>自动排水泵车、大流量移动泵站、防汛抢险打桩机、装配式围井、橡皮艇、冲锋舟、水上救援机器人、救生抛投器、管涌探测仪、无人机、柴油发电机组、防汛物资式子堤、钢筋笼、</w:t>
            </w:r>
            <w:r>
              <w:rPr>
                <w:rFonts w:hint="eastAsia" w:ascii="宋体" w:hAnsi="宋体"/>
                <w:sz w:val="20"/>
                <w:szCs w:val="20"/>
              </w:rPr>
              <w:t>无纺布、</w:t>
            </w:r>
            <w:r>
              <w:rPr>
                <w:rFonts w:hint="eastAsia" w:ascii="宋体" w:hAnsi="宋体"/>
                <w:sz w:val="20"/>
                <w:szCs w:val="20"/>
                <w:lang w:eastAsia="zh-CN"/>
              </w:rPr>
              <w:t>防汛应急工具包、照明灯具、</w:t>
            </w:r>
            <w:r>
              <w:rPr>
                <w:rFonts w:hint="eastAsia" w:ascii="宋体" w:hAnsi="宋体"/>
                <w:sz w:val="20"/>
                <w:szCs w:val="20"/>
              </w:rPr>
              <w:t>救生衣、麻袋、防汛帐篷、救生圈、照明灯具、</w:t>
            </w:r>
            <w:r>
              <w:rPr>
                <w:rFonts w:hint="eastAsia" w:ascii="宋体" w:hAnsi="宋体"/>
                <w:bCs/>
                <w:sz w:val="20"/>
                <w:szCs w:val="20"/>
              </w:rPr>
              <w:t>编织布</w:t>
            </w:r>
            <w:r>
              <w:rPr>
                <w:rFonts w:hint="eastAsia" w:ascii="宋体" w:hAnsi="宋体"/>
                <w:bCs/>
                <w:sz w:val="20"/>
                <w:szCs w:val="20"/>
                <w:lang w:eastAsia="zh-CN"/>
              </w:rPr>
              <w:t>等</w:t>
            </w:r>
          </w:p>
        </w:tc>
        <w:tc>
          <w:tcPr>
            <w:tcW w:w="110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kern w:val="0"/>
                <w:sz w:val="20"/>
                <w:szCs w:val="20"/>
              </w:rPr>
            </w:pPr>
            <w:r>
              <w:rPr>
                <w:rFonts w:hint="eastAsia" w:ascii="宋体" w:hAnsi="宋体"/>
                <w:kern w:val="0"/>
                <w:sz w:val="20"/>
                <w:szCs w:val="20"/>
              </w:rPr>
              <w:t>实物储备</w:t>
            </w:r>
          </w:p>
        </w:tc>
        <w:tc>
          <w:tcPr>
            <w:tcW w:w="545" w:type="dxa"/>
            <w:tcBorders>
              <w:top w:val="single" w:color="000000" w:sz="4" w:space="0"/>
              <w:left w:val="nil"/>
              <w:bottom w:val="single" w:color="000000" w:sz="4" w:space="0"/>
              <w:right w:val="single" w:color="000000" w:sz="4" w:space="0"/>
            </w:tcBorders>
            <w:vAlign w:val="center"/>
          </w:tcPr>
          <w:p>
            <w:pPr>
              <w:rPr>
                <w:rFonts w:ascii="宋体" w:hAnsi="宋体"/>
                <w:sz w:val="20"/>
                <w:szCs w:val="20"/>
              </w:rPr>
            </w:pPr>
          </w:p>
        </w:tc>
      </w:tr>
      <w:tr>
        <w:tblPrEx>
          <w:tblCellMar>
            <w:top w:w="0" w:type="dxa"/>
            <w:left w:w="108" w:type="dxa"/>
            <w:bottom w:w="0" w:type="dxa"/>
            <w:right w:w="108" w:type="dxa"/>
          </w:tblCellMar>
        </w:tblPrEx>
        <w:trPr>
          <w:trHeight w:val="578" w:hRule="atLeast"/>
          <w:jc w:val="center"/>
        </w:trPr>
        <w:tc>
          <w:tcPr>
            <w:tcW w:w="675"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kern w:val="0"/>
                <w:sz w:val="20"/>
                <w:szCs w:val="20"/>
              </w:rPr>
            </w:pPr>
          </w:p>
        </w:tc>
        <w:tc>
          <w:tcPr>
            <w:tcW w:w="998" w:type="dxa"/>
            <w:vMerge w:val="continue"/>
            <w:tcBorders>
              <w:left w:val="nil"/>
              <w:bottom w:val="single" w:color="000000" w:sz="4" w:space="0"/>
              <w:right w:val="single" w:color="000000" w:sz="4" w:space="0"/>
            </w:tcBorders>
            <w:vAlign w:val="center"/>
          </w:tcPr>
          <w:p>
            <w:pPr>
              <w:widowControl/>
              <w:jc w:val="center"/>
              <w:textAlignment w:val="center"/>
              <w:rPr>
                <w:rFonts w:hint="eastAsia" w:ascii="宋体" w:hAnsi="宋体"/>
                <w:kern w:val="0"/>
                <w:sz w:val="20"/>
                <w:szCs w:val="20"/>
              </w:rPr>
            </w:pPr>
          </w:p>
        </w:tc>
        <w:tc>
          <w:tcPr>
            <w:tcW w:w="6678" w:type="dxa"/>
            <w:tcBorders>
              <w:top w:val="single" w:color="000000" w:sz="4" w:space="0"/>
              <w:left w:val="nil"/>
              <w:bottom w:val="single" w:color="000000" w:sz="4" w:space="0"/>
              <w:right w:val="single" w:color="000000" w:sz="4" w:space="0"/>
            </w:tcBorders>
            <w:vAlign w:val="center"/>
          </w:tcPr>
          <w:p>
            <w:pPr>
              <w:widowControl/>
              <w:jc w:val="both"/>
              <w:textAlignment w:val="center"/>
              <w:rPr>
                <w:rFonts w:hint="eastAsia" w:ascii="宋体" w:hAnsi="宋体"/>
                <w:kern w:val="0"/>
                <w:sz w:val="20"/>
                <w:szCs w:val="20"/>
              </w:rPr>
            </w:pPr>
            <w:r>
              <w:rPr>
                <w:rFonts w:hint="eastAsia" w:ascii="宋体" w:hAnsi="宋体"/>
                <w:sz w:val="20"/>
                <w:szCs w:val="20"/>
                <w:lang w:eastAsia="zh-CN"/>
              </w:rPr>
              <w:t>竹木、砂石料、块石</w:t>
            </w:r>
            <w:r>
              <w:rPr>
                <w:rFonts w:hint="eastAsia" w:ascii="宋体" w:hAnsi="宋体"/>
                <w:kern w:val="0"/>
                <w:sz w:val="20"/>
                <w:szCs w:val="20"/>
              </w:rPr>
              <w:t>等消耗类应急物资</w:t>
            </w:r>
          </w:p>
        </w:tc>
        <w:tc>
          <w:tcPr>
            <w:tcW w:w="110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kern w:val="0"/>
                <w:sz w:val="20"/>
                <w:szCs w:val="20"/>
              </w:rPr>
            </w:pPr>
            <w:r>
              <w:rPr>
                <w:rFonts w:hint="eastAsia" w:ascii="宋体" w:hAnsi="宋体"/>
                <w:kern w:val="0"/>
                <w:sz w:val="20"/>
                <w:szCs w:val="20"/>
              </w:rPr>
              <w:t>协议储备</w:t>
            </w:r>
          </w:p>
        </w:tc>
        <w:tc>
          <w:tcPr>
            <w:tcW w:w="545" w:type="dxa"/>
            <w:tcBorders>
              <w:top w:val="single" w:color="000000" w:sz="4" w:space="0"/>
              <w:left w:val="nil"/>
              <w:bottom w:val="single" w:color="000000" w:sz="4" w:space="0"/>
              <w:right w:val="single" w:color="000000" w:sz="4" w:space="0"/>
            </w:tcBorders>
            <w:vAlign w:val="center"/>
          </w:tcPr>
          <w:p>
            <w:pPr>
              <w:rPr>
                <w:rFonts w:ascii="宋体" w:hAnsi="宋体"/>
                <w:sz w:val="20"/>
                <w:szCs w:val="20"/>
              </w:rPr>
            </w:pPr>
          </w:p>
        </w:tc>
      </w:tr>
      <w:tr>
        <w:tblPrEx>
          <w:tblCellMar>
            <w:top w:w="0" w:type="dxa"/>
            <w:left w:w="108" w:type="dxa"/>
            <w:bottom w:w="0" w:type="dxa"/>
            <w:right w:w="108" w:type="dxa"/>
          </w:tblCellMar>
        </w:tblPrEx>
        <w:trPr>
          <w:trHeight w:val="1358" w:hRule="atLeast"/>
          <w:jc w:val="center"/>
        </w:trPr>
        <w:tc>
          <w:tcPr>
            <w:tcW w:w="6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20"/>
                <w:szCs w:val="20"/>
              </w:rPr>
            </w:pPr>
            <w:r>
              <w:rPr>
                <w:rFonts w:hint="eastAsia" w:ascii="宋体" w:hAnsi="宋体"/>
                <w:kern w:val="0"/>
                <w:sz w:val="20"/>
                <w:szCs w:val="20"/>
              </w:rPr>
              <w:t>4</w:t>
            </w:r>
          </w:p>
        </w:tc>
        <w:tc>
          <w:tcPr>
            <w:tcW w:w="99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kern w:val="0"/>
                <w:sz w:val="20"/>
                <w:szCs w:val="20"/>
              </w:rPr>
            </w:pPr>
            <w:r>
              <w:rPr>
                <w:rFonts w:hint="eastAsia" w:ascii="宋体" w:hAnsi="宋体"/>
                <w:kern w:val="0"/>
                <w:sz w:val="20"/>
                <w:szCs w:val="20"/>
              </w:rPr>
              <w:t>生活类救灾物资储备库</w:t>
            </w:r>
          </w:p>
        </w:tc>
        <w:tc>
          <w:tcPr>
            <w:tcW w:w="6678" w:type="dxa"/>
            <w:tcBorders>
              <w:top w:val="single" w:color="auto" w:sz="4" w:space="0"/>
              <w:left w:val="single" w:color="auto" w:sz="4" w:space="0"/>
              <w:bottom w:val="single" w:color="auto" w:sz="4" w:space="0"/>
              <w:right w:val="single" w:color="auto" w:sz="4" w:space="0"/>
            </w:tcBorders>
            <w:vAlign w:val="center"/>
          </w:tcPr>
          <w:p>
            <w:pPr>
              <w:widowControl/>
              <w:jc w:val="both"/>
              <w:textAlignment w:val="center"/>
              <w:rPr>
                <w:rFonts w:hint="eastAsia" w:ascii="宋体" w:hAnsi="宋体" w:eastAsiaTheme="minorEastAsia"/>
                <w:kern w:val="0"/>
                <w:sz w:val="20"/>
                <w:szCs w:val="20"/>
                <w:lang w:eastAsia="zh-CN"/>
              </w:rPr>
            </w:pPr>
            <w:r>
              <w:rPr>
                <w:rFonts w:hint="eastAsia" w:ascii="宋体" w:hAnsi="宋体"/>
                <w:color w:val="FF0000"/>
                <w:kern w:val="0"/>
                <w:sz w:val="20"/>
                <w:szCs w:val="20"/>
              </w:rPr>
              <w:t>帐篷</w:t>
            </w:r>
            <w:r>
              <w:rPr>
                <w:rFonts w:hint="eastAsia" w:ascii="宋体" w:hAnsi="宋体"/>
                <w:color w:val="FF0000"/>
                <w:kern w:val="0"/>
                <w:sz w:val="20"/>
                <w:szCs w:val="20"/>
                <w:lang w:eastAsia="zh-CN"/>
              </w:rPr>
              <w:t>、</w:t>
            </w:r>
            <w:r>
              <w:rPr>
                <w:rFonts w:hint="eastAsia" w:ascii="宋体" w:hAnsi="宋体"/>
                <w:color w:val="FF0000"/>
                <w:kern w:val="0"/>
                <w:sz w:val="20"/>
                <w:szCs w:val="20"/>
              </w:rPr>
              <w:t>棉被、棉被褥、棉大衣、毛巾被、空调被、</w:t>
            </w:r>
            <w:r>
              <w:rPr>
                <w:rFonts w:hint="eastAsia" w:ascii="宋体" w:hAnsi="宋体"/>
                <w:color w:val="FF0000"/>
                <w:kern w:val="0"/>
                <w:sz w:val="20"/>
                <w:szCs w:val="20"/>
                <w:lang w:eastAsia="zh-CN"/>
              </w:rPr>
              <w:t>毛毯、</w:t>
            </w:r>
            <w:r>
              <w:rPr>
                <w:rFonts w:hint="eastAsia" w:ascii="宋体" w:hAnsi="宋体"/>
                <w:color w:val="FF0000"/>
                <w:kern w:val="0"/>
                <w:sz w:val="20"/>
                <w:szCs w:val="20"/>
              </w:rPr>
              <w:t>折叠床、绒衣裤、</w:t>
            </w:r>
            <w:r>
              <w:rPr>
                <w:rFonts w:hint="eastAsia" w:ascii="宋体" w:hAnsi="宋体"/>
                <w:color w:val="FF0000"/>
                <w:kern w:val="0"/>
                <w:sz w:val="20"/>
                <w:szCs w:val="20"/>
                <w:lang w:eastAsia="zh-CN"/>
              </w:rPr>
              <w:t>枕头</w:t>
            </w:r>
            <w:r>
              <w:rPr>
                <w:rFonts w:hint="eastAsia" w:ascii="宋体" w:hAnsi="宋体"/>
                <w:color w:val="FF0000"/>
                <w:kern w:val="0"/>
                <w:sz w:val="20"/>
                <w:szCs w:val="20"/>
              </w:rPr>
              <w:t>、家庭应急包、</w:t>
            </w:r>
            <w:r>
              <w:rPr>
                <w:rFonts w:hint="eastAsia" w:ascii="宋体" w:hAnsi="宋体"/>
                <w:color w:val="FF0000"/>
                <w:kern w:val="0"/>
                <w:sz w:val="20"/>
                <w:szCs w:val="20"/>
                <w:lang w:eastAsia="zh-CN"/>
              </w:rPr>
              <w:t>睡袋、照明设施、净水设备</w:t>
            </w:r>
          </w:p>
        </w:tc>
        <w:tc>
          <w:tcPr>
            <w:tcW w:w="1104"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宋体" w:hAnsi="宋体"/>
                <w:kern w:val="0"/>
                <w:sz w:val="20"/>
                <w:szCs w:val="20"/>
              </w:rPr>
            </w:pPr>
            <w:r>
              <w:rPr>
                <w:rFonts w:hint="eastAsia" w:ascii="宋体" w:hAnsi="宋体"/>
                <w:kern w:val="0"/>
                <w:sz w:val="20"/>
                <w:szCs w:val="20"/>
              </w:rPr>
              <w:t>实物储备</w:t>
            </w:r>
          </w:p>
        </w:tc>
        <w:tc>
          <w:tcPr>
            <w:tcW w:w="545" w:type="dxa"/>
            <w:tcBorders>
              <w:top w:val="single" w:color="000000" w:sz="4" w:space="0"/>
              <w:left w:val="nil"/>
              <w:bottom w:val="single" w:color="000000" w:sz="4" w:space="0"/>
              <w:right w:val="single" w:color="000000" w:sz="4" w:space="0"/>
            </w:tcBorders>
            <w:vAlign w:val="center"/>
          </w:tcPr>
          <w:p>
            <w:pPr>
              <w:rPr>
                <w:rFonts w:ascii="宋体" w:hAnsi="宋体"/>
                <w:sz w:val="20"/>
                <w:szCs w:val="20"/>
              </w:rPr>
            </w:pPr>
          </w:p>
        </w:tc>
      </w:tr>
      <w:tr>
        <w:tblPrEx>
          <w:tblCellMar>
            <w:top w:w="0" w:type="dxa"/>
            <w:left w:w="108" w:type="dxa"/>
            <w:bottom w:w="0" w:type="dxa"/>
            <w:right w:w="108" w:type="dxa"/>
          </w:tblCellMar>
        </w:tblPrEx>
        <w:trPr>
          <w:trHeight w:val="1285"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99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kern w:val="0"/>
                <w:sz w:val="20"/>
                <w:szCs w:val="20"/>
              </w:rPr>
            </w:pPr>
          </w:p>
        </w:tc>
        <w:tc>
          <w:tcPr>
            <w:tcW w:w="6678" w:type="dxa"/>
            <w:tcBorders>
              <w:top w:val="single" w:color="auto" w:sz="4" w:space="0"/>
              <w:left w:val="single" w:color="auto" w:sz="4" w:space="0"/>
              <w:bottom w:val="single" w:color="auto" w:sz="4" w:space="0"/>
              <w:right w:val="single" w:color="auto" w:sz="4" w:space="0"/>
            </w:tcBorders>
            <w:vAlign w:val="center"/>
          </w:tcPr>
          <w:p>
            <w:pPr>
              <w:widowControl/>
              <w:jc w:val="both"/>
              <w:textAlignment w:val="center"/>
              <w:rPr>
                <w:rFonts w:hint="eastAsia" w:ascii="宋体" w:hAnsi="宋体"/>
                <w:kern w:val="0"/>
                <w:sz w:val="20"/>
                <w:szCs w:val="20"/>
              </w:rPr>
            </w:pPr>
            <w:r>
              <w:rPr>
                <w:rFonts w:hint="eastAsia" w:ascii="宋体" w:hAnsi="宋体"/>
                <w:color w:val="FF0000"/>
                <w:kern w:val="0"/>
                <w:sz w:val="20"/>
                <w:szCs w:val="20"/>
              </w:rPr>
              <w:t>矿泉水、方便面、蔬菜、生猪、冻肉、食用盐、</w:t>
            </w:r>
            <w:r>
              <w:rPr>
                <w:rFonts w:hint="eastAsia" w:ascii="宋体" w:hAnsi="宋体"/>
                <w:color w:val="FF0000"/>
                <w:kern w:val="0"/>
                <w:sz w:val="20"/>
                <w:szCs w:val="20"/>
                <w:lang w:eastAsia="zh-CN"/>
              </w:rPr>
              <w:t>食糖、</w:t>
            </w:r>
            <w:r>
              <w:rPr>
                <w:rFonts w:hint="eastAsia" w:ascii="宋体" w:hAnsi="宋体"/>
                <w:color w:val="FF0000"/>
                <w:kern w:val="0"/>
                <w:sz w:val="20"/>
                <w:szCs w:val="20"/>
              </w:rPr>
              <w:t>大米、小麦粉、</w:t>
            </w:r>
            <w:r>
              <w:rPr>
                <w:rFonts w:hint="eastAsia" w:ascii="宋体" w:hAnsi="宋体"/>
                <w:color w:val="FF0000"/>
                <w:kern w:val="0"/>
                <w:sz w:val="20"/>
                <w:szCs w:val="20"/>
                <w:lang w:eastAsia="zh-CN"/>
              </w:rPr>
              <w:t>食用油</w:t>
            </w:r>
          </w:p>
        </w:tc>
        <w:tc>
          <w:tcPr>
            <w:tcW w:w="1104"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宋体" w:hAnsi="宋体"/>
                <w:kern w:val="0"/>
                <w:sz w:val="20"/>
                <w:szCs w:val="20"/>
              </w:rPr>
            </w:pPr>
            <w:r>
              <w:rPr>
                <w:rFonts w:hint="eastAsia" w:ascii="宋体" w:hAnsi="宋体"/>
                <w:kern w:val="0"/>
                <w:sz w:val="20"/>
                <w:szCs w:val="20"/>
              </w:rPr>
              <w:t>协议储备</w:t>
            </w:r>
          </w:p>
        </w:tc>
        <w:tc>
          <w:tcPr>
            <w:tcW w:w="545" w:type="dxa"/>
            <w:tcBorders>
              <w:top w:val="single" w:color="000000" w:sz="4" w:space="0"/>
              <w:left w:val="nil"/>
              <w:bottom w:val="single" w:color="000000" w:sz="4" w:space="0"/>
              <w:right w:val="single" w:color="000000" w:sz="4" w:space="0"/>
            </w:tcBorders>
            <w:vAlign w:val="center"/>
          </w:tcPr>
          <w:p>
            <w:pPr>
              <w:rPr>
                <w:rFonts w:ascii="宋体" w:hAnsi="宋体"/>
                <w:sz w:val="20"/>
                <w:szCs w:val="20"/>
              </w:rPr>
            </w:pPr>
          </w:p>
        </w:tc>
      </w:tr>
    </w:tbl>
    <w:p>
      <w:pPr>
        <w:autoSpaceDE w:val="0"/>
        <w:rPr>
          <w:rFonts w:hint="eastAsia" w:ascii="仿宋_GB2312" w:eastAsia="仿宋_GB2312"/>
          <w:sz w:val="32"/>
          <w:szCs w:val="32"/>
        </w:rPr>
      </w:pPr>
      <w:r>
        <w:rPr>
          <w:rFonts w:hint="eastAsia" w:ascii="仿宋_GB2312" w:eastAsia="仿宋_GB2312"/>
          <w:sz w:val="32"/>
          <w:szCs w:val="32"/>
        </w:rPr>
        <w:t xml:space="preserve"> </w:t>
      </w:r>
    </w:p>
    <w:p>
      <w:pPr>
        <w:rPr>
          <w:rFonts w:hint="eastAsia" w:ascii="仿宋_GB2312" w:eastAsia="仿宋_GB2312"/>
          <w:sz w:val="32"/>
          <w:szCs w:val="32"/>
        </w:rPr>
      </w:pPr>
    </w:p>
    <w:p>
      <w:pPr>
        <w:spacing w:line="580" w:lineRule="exact"/>
        <w:rPr>
          <w:rFonts w:hint="eastAsia" w:ascii="仿宋_GB2312"/>
          <w:sz w:val="32"/>
          <w:szCs w:val="32"/>
        </w:rPr>
      </w:pPr>
    </w:p>
    <w:p>
      <w:pPr>
        <w:spacing w:line="580" w:lineRule="exact"/>
        <w:rPr>
          <w:rFonts w:hint="eastAsia" w:ascii="仿宋_GB2312"/>
          <w:sz w:val="32"/>
          <w:szCs w:val="32"/>
        </w:rPr>
      </w:pPr>
    </w:p>
    <w:p>
      <w:pPr>
        <w:pStyle w:val="2"/>
        <w:rPr>
          <w:rFonts w:hint="eastAsia"/>
        </w:rPr>
      </w:pPr>
    </w:p>
    <w:p>
      <w:pPr>
        <w:autoSpaceDE w:val="0"/>
        <w:rPr>
          <w:rFonts w:hint="eastAsia" w:ascii="黑体" w:hAnsi="黑体" w:eastAsia="黑体"/>
          <w:sz w:val="32"/>
          <w:szCs w:val="32"/>
        </w:rPr>
      </w:pPr>
    </w:p>
    <w:p>
      <w:pPr>
        <w:autoSpaceDE w:val="0"/>
        <w:rPr>
          <w:rFonts w:hint="eastAsia" w:ascii="仿宋_GB2312" w:eastAsia="仿宋_GB2312"/>
          <w:sz w:val="32"/>
          <w:szCs w:val="32"/>
        </w:rPr>
      </w:pPr>
      <w:r>
        <w:rPr>
          <w:rFonts w:hint="eastAsia" w:ascii="黑体" w:hAnsi="黑体" w:eastAsia="黑体"/>
          <w:sz w:val="32"/>
          <w:szCs w:val="32"/>
        </w:rPr>
        <w:t xml:space="preserve"> 附件</w:t>
      </w:r>
      <w:r>
        <w:rPr>
          <w:rFonts w:hint="eastAsia" w:ascii="仿宋_GB2312" w:eastAsia="仿宋_GB2312"/>
          <w:sz w:val="32"/>
          <w:szCs w:val="32"/>
          <w:lang w:val="en-US" w:eastAsia="zh-CN"/>
        </w:rPr>
        <w:t>3</w:t>
      </w:r>
    </w:p>
    <w:p>
      <w:pPr>
        <w:autoSpaceDE w:val="0"/>
        <w:jc w:val="center"/>
        <w:rPr>
          <w:rFonts w:hint="eastAsia" w:ascii="仿宋_GB2312" w:eastAsia="仿宋_GB2312"/>
          <w:sz w:val="36"/>
          <w:szCs w:val="36"/>
        </w:rPr>
      </w:pPr>
      <w:r>
        <w:rPr>
          <w:rFonts w:hint="eastAsia" w:ascii="方正小标宋简体" w:eastAsia="方正小标宋简体"/>
          <w:kern w:val="0"/>
          <w:sz w:val="36"/>
          <w:szCs w:val="36"/>
        </w:rPr>
        <w:t>“十四五”时期</w:t>
      </w:r>
      <w:r>
        <w:rPr>
          <w:rFonts w:hint="eastAsia" w:ascii="方正小标宋简体" w:eastAsia="方正小标宋简体"/>
          <w:kern w:val="0"/>
          <w:sz w:val="36"/>
          <w:szCs w:val="36"/>
          <w:lang w:val="en-US" w:eastAsia="zh-CN"/>
        </w:rPr>
        <w:t>乡镇</w:t>
      </w:r>
      <w:r>
        <w:rPr>
          <w:rFonts w:hint="eastAsia" w:ascii="方正小标宋简体" w:eastAsia="方正小标宋简体"/>
          <w:kern w:val="0"/>
          <w:sz w:val="36"/>
          <w:szCs w:val="36"/>
          <w:lang w:eastAsia="zh-CN"/>
        </w:rPr>
        <w:t>重点防汛</w:t>
      </w:r>
      <w:r>
        <w:rPr>
          <w:rFonts w:hint="eastAsia" w:ascii="方正小标宋简体" w:eastAsia="方正小标宋简体"/>
          <w:kern w:val="0"/>
          <w:sz w:val="36"/>
          <w:szCs w:val="36"/>
        </w:rPr>
        <w:t>物资储备品种</w:t>
      </w:r>
      <w:r>
        <w:rPr>
          <w:rFonts w:hint="eastAsia" w:ascii="方正小标宋简体" w:eastAsia="方正小标宋简体"/>
          <w:kern w:val="0"/>
          <w:sz w:val="36"/>
          <w:szCs w:val="36"/>
          <w:lang w:eastAsia="zh-CN"/>
        </w:rPr>
        <w:t>清单</w:t>
      </w:r>
    </w:p>
    <w:p>
      <w:pPr>
        <w:spacing w:line="580" w:lineRule="exact"/>
        <w:rPr>
          <w:rFonts w:hint="eastAsia" w:ascii="仿宋_GB2312"/>
          <w:sz w:val="32"/>
          <w:szCs w:val="32"/>
        </w:rPr>
      </w:pPr>
    </w:p>
    <w:p>
      <w:pPr>
        <w:pStyle w:val="2"/>
        <w:rPr>
          <w:rFonts w:hint="eastAsia"/>
        </w:rPr>
      </w:pPr>
    </w:p>
    <w:tbl>
      <w:tblPr>
        <w:tblStyle w:val="7"/>
        <w:tblW w:w="87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41"/>
        <w:gridCol w:w="1176"/>
        <w:gridCol w:w="1176"/>
        <w:gridCol w:w="2274"/>
        <w:gridCol w:w="1489"/>
        <w:gridCol w:w="17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6" w:hRule="atLeast"/>
        </w:trPr>
        <w:tc>
          <w:tcPr>
            <w:tcW w:w="8760" w:type="dxa"/>
            <w:gridSpan w:val="6"/>
            <w:tcBorders>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山区乡镇防汛物资储备清单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76"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序号</w:t>
            </w:r>
          </w:p>
        </w:tc>
        <w:tc>
          <w:tcPr>
            <w:tcW w:w="23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物资分类</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品种</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标准配置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76"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17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应急抢险物资装备</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17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物料</w:t>
            </w:r>
          </w:p>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块石、砂石料</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m3</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200-500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76"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1176"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176"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袋类</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条</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2000-5000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76"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1176"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176"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土工布</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m2</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500-1000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76"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1176"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176"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防水彩条布</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m2</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500-1000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76"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w:t>
            </w:r>
          </w:p>
        </w:tc>
        <w:tc>
          <w:tcPr>
            <w:tcW w:w="1176"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17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装备</w:t>
            </w:r>
          </w:p>
          <w:p>
            <w:pPr>
              <w:jc w:val="center"/>
              <w:rPr>
                <w:rFonts w:hint="eastAsia" w:ascii="仿宋" w:hAnsi="仿宋" w:eastAsia="仿宋" w:cs="仿宋"/>
                <w:i w:val="0"/>
                <w:color w:val="000000"/>
                <w:sz w:val="24"/>
                <w:szCs w:val="24"/>
                <w:u w:val="none"/>
              </w:rPr>
            </w:pP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铁锹</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把</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20-50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76"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6</w:t>
            </w:r>
          </w:p>
        </w:tc>
        <w:tc>
          <w:tcPr>
            <w:tcW w:w="1176"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176"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普通投光灯</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台</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76"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7</w:t>
            </w:r>
          </w:p>
        </w:tc>
        <w:tc>
          <w:tcPr>
            <w:tcW w:w="1176"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176"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移动式升降照明灯组</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组</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76"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8</w:t>
            </w:r>
          </w:p>
        </w:tc>
        <w:tc>
          <w:tcPr>
            <w:tcW w:w="1176"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176"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应急发电机</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台</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每个村储备1台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76"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9</w:t>
            </w:r>
          </w:p>
        </w:tc>
        <w:tc>
          <w:tcPr>
            <w:tcW w:w="1176"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176"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排水泵</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台</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每个村储备1台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76"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10</w:t>
            </w:r>
          </w:p>
        </w:tc>
        <w:tc>
          <w:tcPr>
            <w:tcW w:w="23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通讯预警</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电动报警器</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只</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6"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11</w:t>
            </w:r>
          </w:p>
        </w:tc>
        <w:tc>
          <w:tcPr>
            <w:tcW w:w="23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卫星电话</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部</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6"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12</w:t>
            </w:r>
          </w:p>
        </w:tc>
        <w:tc>
          <w:tcPr>
            <w:tcW w:w="2352"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救护救援装备</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救生衣</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件</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6"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13</w:t>
            </w:r>
          </w:p>
        </w:tc>
        <w:tc>
          <w:tcPr>
            <w:tcW w:w="2352" w:type="dxa"/>
            <w:gridSpan w:val="2"/>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救生圈</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只</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6"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14</w:t>
            </w:r>
          </w:p>
        </w:tc>
        <w:tc>
          <w:tcPr>
            <w:tcW w:w="2352" w:type="dxa"/>
            <w:gridSpan w:val="2"/>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抛绳（普通）</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根</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6"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15</w:t>
            </w:r>
          </w:p>
        </w:tc>
        <w:tc>
          <w:tcPr>
            <w:tcW w:w="2352" w:type="dxa"/>
            <w:gridSpan w:val="2"/>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便携式工作灯</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只</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6"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16</w:t>
            </w:r>
          </w:p>
        </w:tc>
        <w:tc>
          <w:tcPr>
            <w:tcW w:w="2352" w:type="dxa"/>
            <w:gridSpan w:val="2"/>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防汛应急包</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个</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30-100</w:t>
            </w:r>
          </w:p>
        </w:tc>
      </w:tr>
    </w:tbl>
    <w:p>
      <w:pPr>
        <w:spacing w:line="580" w:lineRule="exact"/>
        <w:rPr>
          <w:rFonts w:hint="eastAsia" w:ascii="仿宋_GB2312"/>
          <w:sz w:val="32"/>
          <w:szCs w:val="32"/>
        </w:rPr>
      </w:pPr>
    </w:p>
    <w:p>
      <w:pPr>
        <w:spacing w:line="580" w:lineRule="exact"/>
        <w:rPr>
          <w:rFonts w:hint="eastAsia" w:ascii="仿宋_GB2312"/>
          <w:sz w:val="32"/>
          <w:szCs w:val="32"/>
        </w:rPr>
      </w:pPr>
    </w:p>
    <w:p>
      <w:pPr>
        <w:spacing w:line="580" w:lineRule="exact"/>
        <w:rPr>
          <w:rFonts w:hint="eastAsia" w:ascii="仿宋_GB2312"/>
          <w:sz w:val="32"/>
          <w:szCs w:val="32"/>
        </w:rPr>
      </w:pPr>
    </w:p>
    <w:p>
      <w:pPr>
        <w:spacing w:line="580" w:lineRule="exact"/>
        <w:rPr>
          <w:rFonts w:hint="eastAsia" w:ascii="仿宋_GB2312"/>
          <w:sz w:val="32"/>
          <w:szCs w:val="32"/>
        </w:rPr>
      </w:pPr>
    </w:p>
    <w:p>
      <w:pPr>
        <w:spacing w:line="580" w:lineRule="exact"/>
        <w:rPr>
          <w:rFonts w:hint="eastAsia" w:ascii="仿宋_GB2312"/>
          <w:sz w:val="32"/>
          <w:szCs w:val="32"/>
        </w:rPr>
      </w:pPr>
    </w:p>
    <w:p>
      <w:pPr>
        <w:spacing w:line="580" w:lineRule="exact"/>
        <w:rPr>
          <w:rFonts w:hint="eastAsia" w:ascii="仿宋_GB2312"/>
          <w:sz w:val="32"/>
          <w:szCs w:val="32"/>
        </w:rPr>
      </w:pPr>
    </w:p>
    <w:p>
      <w:pPr>
        <w:spacing w:line="580" w:lineRule="exact"/>
        <w:rPr>
          <w:rFonts w:hint="eastAsia" w:ascii="仿宋_GB2312"/>
          <w:sz w:val="32"/>
          <w:szCs w:val="32"/>
        </w:rPr>
      </w:pPr>
    </w:p>
    <w:p>
      <w:pPr>
        <w:pStyle w:val="2"/>
        <w:rPr>
          <w:rFonts w:hint="eastAsia" w:ascii="仿宋_GB2312"/>
          <w:sz w:val="32"/>
          <w:szCs w:val="32"/>
        </w:rPr>
      </w:pPr>
    </w:p>
    <w:p>
      <w:pPr>
        <w:pStyle w:val="2"/>
        <w:ind w:left="0" w:leftChars="0" w:firstLine="0" w:firstLineChars="0"/>
        <w:rPr>
          <w:rFonts w:hint="eastAsia"/>
        </w:rPr>
      </w:pPr>
    </w:p>
    <w:p>
      <w:pPr>
        <w:spacing w:line="580" w:lineRule="exact"/>
        <w:rPr>
          <w:rFonts w:hint="eastAsia" w:ascii="仿宋_GB2312"/>
          <w:sz w:val="32"/>
          <w:szCs w:val="32"/>
        </w:rPr>
      </w:pPr>
    </w:p>
    <w:tbl>
      <w:tblPr>
        <w:tblStyle w:val="7"/>
        <w:tblW w:w="90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73"/>
        <w:gridCol w:w="1350"/>
        <w:gridCol w:w="1351"/>
        <w:gridCol w:w="2244"/>
        <w:gridCol w:w="1229"/>
        <w:gridCol w:w="19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9080" w:type="dxa"/>
            <w:gridSpan w:val="6"/>
            <w:tcBorders>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平原地区乡镇防汛物资储备清单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序号</w:t>
            </w:r>
          </w:p>
        </w:tc>
        <w:tc>
          <w:tcPr>
            <w:tcW w:w="2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物资分类</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品种</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单位</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标准配置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3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应急抢险物资装备</w:t>
            </w:r>
          </w:p>
        </w:tc>
        <w:tc>
          <w:tcPr>
            <w:tcW w:w="13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物料</w:t>
            </w:r>
          </w:p>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p>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块石、砂石料</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m3</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200-500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1350"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袋类</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条</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2000-5000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1350"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土工布</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m2</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500-1000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1350"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防水彩条布</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m2</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500-1000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w:t>
            </w:r>
          </w:p>
        </w:tc>
        <w:tc>
          <w:tcPr>
            <w:tcW w:w="1350"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35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装备</w:t>
            </w:r>
          </w:p>
          <w:p>
            <w:pPr>
              <w:jc w:val="center"/>
              <w:rPr>
                <w:rFonts w:hint="eastAsia" w:ascii="仿宋" w:hAnsi="仿宋" w:eastAsia="仿宋" w:cs="仿宋"/>
                <w:i w:val="0"/>
                <w:color w:val="000000"/>
                <w:kern w:val="2"/>
                <w:sz w:val="24"/>
                <w:szCs w:val="24"/>
                <w:u w:val="none"/>
                <w:lang w:val="en-US" w:eastAsia="zh-CN" w:bidi="ar-SA"/>
              </w:rPr>
            </w:pPr>
          </w:p>
          <w:p>
            <w:pPr>
              <w:jc w:val="center"/>
              <w:rPr>
                <w:rFonts w:hint="eastAsia" w:ascii="仿宋" w:hAnsi="仿宋" w:eastAsia="仿宋" w:cs="仿宋"/>
                <w:i w:val="0"/>
                <w:color w:val="000000"/>
                <w:sz w:val="24"/>
                <w:szCs w:val="24"/>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铁锹</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把</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20-50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6</w:t>
            </w:r>
          </w:p>
        </w:tc>
        <w:tc>
          <w:tcPr>
            <w:tcW w:w="1350"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351"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普通投光灯</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台</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7</w:t>
            </w:r>
          </w:p>
        </w:tc>
        <w:tc>
          <w:tcPr>
            <w:tcW w:w="1350"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351"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移动式升降照明灯组</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组</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8</w:t>
            </w:r>
          </w:p>
        </w:tc>
        <w:tc>
          <w:tcPr>
            <w:tcW w:w="1350"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351"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应急发电机</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台</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每个村储备1台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9</w:t>
            </w:r>
          </w:p>
        </w:tc>
        <w:tc>
          <w:tcPr>
            <w:tcW w:w="135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351"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排水泵</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台</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每个村储备1台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10</w:t>
            </w:r>
          </w:p>
        </w:tc>
        <w:tc>
          <w:tcPr>
            <w:tcW w:w="270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通讯预警</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手提喇叭</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只</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11</w:t>
            </w:r>
          </w:p>
        </w:tc>
        <w:tc>
          <w:tcPr>
            <w:tcW w:w="27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对讲机</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部</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12</w:t>
            </w:r>
          </w:p>
        </w:tc>
        <w:tc>
          <w:tcPr>
            <w:tcW w:w="2701"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救护救援装备</w:t>
            </w: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救生衣</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件</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13</w:t>
            </w:r>
          </w:p>
        </w:tc>
        <w:tc>
          <w:tcPr>
            <w:tcW w:w="2701" w:type="dxa"/>
            <w:gridSpan w:val="2"/>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救生圈</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只</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14</w:t>
            </w:r>
          </w:p>
        </w:tc>
        <w:tc>
          <w:tcPr>
            <w:tcW w:w="2701" w:type="dxa"/>
            <w:gridSpan w:val="2"/>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冲锋舟</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艘</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15</w:t>
            </w:r>
          </w:p>
        </w:tc>
        <w:tc>
          <w:tcPr>
            <w:tcW w:w="2701" w:type="dxa"/>
            <w:gridSpan w:val="2"/>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橡皮艇</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艘</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16</w:t>
            </w:r>
          </w:p>
        </w:tc>
        <w:tc>
          <w:tcPr>
            <w:tcW w:w="2701" w:type="dxa"/>
            <w:gridSpan w:val="2"/>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便携式工作灯</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只</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17</w:t>
            </w:r>
          </w:p>
        </w:tc>
        <w:tc>
          <w:tcPr>
            <w:tcW w:w="2701" w:type="dxa"/>
            <w:gridSpan w:val="2"/>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2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防汛应急包</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个</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30-100</w:t>
            </w:r>
          </w:p>
        </w:tc>
      </w:tr>
    </w:tbl>
    <w:p>
      <w:pPr>
        <w:pStyle w:val="2"/>
        <w:ind w:left="0" w:leftChars="0" w:firstLine="0" w:firstLineChars="0"/>
        <w:rPr>
          <w:rFonts w:hint="eastAsia" w:ascii="仿宋_GB2312"/>
          <w:sz w:val="32"/>
          <w:szCs w:val="32"/>
        </w:rPr>
      </w:pPr>
    </w:p>
    <w:p>
      <w:pPr>
        <w:pStyle w:val="2"/>
        <w:ind w:left="0" w:leftChars="0" w:firstLine="0" w:firstLineChars="0"/>
        <w:rPr>
          <w:rFonts w:hint="eastAsia"/>
        </w:rPr>
      </w:pPr>
    </w:p>
    <w:p>
      <w:pPr>
        <w:rPr>
          <w:rFonts w:hint="eastAsia"/>
        </w:rPr>
      </w:pPr>
    </w:p>
    <w:p>
      <w:pPr>
        <w:rPr>
          <w:rFonts w:hint="eastAsia"/>
        </w:rPr>
      </w:pPr>
    </w:p>
    <w:p>
      <w:pPr>
        <w:spacing w:line="580" w:lineRule="exact"/>
        <w:rPr>
          <w:rFonts w:hint="eastAsia" w:ascii="仿宋_GB2312" w:eastAsia="仿宋_GB2312"/>
          <w:sz w:val="32"/>
          <w:szCs w:val="32"/>
        </w:rPr>
      </w:pPr>
      <w:r>
        <w:rPr>
          <w:rFonts w:hint="eastAsia" w:ascii="仿宋_GB2312" w:eastAsia="仿宋_GB2312"/>
          <w:sz w:val="32"/>
          <w:szCs w:val="32"/>
        </w:rPr>
        <w:t>（信息公开形式：</w:t>
      </w:r>
      <w:bookmarkStart w:id="61" w:name="strDirectReason"/>
      <w:r>
        <w:rPr>
          <w:rFonts w:hint="eastAsia" w:ascii="仿宋_GB2312" w:hAnsi="方正仿宋简体" w:eastAsia="仿宋_GB2312"/>
          <w:sz w:val="28"/>
          <w:szCs w:val="28"/>
        </w:rPr>
        <w:t>主动公开</w:t>
      </w:r>
      <w:bookmarkEnd w:id="61"/>
      <w:r>
        <w:rPr>
          <w:rFonts w:hint="eastAsia"/>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346075</wp:posOffset>
                </wp:positionV>
                <wp:extent cx="5615940" cy="0"/>
                <wp:effectExtent l="0" t="0" r="0" b="0"/>
                <wp:wrapNone/>
                <wp:docPr id="1" name="直线 2"/>
                <wp:cNvGraphicFramePr/>
                <a:graphic xmlns:a="http://schemas.openxmlformats.org/drawingml/2006/main">
                  <a:graphicData uri="http://schemas.microsoft.com/office/word/2010/wordprocessingShape">
                    <wps:wsp>
                      <wps:cNvCnPr/>
                      <wps:spPr>
                        <a:xfrm flipV="1">
                          <a:off x="0" y="0"/>
                          <a:ext cx="5615940" cy="0"/>
                        </a:xfrm>
                        <a:prstGeom prst="line">
                          <a:avLst/>
                        </a:prstGeom>
                        <a:ln w="444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flip:y;margin-left:0pt;margin-top:27.25pt;height:0pt;width:442.2pt;z-index:251661312;mso-width-relative:page;mso-height-relative:page;" filled="f" stroked="t" coordsize="21600,21600" o:gfxdata="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pe&#10;pg/TAAAABgEAAA8AAAAAAAAAAQAgAAAAIgAAAGRycy9kb3ducmV2LnhtbFBLAQIUABQAAAAIAIdO&#10;4kAie/yb7wEAAOUDAAAOAAAAAAAAAAEAIAAAACIBAABkcnMvZTJvRG9jLnhtbFBLBQYAAAAABgAG&#10;AFkBAACDBQAAAAA=&#10;">
                <v:fill on="f" focussize="0,0"/>
                <v:stroke weight="0.35pt" color="#000000" joinstyle="round"/>
                <v:imagedata o:title=""/>
                <o:lock v:ext="edit" aspectratio="f"/>
              </v:line>
            </w:pict>
          </mc:Fallback>
        </mc:AlternateContent>
      </w:r>
      <w:r>
        <w:rPr>
          <w:rFonts w:hint="eastAsia" w:ascii="仿宋_GB2312" w:hAnsi="方正仿宋简体" w:eastAsia="仿宋_GB2312"/>
          <w:sz w:val="28"/>
          <w:szCs w:val="28"/>
        </w:rPr>
        <w:t>）</w:t>
      </w:r>
      <w:r>
        <w:rPr>
          <w:rFonts w:hint="eastAsi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346075</wp:posOffset>
                </wp:positionV>
                <wp:extent cx="5615940" cy="0"/>
                <wp:effectExtent l="0" t="0" r="0" b="0"/>
                <wp:wrapNone/>
                <wp:docPr id="3" name="直线 3"/>
                <wp:cNvGraphicFramePr/>
                <a:graphic xmlns:a="http://schemas.openxmlformats.org/drawingml/2006/main">
                  <a:graphicData uri="http://schemas.microsoft.com/office/word/2010/wordprocessingShape">
                    <wps:wsp>
                      <wps:cNvCnPr/>
                      <wps:spPr>
                        <a:xfrm flipV="1">
                          <a:off x="0" y="0"/>
                          <a:ext cx="5615940" cy="0"/>
                        </a:xfrm>
                        <a:prstGeom prst="line">
                          <a:avLst/>
                        </a:prstGeom>
                        <a:ln w="444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flip:y;margin-left:0pt;margin-top:27.25pt;height:0pt;width:442.2pt;z-index:251659264;mso-width-relative:page;mso-height-relative:page;" filled="f" stroked="t" coordsize="21600,21600" o:gfxdata="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a&#10;XqYP0wAAAAYBAAAPAAAAAAAAAAEAIAAAACIAAABkcnMvZG93bnJldi54bWxQSwECFAAUAAAACACH&#10;TuJAkimVR/ABAADlAwAADgAAAAAAAAABACAAAAAiAQAAZHJzL2Uyb0RvYy54bWxQSwUGAAAAAAYA&#10;BgBZAQAAhAUAAAAA&#10;">
                <v:fill on="f" focussize="0,0"/>
                <v:stroke weight="0.35pt" color="#000000" joinstyle="round"/>
                <v:imagedata o:title=""/>
                <o:lock v:ext="edit" aspectratio="f"/>
              </v:line>
            </w:pict>
          </mc:Fallback>
        </mc:AlternateContent>
      </w:r>
    </w:p>
    <w:p>
      <w:pPr>
        <w:spacing w:line="580" w:lineRule="exact"/>
        <w:rPr>
          <w:rFonts w:eastAsia="仿宋_GB2312"/>
          <w:sz w:val="28"/>
          <w:szCs w:val="28"/>
        </w:rPr>
      </w:pPr>
      <w:r>
        <w:rPr>
          <w:rFonts w:hint="eastAsia" w:ascii="仿宋_GB2312" w:hAnsi="宋体" w:eastAsia="仿宋_GB2312"/>
          <w:color w:val="000000"/>
          <w:sz w:val="28"/>
          <w:szCs w:val="28"/>
          <w:lang w:eastAsia="zh-CN"/>
        </w:rPr>
        <w:t>六安市</w:t>
      </w:r>
      <w:r>
        <w:rPr>
          <w:rFonts w:hint="eastAsia" w:ascii="仿宋_GB2312" w:hAnsi="宋体" w:eastAsia="仿宋_GB2312"/>
          <w:color w:val="000000"/>
          <w:sz w:val="28"/>
          <w:szCs w:val="28"/>
        </w:rPr>
        <w:t>应急管理</w:t>
      </w:r>
      <w:r>
        <w:rPr>
          <w:rFonts w:hint="eastAsia" w:ascii="仿宋_GB2312" w:hAnsi="宋体" w:eastAsia="仿宋_GB2312"/>
          <w:color w:val="000000"/>
          <w:sz w:val="28"/>
          <w:szCs w:val="28"/>
          <w:lang w:eastAsia="zh-CN"/>
        </w:rPr>
        <w:t>局办公室</w:t>
      </w:r>
      <w:r>
        <w:rPr>
          <w:rFonts w:hint="eastAsia" w:ascii="仿宋_GB2312" w:hAnsi="宋体" w:eastAsia="仿宋_GB2312"/>
          <w:color w:val="000000"/>
          <w:sz w:val="28"/>
          <w:szCs w:val="28"/>
        </w:rPr>
        <w:t xml:space="preserve">          </w:t>
      </w:r>
      <w:r>
        <w:rPr>
          <w:rFonts w:eastAsia="仿宋_GB2312"/>
          <w:color w:val="000000"/>
          <w:sz w:val="28"/>
          <w:szCs w:val="28"/>
        </w:rPr>
        <w:t xml:space="preserve">   </w:t>
      </w:r>
      <w:r>
        <w:rPr>
          <w:rFonts w:hint="eastAsia" w:eastAsia="仿宋_GB2312"/>
          <w:color w:val="000000"/>
          <w:sz w:val="28"/>
          <w:szCs w:val="28"/>
          <w:lang w:val="en-US" w:eastAsia="zh-CN"/>
        </w:rPr>
        <w:t xml:space="preserve">    </w:t>
      </w:r>
      <w:r>
        <w:rPr>
          <w:rFonts w:eastAsia="仿宋_GB2312"/>
          <w:color w:val="000000"/>
          <w:sz w:val="28"/>
          <w:szCs w:val="28"/>
        </w:rPr>
        <w:t xml:space="preserve">  </w:t>
      </w:r>
      <w:bookmarkStart w:id="62" w:name="strSignSendDate"/>
      <w:r>
        <w:rPr>
          <w:rFonts w:eastAsia="仿宋_GB2312"/>
          <w:sz w:val="28"/>
          <w:szCs w:val="28"/>
        </w:rPr>
        <w:t>2022年</w:t>
      </w:r>
      <w:r>
        <w:rPr>
          <w:rFonts w:hint="eastAsia" w:eastAsia="仿宋_GB2312"/>
          <w:sz w:val="28"/>
          <w:szCs w:val="28"/>
          <w:lang w:val="en-US" w:eastAsia="zh-CN"/>
        </w:rPr>
        <w:t>9</w:t>
      </w:r>
      <w:r>
        <w:rPr>
          <w:rFonts w:eastAsia="仿宋_GB2312"/>
          <w:sz w:val="28"/>
          <w:szCs w:val="28"/>
        </w:rPr>
        <w:t>月</w:t>
      </w:r>
      <w:r>
        <w:rPr>
          <w:rFonts w:hint="eastAsia" w:eastAsia="仿宋_GB2312"/>
          <w:sz w:val="28"/>
          <w:szCs w:val="28"/>
          <w:lang w:val="en-US" w:eastAsia="zh-CN"/>
        </w:rPr>
        <w:t>10</w:t>
      </w:r>
      <w:r>
        <w:rPr>
          <w:rFonts w:eastAsia="仿宋_GB2312"/>
          <w:sz w:val="28"/>
          <w:szCs w:val="28"/>
        </w:rPr>
        <w:t>日</w:t>
      </w:r>
      <w:bookmarkEnd w:id="62"/>
      <w:r>
        <w:rPr>
          <w:rFonts w:eastAsia="仿宋_GB2312"/>
          <w:sz w:val="28"/>
          <w:szCs w:val="28"/>
        </w:rPr>
        <w:t>印发</w:t>
      </w:r>
    </w:p>
    <w:p>
      <w:pPr>
        <w:spacing w:line="580" w:lineRule="exact"/>
        <w:jc w:val="right"/>
        <w:rPr>
          <w:rFonts w:hint="eastAsia"/>
          <w:lang w:eastAsia="zh-CN"/>
        </w:rPr>
      </w:pPr>
      <w:r>
        <w:rPr>
          <w:kern w:val="0"/>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12065</wp:posOffset>
                </wp:positionV>
                <wp:extent cx="5615940" cy="0"/>
                <wp:effectExtent l="0" t="0" r="0" b="0"/>
                <wp:wrapNone/>
                <wp:docPr id="2" name="直线 4"/>
                <wp:cNvGraphicFramePr/>
                <a:graphic xmlns:a="http://schemas.openxmlformats.org/drawingml/2006/main">
                  <a:graphicData uri="http://schemas.microsoft.com/office/word/2010/wordprocessingShape">
                    <wps:wsp>
                      <wps:cNvCnPr/>
                      <wps:spPr>
                        <a:xfrm flipV="1">
                          <a:off x="0" y="0"/>
                          <a:ext cx="5615940" cy="0"/>
                        </a:xfrm>
                        <a:prstGeom prst="line">
                          <a:avLst/>
                        </a:prstGeom>
                        <a:ln w="444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flip:y;margin-left:0pt;margin-top:0.95pt;height:0pt;width:442.2pt;z-index:251660288;mso-width-relative:page;mso-height-relative:page;" filled="f" stroked="t" coordsize="21600,21600" o:gfxdata="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yRsKbQ&#10;AAAABAEAAA8AAAAAAAAAAQAgAAAAIgAAAGRycy9kb3ducmV2LnhtbFBLAQIUABQAAAAIAIdO4kB2&#10;YaQd7wEAAOUDAAAOAAAAAAAAAAEAIAAAAB8BAABkcnMvZTJvRG9jLnhtbFBLBQYAAAAABgAGAFkB&#10;AACABQAAAAA=&#10;">
                <v:fill on="f" focussize="0,0"/>
                <v:stroke weight="0.35pt" color="#000000" joinstyle="round"/>
                <v:imagedata o:title=""/>
                <o:lock v:ext="edit" aspectratio="f"/>
              </v:line>
            </w:pict>
          </mc:Fallback>
        </mc:AlternateContent>
      </w:r>
      <w:r>
        <w:rPr>
          <w:rFonts w:eastAsia="仿宋_GB2312"/>
          <w:color w:val="000000"/>
          <w:sz w:val="28"/>
          <w:szCs w:val="28"/>
        </w:rPr>
        <w:t>共印</w:t>
      </w:r>
      <w:r>
        <w:rPr>
          <w:rFonts w:eastAsia="仿宋_GB2312"/>
          <w:sz w:val="28"/>
          <w:szCs w:val="28"/>
        </w:rPr>
        <w:t>1</w:t>
      </w:r>
      <w:r>
        <w:rPr>
          <w:rFonts w:eastAsia="仿宋_GB2312"/>
          <w:color w:val="000000"/>
          <w:sz w:val="28"/>
          <w:szCs w:val="28"/>
        </w:rPr>
        <w:t>份</w:t>
      </w:r>
    </w:p>
    <w:sectPr>
      <w:footerReference r:id="rId5" w:type="first"/>
      <w:footerReference r:id="rId3" w:type="default"/>
      <w:footerReference r:id="rId4" w:type="even"/>
      <w:pgSz w:w="11906" w:h="16838"/>
      <w:pgMar w:top="2098" w:right="1474" w:bottom="1814" w:left="1588" w:header="851" w:footer="1588"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imes">
    <w:altName w:val="Times New Roman"/>
    <w:panose1 w:val="02020603050405020304"/>
    <w:charset w:val="00"/>
    <w:family w:val="roman"/>
    <w:pitch w:val="default"/>
    <w:sig w:usb0="00000000" w:usb1="00000000" w:usb2="00000009" w:usb3="00000000" w:csb0="0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tabs>
        <w:tab w:val="center" w:pos="4153"/>
        <w:tab w:val="right" w:pos="8306"/>
      </w:tabs>
      <w:snapToGrid w:val="0"/>
      <w:ind w:left="210" w:leftChars="100" w:right="210" w:rightChars="100"/>
      <w:jc w:val="left"/>
      <w:rPr>
        <w:rFonts w:eastAsia="仿宋_GB2312"/>
        <w:sz w:val="28"/>
        <w:szCs w:val="28"/>
      </w:rPr>
    </w:pPr>
    <w:r>
      <w:rPr>
        <w:rFonts w:hint="eastAsia" w:eastAsia="仿宋_GB2312"/>
        <w:sz w:val="28"/>
        <w:szCs w:val="28"/>
      </w:rPr>
      <w:t xml:space="preserve">— </w:t>
    </w:r>
    <w:r>
      <w:rPr>
        <w:rFonts w:eastAsia="仿宋_GB2312"/>
        <w:sz w:val="28"/>
        <w:szCs w:val="28"/>
      </w:rPr>
      <w:fldChar w:fldCharType="begin"/>
    </w:r>
    <w:r>
      <w:rPr>
        <w:rFonts w:eastAsia="仿宋_GB2312"/>
        <w:sz w:val="28"/>
        <w:szCs w:val="28"/>
      </w:rPr>
      <w:instrText xml:space="preserve">PAGE  </w:instrText>
    </w:r>
    <w:r>
      <w:rPr>
        <w:rFonts w:eastAsia="仿宋_GB2312"/>
        <w:sz w:val="28"/>
        <w:szCs w:val="28"/>
      </w:rPr>
      <w:fldChar w:fldCharType="separate"/>
    </w:r>
    <w:r>
      <w:rPr>
        <w:rFonts w:eastAsia="仿宋_GB2312"/>
        <w:sz w:val="28"/>
        <w:szCs w:val="28"/>
      </w:rPr>
      <w:t>3</w:t>
    </w:r>
    <w:r>
      <w:rPr>
        <w:rFonts w:eastAsia="仿宋_GB2312"/>
        <w:sz w:val="28"/>
        <w:szCs w:val="28"/>
      </w:rPr>
      <w:fldChar w:fldCharType="end"/>
    </w:r>
    <w:r>
      <w:rPr>
        <w:rFonts w:hint="eastAsia" w:eastAsia="仿宋_GB2312"/>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tabs>
        <w:tab w:val="center" w:pos="4153"/>
        <w:tab w:val="right" w:pos="8306"/>
      </w:tabs>
      <w:snapToGrid w:val="0"/>
      <w:ind w:left="210" w:leftChars="100" w:right="210" w:rightChars="100"/>
      <w:jc w:val="left"/>
      <w:rPr>
        <w:rFonts w:eastAsia="仿宋_GB2312"/>
        <w:sz w:val="28"/>
        <w:szCs w:val="28"/>
      </w:rPr>
    </w:pPr>
    <w:r>
      <w:rPr>
        <w:rFonts w:hint="eastAsia" w:eastAsia="仿宋_GB2312"/>
        <w:sz w:val="28"/>
        <w:szCs w:val="28"/>
      </w:rPr>
      <w:t xml:space="preserve">— </w:t>
    </w:r>
    <w:r>
      <w:rPr>
        <w:rFonts w:eastAsia="仿宋_GB2312"/>
        <w:sz w:val="28"/>
        <w:szCs w:val="28"/>
      </w:rPr>
      <w:fldChar w:fldCharType="begin"/>
    </w:r>
    <w:r>
      <w:rPr>
        <w:rFonts w:eastAsia="仿宋_GB2312"/>
        <w:sz w:val="28"/>
        <w:szCs w:val="28"/>
      </w:rPr>
      <w:instrText xml:space="preserve">PAGE  </w:instrText>
    </w:r>
    <w:r>
      <w:rPr>
        <w:rFonts w:eastAsia="仿宋_GB2312"/>
        <w:sz w:val="28"/>
        <w:szCs w:val="28"/>
      </w:rPr>
      <w:fldChar w:fldCharType="separate"/>
    </w:r>
    <w:r>
      <w:rPr>
        <w:rFonts w:eastAsia="仿宋_GB2312"/>
        <w:sz w:val="28"/>
        <w:szCs w:val="28"/>
      </w:rPr>
      <w:t>2</w:t>
    </w:r>
    <w:r>
      <w:rPr>
        <w:rFonts w:eastAsia="仿宋_GB2312"/>
        <w:sz w:val="28"/>
        <w:szCs w:val="28"/>
      </w:rPr>
      <w:fldChar w:fldCharType="end"/>
    </w:r>
    <w:r>
      <w:rPr>
        <w:rFonts w:hint="eastAsia" w:eastAsia="仿宋_GB2312"/>
        <w:sz w:val="28"/>
        <w:szCs w:val="28"/>
      </w:rPr>
      <w:t xml:space="preserve"> —</w:t>
    </w:r>
  </w:p>
  <w:p>
    <w:pPr>
      <w:pStyle w:val="4"/>
      <w:ind w:right="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tabs>
        <w:tab w:val="center" w:pos="4153"/>
        <w:tab w:val="right" w:pos="8306"/>
      </w:tabs>
      <w:snapToGrid w:val="0"/>
      <w:ind w:left="210" w:leftChars="100" w:right="210" w:rightChars="100"/>
      <w:jc w:val="left"/>
      <w:rPr>
        <w:rFonts w:eastAsia="仿宋_GB2312"/>
        <w:sz w:val="28"/>
        <w:szCs w:val="28"/>
      </w:rPr>
    </w:pPr>
    <w:r>
      <w:rPr>
        <w:rFonts w:hint="eastAsia" w:eastAsia="仿宋_GB2312"/>
        <w:sz w:val="28"/>
        <w:szCs w:val="28"/>
      </w:rPr>
      <w:t xml:space="preserve">— </w:t>
    </w:r>
    <w:r>
      <w:rPr>
        <w:rFonts w:eastAsia="仿宋_GB2312"/>
        <w:sz w:val="28"/>
        <w:szCs w:val="28"/>
      </w:rPr>
      <w:fldChar w:fldCharType="begin"/>
    </w:r>
    <w:r>
      <w:rPr>
        <w:rFonts w:eastAsia="仿宋_GB2312"/>
        <w:sz w:val="28"/>
        <w:szCs w:val="28"/>
      </w:rPr>
      <w:instrText xml:space="preserve">PAGE  </w:instrText>
    </w:r>
    <w:r>
      <w:rPr>
        <w:rFonts w:eastAsia="仿宋_GB2312"/>
        <w:sz w:val="28"/>
        <w:szCs w:val="28"/>
      </w:rPr>
      <w:fldChar w:fldCharType="separate"/>
    </w:r>
    <w:r>
      <w:rPr>
        <w:rFonts w:eastAsia="仿宋_GB2312"/>
        <w:sz w:val="28"/>
        <w:szCs w:val="28"/>
      </w:rPr>
      <w:t>1</w:t>
    </w:r>
    <w:r>
      <w:rPr>
        <w:rFonts w:eastAsia="仿宋_GB2312"/>
        <w:sz w:val="28"/>
        <w:szCs w:val="28"/>
      </w:rPr>
      <w:fldChar w:fldCharType="end"/>
    </w:r>
    <w:r>
      <w:rPr>
        <w:rFonts w:hint="eastAsia" w:eastAsia="仿宋_GB2312"/>
        <w:sz w:val="28"/>
        <w:szCs w:val="28"/>
      </w:rPr>
      <w:t xml:space="preserve"> —</w: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23B93F"/>
    <w:multiLevelType w:val="singleLevel"/>
    <w:tmpl w:val="6323B93F"/>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4NDFmZTRkNzIyMjgyZTM0MzU5MTk5OTA0Y2UxMDUifQ=="/>
  </w:docVars>
  <w:rsids>
    <w:rsidRoot w:val="00000000"/>
    <w:rsid w:val="013E7B14"/>
    <w:rsid w:val="03774801"/>
    <w:rsid w:val="04C32659"/>
    <w:rsid w:val="04EB37C0"/>
    <w:rsid w:val="04F56C6E"/>
    <w:rsid w:val="071B15CF"/>
    <w:rsid w:val="0A89507D"/>
    <w:rsid w:val="0D2717E8"/>
    <w:rsid w:val="0FD7654E"/>
    <w:rsid w:val="15F71F7A"/>
    <w:rsid w:val="1CBA30B8"/>
    <w:rsid w:val="1FBA66BE"/>
    <w:rsid w:val="1FEA6C27"/>
    <w:rsid w:val="23227BCA"/>
    <w:rsid w:val="251D168E"/>
    <w:rsid w:val="265F53F5"/>
    <w:rsid w:val="272137E6"/>
    <w:rsid w:val="2799483D"/>
    <w:rsid w:val="2A2559C7"/>
    <w:rsid w:val="2C204B96"/>
    <w:rsid w:val="3201485C"/>
    <w:rsid w:val="32D05AC9"/>
    <w:rsid w:val="337D2DAF"/>
    <w:rsid w:val="3519530B"/>
    <w:rsid w:val="373009A5"/>
    <w:rsid w:val="37772E54"/>
    <w:rsid w:val="3C351BD1"/>
    <w:rsid w:val="3DA2796D"/>
    <w:rsid w:val="3EA45886"/>
    <w:rsid w:val="3F6F9DE8"/>
    <w:rsid w:val="44204869"/>
    <w:rsid w:val="456D61D2"/>
    <w:rsid w:val="494828A7"/>
    <w:rsid w:val="4E1001F4"/>
    <w:rsid w:val="4E220171"/>
    <w:rsid w:val="4FE25976"/>
    <w:rsid w:val="502B29B5"/>
    <w:rsid w:val="53543D39"/>
    <w:rsid w:val="53572AE4"/>
    <w:rsid w:val="55250094"/>
    <w:rsid w:val="58524BF6"/>
    <w:rsid w:val="58554119"/>
    <w:rsid w:val="5DB71470"/>
    <w:rsid w:val="62E6794C"/>
    <w:rsid w:val="634A720A"/>
    <w:rsid w:val="64D83E3B"/>
    <w:rsid w:val="6B9C034D"/>
    <w:rsid w:val="6D7C265B"/>
    <w:rsid w:val="6DD648F5"/>
    <w:rsid w:val="6E890B64"/>
    <w:rsid w:val="70A52500"/>
    <w:rsid w:val="70AA1ADE"/>
    <w:rsid w:val="7163146D"/>
    <w:rsid w:val="71C334D1"/>
    <w:rsid w:val="72A94BA2"/>
    <w:rsid w:val="74DA275E"/>
    <w:rsid w:val="79F6FA44"/>
    <w:rsid w:val="7A7F7C12"/>
    <w:rsid w:val="7C0651CB"/>
    <w:rsid w:val="D4FD6603"/>
    <w:rsid w:val="DFDB2D08"/>
    <w:rsid w:val="F3DFE0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line="590" w:lineRule="exact"/>
      <w:ind w:firstLine="880" w:firstLineChars="200"/>
    </w:pPr>
    <w:rPr>
      <w:rFonts w:eastAsia="方正仿宋_GBK"/>
      <w:sz w:val="21"/>
    </w:rPr>
  </w:style>
  <w:style w:type="paragraph" w:styleId="3">
    <w:name w:val="Body Text Indent"/>
    <w:basedOn w:val="1"/>
    <w:qFormat/>
    <w:uiPriority w:val="0"/>
    <w:pPr>
      <w:spacing w:line="580" w:lineRule="exact"/>
      <w:ind w:firstLine="600" w:firstLineChars="200"/>
    </w:pPr>
    <w:rPr>
      <w:rFonts w:ascii="Times" w:hAnsi="Times" w:eastAsia="方正仿宋_GBK"/>
      <w:sz w:val="3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toc 1"/>
    <w:basedOn w:val="1"/>
    <w:next w:val="1"/>
    <w:qFormat/>
    <w:uiPriority w:val="0"/>
    <w:pPr>
      <w:spacing w:line="560" w:lineRule="exact"/>
    </w:pPr>
    <w:rPr>
      <w:rFonts w:ascii="Calibri" w:hAnsi="Calibri"/>
      <w:szCs w:val="21"/>
    </w:rPr>
  </w:style>
  <w:style w:type="paragraph" w:styleId="6">
    <w:name w:val="Body Text First Indent 2"/>
    <w:basedOn w:val="3"/>
    <w:qFormat/>
    <w:uiPriority w:val="0"/>
    <w:pPr>
      <w:spacing w:line="360" w:lineRule="auto"/>
      <w:ind w:firstLine="420" w:firstLineChars="0"/>
    </w:pPr>
    <w:rPr>
      <w:rFonts w:ascii="Calibri" w:hAnsi="Calibri" w:eastAsia="宋体"/>
      <w:b/>
      <w:sz w:val="21"/>
      <w:szCs w:val="21"/>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7384</Words>
  <Characters>7686</Characters>
  <Lines>0</Lines>
  <Paragraphs>0</Paragraphs>
  <TotalTime>0</TotalTime>
  <ScaleCrop>false</ScaleCrop>
  <LinksUpToDate>false</LinksUpToDate>
  <CharactersWithSpaces>7784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郑磊</cp:lastModifiedBy>
  <cp:lastPrinted>2022-07-15T08:03:00Z</cp:lastPrinted>
  <dcterms:modified xsi:type="dcterms:W3CDTF">2022-09-19T05:07:15Z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ED41D1BF279C42A49C8FB309F3200759</vt:lpwstr>
  </property>
</Properties>
</file>