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宋体" w:hAnsi="宋体" w:eastAsia="宋体"/>
          <w:b/>
          <w:bCs/>
          <w:sz w:val="52"/>
          <w:szCs w:val="52"/>
          <w:highlight w:val="none"/>
          <w:shd w:val="clear" w:color="auto" w:fill="FFFFFF"/>
        </w:rPr>
      </w:pPr>
    </w:p>
    <w:p>
      <w:pPr>
        <w:snapToGrid w:val="0"/>
        <w:spacing w:line="360" w:lineRule="auto"/>
        <w:rPr>
          <w:rFonts w:ascii="宋体" w:hAnsi="宋体" w:eastAsia="宋体"/>
          <w:b/>
          <w:bCs/>
          <w:sz w:val="52"/>
          <w:szCs w:val="52"/>
          <w:highlight w:val="none"/>
          <w:shd w:val="clear" w:color="auto" w:fill="FFFFFF"/>
        </w:rPr>
      </w:pPr>
    </w:p>
    <w:p>
      <w:pPr>
        <w:snapToGrid w:val="0"/>
        <w:spacing w:line="360" w:lineRule="auto"/>
        <w:rPr>
          <w:rFonts w:ascii="宋体" w:hAnsi="宋体" w:eastAsia="宋体"/>
          <w:b/>
          <w:bCs/>
          <w:sz w:val="52"/>
          <w:szCs w:val="52"/>
          <w:highlight w:val="none"/>
          <w:shd w:val="clear" w:color="auto" w:fill="FFFFFF"/>
        </w:rPr>
      </w:pPr>
    </w:p>
    <w:p>
      <w:pPr>
        <w:spacing w:line="360" w:lineRule="auto"/>
        <w:jc w:val="center"/>
        <w:rPr>
          <w:rFonts w:ascii="黑体" w:hAnsi="黑体" w:eastAsia="黑体" w:cs="黑体"/>
          <w:b/>
          <w:bCs/>
          <w:snapToGrid w:val="0"/>
          <w:spacing w:val="-4"/>
          <w:sz w:val="44"/>
          <w:szCs w:val="44"/>
          <w:highlight w:val="none"/>
        </w:rPr>
      </w:pPr>
    </w:p>
    <w:p>
      <w:pPr>
        <w:spacing w:line="360" w:lineRule="auto"/>
        <w:jc w:val="center"/>
        <w:rPr>
          <w:rFonts w:hint="eastAsia" w:ascii="黑体" w:hAnsi="黑体" w:eastAsia="黑体" w:cs="黑体"/>
          <w:b/>
          <w:bCs/>
          <w:snapToGrid w:val="0"/>
          <w:spacing w:val="-4"/>
          <w:sz w:val="44"/>
          <w:szCs w:val="44"/>
          <w:highlight w:val="none"/>
        </w:rPr>
      </w:pPr>
      <w:r>
        <w:rPr>
          <w:rFonts w:hint="eastAsia" w:ascii="黑体" w:hAnsi="黑体" w:eastAsia="黑体" w:cs="黑体"/>
          <w:b/>
          <w:bCs/>
          <w:snapToGrid w:val="0"/>
          <w:spacing w:val="-4"/>
          <w:sz w:val="44"/>
          <w:szCs w:val="44"/>
          <w:highlight w:val="none"/>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hint="eastAsia" w:ascii="黑体" w:hAnsi="黑体" w:eastAsia="黑体" w:cs="黑体"/>
          <w:b/>
          <w:bCs/>
          <w:snapToGrid w:val="0"/>
          <w:spacing w:val="-4"/>
          <w:sz w:val="44"/>
          <w:szCs w:val="44"/>
          <w:highlight w:val="none"/>
        </w:rPr>
        <w:instrText xml:space="preserve">ADDIN CNKISM.UserStyle</w:instrText>
      </w:r>
      <w:r>
        <w:rPr>
          <w:rFonts w:hint="eastAsia" w:ascii="黑体" w:hAnsi="黑体" w:eastAsia="黑体" w:cs="黑体"/>
          <w:b/>
          <w:bCs/>
          <w:snapToGrid w:val="0"/>
          <w:spacing w:val="-4"/>
          <w:sz w:val="44"/>
          <w:szCs w:val="44"/>
          <w:highlight w:val="none"/>
        </w:rPr>
        <w:fldChar w:fldCharType="end"/>
      </w:r>
      <w:r>
        <w:rPr>
          <w:rFonts w:hint="eastAsia" w:ascii="黑体" w:hAnsi="黑体" w:eastAsia="黑体" w:cs="黑体"/>
          <w:b/>
          <w:bCs/>
          <w:snapToGrid w:val="0"/>
          <w:spacing w:val="-4"/>
          <w:sz w:val="44"/>
          <w:szCs w:val="44"/>
          <w:highlight w:val="none"/>
        </w:rPr>
        <w:t>六安市</w:t>
      </w:r>
      <w:r>
        <w:rPr>
          <w:rFonts w:hint="eastAsia" w:ascii="黑体" w:hAnsi="黑体" w:eastAsia="黑体" w:cs="黑体"/>
          <w:b/>
          <w:bCs/>
          <w:snapToGrid w:val="0"/>
          <w:spacing w:val="-4"/>
          <w:sz w:val="44"/>
          <w:szCs w:val="44"/>
          <w:highlight w:val="none"/>
          <w:lang w:eastAsia="zh-CN"/>
        </w:rPr>
        <w:t>“十四五”</w:t>
      </w:r>
      <w:r>
        <w:rPr>
          <w:rFonts w:hint="eastAsia" w:ascii="黑体" w:hAnsi="黑体" w:eastAsia="黑体" w:cs="黑体"/>
          <w:b/>
          <w:bCs/>
          <w:snapToGrid w:val="0"/>
          <w:spacing w:val="-4"/>
          <w:sz w:val="44"/>
          <w:szCs w:val="44"/>
          <w:highlight w:val="none"/>
        </w:rPr>
        <w:t>数字创意产业发展规划</w:t>
      </w:r>
    </w:p>
    <w:p>
      <w:pPr>
        <w:spacing w:line="360" w:lineRule="auto"/>
        <w:jc w:val="center"/>
        <w:rPr>
          <w:rFonts w:hint="eastAsia" w:ascii="黑体" w:hAnsi="黑体" w:eastAsia="黑体" w:cs="黑体"/>
          <w:b/>
          <w:bCs/>
          <w:snapToGrid w:val="0"/>
          <w:spacing w:val="-4"/>
          <w:sz w:val="36"/>
          <w:szCs w:val="36"/>
          <w:highlight w:val="none"/>
          <w:lang w:eastAsia="zh-CN"/>
        </w:rPr>
      </w:pPr>
      <w:r>
        <w:rPr>
          <w:rFonts w:hint="eastAsia" w:ascii="黑体" w:hAnsi="黑体" w:eastAsia="黑体" w:cs="黑体"/>
          <w:b/>
          <w:bCs/>
          <w:snapToGrid w:val="0"/>
          <w:spacing w:val="-4"/>
          <w:sz w:val="36"/>
          <w:szCs w:val="36"/>
          <w:highlight w:val="none"/>
          <w:lang w:eastAsia="zh-CN"/>
        </w:rPr>
        <w:t>（征求意见稿）</w:t>
      </w:r>
    </w:p>
    <w:p>
      <w:pPr>
        <w:snapToGrid w:val="0"/>
        <w:spacing w:line="360" w:lineRule="auto"/>
        <w:jc w:val="center"/>
        <w:rPr>
          <w:rFonts w:ascii="方正小标宋_GBK" w:hAnsi="方正小标宋_GBK" w:eastAsia="方正小标宋_GBK" w:cs="方正小标宋_GBK"/>
          <w:b/>
          <w:bCs/>
          <w:sz w:val="52"/>
          <w:szCs w:val="52"/>
          <w:highlight w:val="none"/>
          <w:shd w:val="clear" w:color="auto" w:fill="FFFFFF"/>
        </w:rPr>
      </w:pPr>
      <w:bookmarkStart w:id="91" w:name="_GoBack"/>
      <w:bookmarkEnd w:id="91"/>
    </w:p>
    <w:p>
      <w:pPr>
        <w:snapToGrid w:val="0"/>
        <w:spacing w:line="360" w:lineRule="auto"/>
        <w:rPr>
          <w:rFonts w:ascii="宋体" w:hAnsi="宋体" w:eastAsia="宋体"/>
          <w:b/>
          <w:bCs/>
          <w:sz w:val="52"/>
          <w:szCs w:val="52"/>
          <w:highlight w:val="none"/>
          <w:shd w:val="clear" w:color="auto" w:fill="FFFFFF"/>
        </w:rPr>
      </w:pPr>
    </w:p>
    <w:p>
      <w:pPr>
        <w:snapToGrid w:val="0"/>
        <w:spacing w:line="360" w:lineRule="auto"/>
        <w:rPr>
          <w:rFonts w:ascii="宋体" w:hAnsi="宋体" w:eastAsia="宋体"/>
          <w:b/>
          <w:bCs/>
          <w:sz w:val="52"/>
          <w:szCs w:val="52"/>
          <w:highlight w:val="none"/>
          <w:shd w:val="clear" w:color="auto" w:fill="FFFFFF"/>
        </w:rPr>
      </w:pPr>
    </w:p>
    <w:p>
      <w:pPr>
        <w:pStyle w:val="24"/>
        <w:spacing w:line="360" w:lineRule="auto"/>
        <w:ind w:left="420"/>
        <w:rPr>
          <w:highlight w:val="none"/>
          <w:shd w:val="clear" w:color="auto" w:fill="FFFFFF"/>
        </w:rPr>
      </w:pPr>
    </w:p>
    <w:p>
      <w:pPr>
        <w:snapToGrid w:val="0"/>
        <w:spacing w:line="360" w:lineRule="auto"/>
        <w:jc w:val="center"/>
        <w:rPr>
          <w:rFonts w:ascii="宋体" w:hAnsi="宋体" w:eastAsia="宋体"/>
          <w:b/>
          <w:bCs/>
          <w:sz w:val="52"/>
          <w:szCs w:val="52"/>
          <w:highlight w:val="none"/>
          <w:shd w:val="clear" w:color="auto" w:fill="FFFFFF"/>
        </w:rPr>
      </w:pPr>
    </w:p>
    <w:p>
      <w:pPr>
        <w:snapToGrid w:val="0"/>
        <w:spacing w:line="360" w:lineRule="auto"/>
        <w:jc w:val="center"/>
        <w:rPr>
          <w:rFonts w:ascii="宋体" w:hAnsi="宋体" w:eastAsia="宋体"/>
          <w:b/>
          <w:bCs/>
          <w:sz w:val="52"/>
          <w:szCs w:val="52"/>
          <w:highlight w:val="none"/>
          <w:shd w:val="clear" w:color="auto" w:fill="FFFFFF"/>
        </w:rPr>
      </w:pPr>
    </w:p>
    <w:p>
      <w:pPr>
        <w:snapToGrid w:val="0"/>
        <w:spacing w:line="360" w:lineRule="auto"/>
        <w:rPr>
          <w:rFonts w:ascii="宋体" w:hAnsi="宋体" w:eastAsia="宋体"/>
          <w:b/>
          <w:bCs/>
          <w:sz w:val="52"/>
          <w:szCs w:val="52"/>
          <w:highlight w:val="none"/>
          <w:shd w:val="clear" w:color="auto" w:fill="FFFFFF"/>
        </w:rPr>
      </w:pPr>
    </w:p>
    <w:p>
      <w:pPr>
        <w:snapToGrid w:val="0"/>
        <w:spacing w:line="360" w:lineRule="auto"/>
        <w:rPr>
          <w:rFonts w:ascii="宋体" w:hAnsi="宋体" w:eastAsia="宋体"/>
          <w:b/>
          <w:bCs/>
          <w:sz w:val="52"/>
          <w:szCs w:val="52"/>
          <w:highlight w:val="none"/>
          <w:shd w:val="clear" w:color="auto" w:fill="FFFFFF"/>
        </w:rPr>
      </w:pPr>
    </w:p>
    <w:p>
      <w:pPr>
        <w:spacing w:line="360" w:lineRule="auto"/>
        <w:jc w:val="center"/>
        <w:rPr>
          <w:rFonts w:ascii="宋体" w:hAnsi="宋体" w:eastAsia="宋体"/>
          <w:b/>
          <w:bCs/>
          <w:sz w:val="40"/>
          <w:szCs w:val="40"/>
          <w:highlight w:val="none"/>
          <w:shd w:val="clear" w:color="auto" w:fill="FFFFFF"/>
        </w:rPr>
      </w:pPr>
    </w:p>
    <w:p>
      <w:pPr>
        <w:spacing w:line="360" w:lineRule="auto"/>
        <w:jc w:val="center"/>
        <w:rPr>
          <w:rFonts w:ascii="宋体" w:hAnsi="宋体" w:eastAsia="宋体"/>
          <w:b/>
          <w:bCs/>
          <w:sz w:val="40"/>
          <w:szCs w:val="40"/>
          <w:highlight w:val="none"/>
          <w:shd w:val="clear" w:color="auto" w:fill="FFFFFF"/>
        </w:rPr>
      </w:pPr>
    </w:p>
    <w:p>
      <w:pPr>
        <w:spacing w:line="360" w:lineRule="auto"/>
        <w:jc w:val="center"/>
        <w:rPr>
          <w:rFonts w:ascii="仿宋_GB2312" w:hAnsi="宋体" w:eastAsia="仿宋_GB2312"/>
          <w:b/>
          <w:sz w:val="36"/>
          <w:szCs w:val="28"/>
          <w:highlight w:val="none"/>
        </w:rPr>
      </w:pPr>
    </w:p>
    <w:sdt>
      <w:sdtPr>
        <w:rPr>
          <w:rFonts w:hint="eastAsia" w:ascii="仿宋_GB2312" w:hAnsi="宋体" w:eastAsia="仿宋_GB2312"/>
          <w:b/>
          <w:sz w:val="36"/>
          <w:szCs w:val="28"/>
          <w:highlight w:val="none"/>
        </w:rPr>
        <w:id w:val="147480278"/>
        <w15:color w:val="DBDBDB"/>
        <w:docPartObj>
          <w:docPartGallery w:val="Table of Contents"/>
          <w:docPartUnique/>
        </w:docPartObj>
      </w:sdtPr>
      <w:sdtEndPr>
        <w:rPr>
          <w:rFonts w:hint="eastAsia" w:ascii="宋体" w:hAnsi="宋体" w:eastAsia="宋体"/>
          <w:b/>
          <w:bCs/>
          <w:sz w:val="36"/>
          <w:szCs w:val="40"/>
          <w:highlight w:val="none"/>
        </w:rPr>
      </w:sdtEndPr>
      <w:sdtContent>
        <w:sdt>
          <w:sdtPr>
            <w:rPr>
              <w:rFonts w:ascii="仿宋_GB2312" w:hAnsi="宋体" w:eastAsia="仿宋_GB2312"/>
              <w:b/>
              <w:sz w:val="36"/>
              <w:szCs w:val="28"/>
              <w:highlight w:val="none"/>
            </w:rPr>
            <w:id w:val="147482133"/>
            <w15:color w:val="DBDBDB"/>
            <w:docPartObj>
              <w:docPartGallery w:val="Table of Contents"/>
              <w:docPartUnique/>
            </w:docPartObj>
          </w:sdtPr>
          <w:sdtEndPr>
            <w:rPr>
              <w:rFonts w:eastAsia="黑体" w:asciiTheme="minorHAnsi" w:hAnsiTheme="minorHAnsi"/>
              <w:b/>
              <w:bCs/>
              <w:kern w:val="44"/>
              <w:sz w:val="30"/>
              <w:szCs w:val="44"/>
              <w:highlight w:val="none"/>
            </w:rPr>
          </w:sdtEndPr>
          <w:sdtContent>
            <w:p>
              <w:pPr>
                <w:spacing w:line="360" w:lineRule="auto"/>
                <w:jc w:val="center"/>
                <w:rPr>
                  <w:rFonts w:ascii="仿宋_GB2312" w:hAnsi="宋体" w:eastAsia="仿宋_GB2312"/>
                  <w:b/>
                  <w:sz w:val="36"/>
                  <w:szCs w:val="28"/>
                  <w:highlight w:val="none"/>
                </w:rPr>
              </w:pPr>
              <w:r>
                <w:rPr>
                  <w:rFonts w:hint="eastAsia" w:ascii="仿宋_GB2312" w:hAnsi="宋体" w:eastAsia="仿宋_GB2312"/>
                  <w:b/>
                  <w:sz w:val="36"/>
                  <w:szCs w:val="28"/>
                  <w:highlight w:val="none"/>
                </w:rPr>
                <w:t>目 录</w:t>
              </w:r>
            </w:p>
            <w:p>
              <w:pPr>
                <w:pStyle w:val="9"/>
                <w:tabs>
                  <w:tab w:val="right" w:leader="dot" w:pos="8306"/>
                </w:tabs>
                <w:rPr>
                  <w:rStyle w:val="20"/>
                  <w:rFonts w:hint="eastAsia" w:ascii="黑体" w:hAnsi="黑体" w:eastAsia="黑体" w:cs="黑体"/>
                  <w:color w:val="auto"/>
                  <w:sz w:val="28"/>
                  <w:szCs w:val="28"/>
                  <w:highlight w:val="none"/>
                </w:rPr>
              </w:pPr>
              <w:r>
                <w:rPr>
                  <w:sz w:val="36"/>
                  <w:szCs w:val="44"/>
                  <w:highlight w:val="none"/>
                </w:rPr>
                <w:fldChar w:fldCharType="begin"/>
              </w:r>
              <w:r>
                <w:rPr>
                  <w:sz w:val="36"/>
                  <w:szCs w:val="44"/>
                  <w:highlight w:val="none"/>
                </w:rPr>
                <w:instrText xml:space="preserve">TOC \o "1-2" \h \u </w:instrText>
              </w:r>
              <w:r>
                <w:rPr>
                  <w:sz w:val="36"/>
                  <w:szCs w:val="44"/>
                  <w:highlight w:val="none"/>
                </w:rPr>
                <w:fldChar w:fldCharType="separate"/>
              </w:r>
              <w:r>
                <w:rPr>
                  <w:rStyle w:val="20"/>
                  <w:rFonts w:hint="eastAsia" w:ascii="黑体" w:hAnsi="黑体" w:eastAsia="黑体" w:cs="黑体"/>
                  <w:color w:val="auto"/>
                  <w:sz w:val="28"/>
                  <w:szCs w:val="28"/>
                  <w:highlight w:val="none"/>
                </w:rPr>
                <w:fldChar w:fldCharType="begin"/>
              </w:r>
              <w:r>
                <w:rPr>
                  <w:rStyle w:val="20"/>
                  <w:rFonts w:hint="eastAsia" w:ascii="黑体" w:hAnsi="黑体" w:eastAsia="黑体" w:cs="黑体"/>
                  <w:color w:val="auto"/>
                  <w:sz w:val="28"/>
                  <w:szCs w:val="28"/>
                  <w:highlight w:val="none"/>
                </w:rPr>
                <w:instrText xml:space="preserve"> HYPERLINK \l _Toc12507 </w:instrText>
              </w:r>
              <w:r>
                <w:rPr>
                  <w:rStyle w:val="20"/>
                  <w:rFonts w:hint="eastAsia" w:ascii="黑体" w:hAnsi="黑体" w:eastAsia="黑体" w:cs="黑体"/>
                  <w:color w:val="auto"/>
                  <w:sz w:val="28"/>
                  <w:szCs w:val="28"/>
                  <w:highlight w:val="none"/>
                </w:rPr>
                <w:fldChar w:fldCharType="separate"/>
              </w:r>
              <w:r>
                <w:rPr>
                  <w:rStyle w:val="20"/>
                  <w:rFonts w:hint="eastAsia" w:ascii="黑体" w:hAnsi="黑体" w:eastAsia="黑体" w:cs="黑体"/>
                  <w:color w:val="auto"/>
                  <w:sz w:val="28"/>
                  <w:szCs w:val="28"/>
                  <w:highlight w:val="none"/>
                </w:rPr>
                <w:t>一、发展基础与环境</w:t>
              </w:r>
              <w:r>
                <w:rPr>
                  <w:rStyle w:val="20"/>
                  <w:rFonts w:hint="eastAsia" w:ascii="黑体" w:hAnsi="黑体" w:eastAsia="黑体" w:cs="黑体"/>
                  <w:color w:val="auto"/>
                  <w:sz w:val="28"/>
                  <w:szCs w:val="28"/>
                  <w:highlight w:val="none"/>
                </w:rPr>
                <w:tab/>
              </w:r>
              <w:r>
                <w:rPr>
                  <w:rStyle w:val="20"/>
                  <w:rFonts w:hint="eastAsia" w:ascii="黑体" w:hAnsi="黑体" w:eastAsia="黑体" w:cs="黑体"/>
                  <w:color w:val="auto"/>
                  <w:sz w:val="28"/>
                  <w:szCs w:val="28"/>
                  <w:highlight w:val="none"/>
                </w:rPr>
                <w:fldChar w:fldCharType="begin"/>
              </w:r>
              <w:r>
                <w:rPr>
                  <w:rStyle w:val="20"/>
                  <w:rFonts w:hint="eastAsia" w:ascii="黑体" w:hAnsi="黑体" w:eastAsia="黑体" w:cs="黑体"/>
                  <w:color w:val="auto"/>
                  <w:sz w:val="28"/>
                  <w:szCs w:val="28"/>
                  <w:highlight w:val="none"/>
                </w:rPr>
                <w:instrText xml:space="preserve"> PAGEREF _Toc12507 \h </w:instrText>
              </w:r>
              <w:r>
                <w:rPr>
                  <w:rStyle w:val="20"/>
                  <w:rFonts w:hint="eastAsia" w:ascii="黑体" w:hAnsi="黑体" w:eastAsia="黑体" w:cs="黑体"/>
                  <w:color w:val="auto"/>
                  <w:sz w:val="28"/>
                  <w:szCs w:val="28"/>
                  <w:highlight w:val="none"/>
                </w:rPr>
                <w:fldChar w:fldCharType="separate"/>
              </w:r>
              <w:r>
                <w:rPr>
                  <w:rStyle w:val="20"/>
                  <w:rFonts w:hint="eastAsia" w:ascii="黑体" w:hAnsi="黑体" w:eastAsia="黑体" w:cs="黑体"/>
                  <w:color w:val="auto"/>
                  <w:sz w:val="28"/>
                  <w:szCs w:val="28"/>
                  <w:highlight w:val="none"/>
                </w:rPr>
                <w:t>1</w:t>
              </w:r>
              <w:r>
                <w:rPr>
                  <w:rStyle w:val="20"/>
                  <w:rFonts w:hint="eastAsia" w:ascii="黑体" w:hAnsi="黑体" w:eastAsia="黑体" w:cs="黑体"/>
                  <w:color w:val="auto"/>
                  <w:sz w:val="28"/>
                  <w:szCs w:val="28"/>
                  <w:highlight w:val="none"/>
                </w:rPr>
                <w:fldChar w:fldCharType="end"/>
              </w:r>
              <w:r>
                <w:rPr>
                  <w:rStyle w:val="20"/>
                  <w:rFonts w:hint="eastAsia" w:ascii="黑体" w:hAnsi="黑体" w:eastAsia="黑体" w:cs="黑体"/>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_Toc17590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（一）主要成就</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_Toc17590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1</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_Toc3903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（二）发展机遇</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_Toc3903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3</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_Toc14028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（三）面临挑战</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_Toc14028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5</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9"/>
                <w:tabs>
                  <w:tab w:val="right" w:leader="dot" w:pos="8306"/>
                </w:tabs>
                <w:rPr>
                  <w:rStyle w:val="20"/>
                  <w:rFonts w:hint="eastAsia" w:ascii="黑体" w:hAnsi="黑体" w:eastAsia="黑体" w:cs="黑体"/>
                  <w:color w:val="auto"/>
                  <w:sz w:val="28"/>
                  <w:szCs w:val="28"/>
                  <w:highlight w:val="none"/>
                </w:rPr>
              </w:pPr>
              <w:r>
                <w:rPr>
                  <w:rStyle w:val="20"/>
                  <w:rFonts w:hint="eastAsia" w:ascii="黑体" w:hAnsi="黑体" w:eastAsia="黑体" w:cs="黑体"/>
                  <w:color w:val="auto"/>
                  <w:sz w:val="28"/>
                  <w:szCs w:val="28"/>
                  <w:highlight w:val="none"/>
                </w:rPr>
                <w:fldChar w:fldCharType="begin"/>
              </w:r>
              <w:r>
                <w:rPr>
                  <w:rStyle w:val="20"/>
                  <w:rFonts w:hint="eastAsia" w:ascii="黑体" w:hAnsi="黑体" w:eastAsia="黑体" w:cs="黑体"/>
                  <w:color w:val="auto"/>
                  <w:sz w:val="28"/>
                  <w:szCs w:val="28"/>
                  <w:highlight w:val="none"/>
                </w:rPr>
                <w:instrText xml:space="preserve"> HYPERLINK \l _Toc7770 </w:instrText>
              </w:r>
              <w:r>
                <w:rPr>
                  <w:rStyle w:val="20"/>
                  <w:rFonts w:hint="eastAsia" w:ascii="黑体" w:hAnsi="黑体" w:eastAsia="黑体" w:cs="黑体"/>
                  <w:color w:val="auto"/>
                  <w:sz w:val="28"/>
                  <w:szCs w:val="28"/>
                  <w:highlight w:val="none"/>
                </w:rPr>
                <w:fldChar w:fldCharType="separate"/>
              </w:r>
              <w:r>
                <w:rPr>
                  <w:rStyle w:val="20"/>
                  <w:rFonts w:hint="eastAsia" w:ascii="黑体" w:hAnsi="黑体" w:eastAsia="黑体" w:cs="黑体"/>
                  <w:color w:val="auto"/>
                  <w:sz w:val="28"/>
                  <w:szCs w:val="28"/>
                  <w:highlight w:val="none"/>
                </w:rPr>
                <w:t>二、总体要求</w:t>
              </w:r>
              <w:r>
                <w:rPr>
                  <w:rStyle w:val="20"/>
                  <w:rFonts w:hint="eastAsia" w:ascii="黑体" w:hAnsi="黑体" w:eastAsia="黑体" w:cs="黑体"/>
                  <w:color w:val="auto"/>
                  <w:sz w:val="28"/>
                  <w:szCs w:val="28"/>
                  <w:highlight w:val="none"/>
                </w:rPr>
                <w:tab/>
              </w:r>
              <w:r>
                <w:rPr>
                  <w:rStyle w:val="20"/>
                  <w:rFonts w:hint="eastAsia" w:ascii="黑体" w:hAnsi="黑体" w:eastAsia="黑体" w:cs="黑体"/>
                  <w:color w:val="auto"/>
                  <w:sz w:val="28"/>
                  <w:szCs w:val="28"/>
                  <w:highlight w:val="none"/>
                </w:rPr>
                <w:fldChar w:fldCharType="begin"/>
              </w:r>
              <w:r>
                <w:rPr>
                  <w:rStyle w:val="20"/>
                  <w:rFonts w:hint="eastAsia" w:ascii="黑体" w:hAnsi="黑体" w:eastAsia="黑体" w:cs="黑体"/>
                  <w:color w:val="auto"/>
                  <w:sz w:val="28"/>
                  <w:szCs w:val="28"/>
                  <w:highlight w:val="none"/>
                </w:rPr>
                <w:instrText xml:space="preserve"> PAGEREF _Toc7770 \h </w:instrText>
              </w:r>
              <w:r>
                <w:rPr>
                  <w:rStyle w:val="20"/>
                  <w:rFonts w:hint="eastAsia" w:ascii="黑体" w:hAnsi="黑体" w:eastAsia="黑体" w:cs="黑体"/>
                  <w:color w:val="auto"/>
                  <w:sz w:val="28"/>
                  <w:szCs w:val="28"/>
                  <w:highlight w:val="none"/>
                </w:rPr>
                <w:fldChar w:fldCharType="separate"/>
              </w:r>
              <w:r>
                <w:rPr>
                  <w:rStyle w:val="20"/>
                  <w:rFonts w:hint="eastAsia" w:ascii="黑体" w:hAnsi="黑体" w:eastAsia="黑体" w:cs="黑体"/>
                  <w:color w:val="auto"/>
                  <w:sz w:val="28"/>
                  <w:szCs w:val="28"/>
                  <w:highlight w:val="none"/>
                </w:rPr>
                <w:t>7</w:t>
              </w:r>
              <w:r>
                <w:rPr>
                  <w:rStyle w:val="20"/>
                  <w:rFonts w:hint="eastAsia" w:ascii="黑体" w:hAnsi="黑体" w:eastAsia="黑体" w:cs="黑体"/>
                  <w:color w:val="auto"/>
                  <w:sz w:val="28"/>
                  <w:szCs w:val="28"/>
                  <w:highlight w:val="none"/>
                </w:rPr>
                <w:fldChar w:fldCharType="end"/>
              </w:r>
              <w:r>
                <w:rPr>
                  <w:rStyle w:val="20"/>
                  <w:rFonts w:hint="eastAsia" w:ascii="黑体" w:hAnsi="黑体" w:eastAsia="黑体" w:cs="黑体"/>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_Toc12801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（一）指导思想</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_Toc12801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7</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_Toc10564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（二）发展原则</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_Toc10564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7</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_Toc14658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（三）发展定位</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_Toc14658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8</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_Toc17060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（四）发展目标</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_Toc17060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9</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9"/>
                <w:tabs>
                  <w:tab w:val="right" w:leader="dot" w:pos="8306"/>
                </w:tabs>
                <w:rPr>
                  <w:rStyle w:val="20"/>
                  <w:rFonts w:hint="eastAsia" w:ascii="黑体" w:hAnsi="黑体" w:eastAsia="黑体" w:cs="黑体"/>
                  <w:color w:val="auto"/>
                  <w:sz w:val="28"/>
                  <w:szCs w:val="28"/>
                  <w:highlight w:val="none"/>
                </w:rPr>
              </w:pPr>
              <w:r>
                <w:rPr>
                  <w:rStyle w:val="20"/>
                  <w:rFonts w:hint="eastAsia" w:ascii="黑体" w:hAnsi="黑体" w:eastAsia="黑体" w:cs="黑体"/>
                  <w:color w:val="auto"/>
                  <w:sz w:val="28"/>
                  <w:szCs w:val="28"/>
                  <w:highlight w:val="none"/>
                </w:rPr>
                <w:fldChar w:fldCharType="begin"/>
              </w:r>
              <w:r>
                <w:rPr>
                  <w:rStyle w:val="20"/>
                  <w:rFonts w:hint="eastAsia" w:ascii="黑体" w:hAnsi="黑体" w:eastAsia="黑体" w:cs="黑体"/>
                  <w:color w:val="auto"/>
                  <w:sz w:val="28"/>
                  <w:szCs w:val="28"/>
                  <w:highlight w:val="none"/>
                </w:rPr>
                <w:instrText xml:space="preserve"> HYPERLINK \l _Toc27229 </w:instrText>
              </w:r>
              <w:r>
                <w:rPr>
                  <w:rStyle w:val="20"/>
                  <w:rFonts w:hint="eastAsia" w:ascii="黑体" w:hAnsi="黑体" w:eastAsia="黑体" w:cs="黑体"/>
                  <w:color w:val="auto"/>
                  <w:sz w:val="28"/>
                  <w:szCs w:val="28"/>
                  <w:highlight w:val="none"/>
                </w:rPr>
                <w:fldChar w:fldCharType="separate"/>
              </w:r>
              <w:r>
                <w:rPr>
                  <w:rStyle w:val="20"/>
                  <w:rFonts w:hint="eastAsia" w:ascii="黑体" w:hAnsi="黑体" w:eastAsia="黑体" w:cs="黑体"/>
                  <w:color w:val="auto"/>
                  <w:sz w:val="28"/>
                  <w:szCs w:val="28"/>
                  <w:highlight w:val="none"/>
                </w:rPr>
                <w:t>三、主要任务</w:t>
              </w:r>
              <w:r>
                <w:rPr>
                  <w:rStyle w:val="20"/>
                  <w:rFonts w:hint="eastAsia" w:ascii="黑体" w:hAnsi="黑体" w:eastAsia="黑体" w:cs="黑体"/>
                  <w:color w:val="auto"/>
                  <w:sz w:val="28"/>
                  <w:szCs w:val="28"/>
                  <w:highlight w:val="none"/>
                </w:rPr>
                <w:tab/>
              </w:r>
              <w:r>
                <w:rPr>
                  <w:rStyle w:val="20"/>
                  <w:rFonts w:hint="eastAsia" w:ascii="黑体" w:hAnsi="黑体" w:eastAsia="黑体" w:cs="黑体"/>
                  <w:color w:val="auto"/>
                  <w:sz w:val="28"/>
                  <w:szCs w:val="28"/>
                  <w:highlight w:val="none"/>
                </w:rPr>
                <w:fldChar w:fldCharType="begin"/>
              </w:r>
              <w:r>
                <w:rPr>
                  <w:rStyle w:val="20"/>
                  <w:rFonts w:hint="eastAsia" w:ascii="黑体" w:hAnsi="黑体" w:eastAsia="黑体" w:cs="黑体"/>
                  <w:color w:val="auto"/>
                  <w:sz w:val="28"/>
                  <w:szCs w:val="28"/>
                  <w:highlight w:val="none"/>
                </w:rPr>
                <w:instrText xml:space="preserve"> PAGEREF _Toc27229 \h </w:instrText>
              </w:r>
              <w:r>
                <w:rPr>
                  <w:rStyle w:val="20"/>
                  <w:rFonts w:hint="eastAsia" w:ascii="黑体" w:hAnsi="黑体" w:eastAsia="黑体" w:cs="黑体"/>
                  <w:color w:val="auto"/>
                  <w:sz w:val="28"/>
                  <w:szCs w:val="28"/>
                  <w:highlight w:val="none"/>
                </w:rPr>
                <w:fldChar w:fldCharType="separate"/>
              </w:r>
              <w:r>
                <w:rPr>
                  <w:rStyle w:val="20"/>
                  <w:rFonts w:hint="eastAsia" w:ascii="黑体" w:hAnsi="黑体" w:eastAsia="黑体" w:cs="黑体"/>
                  <w:color w:val="auto"/>
                  <w:sz w:val="28"/>
                  <w:szCs w:val="28"/>
                  <w:highlight w:val="none"/>
                </w:rPr>
                <w:t>11</w:t>
              </w:r>
              <w:r>
                <w:rPr>
                  <w:rStyle w:val="20"/>
                  <w:rFonts w:hint="eastAsia" w:ascii="黑体" w:hAnsi="黑体" w:eastAsia="黑体" w:cs="黑体"/>
                  <w:color w:val="auto"/>
                  <w:sz w:val="28"/>
                  <w:szCs w:val="28"/>
                  <w:highlight w:val="none"/>
                </w:rPr>
                <w:fldChar w:fldCharType="end"/>
              </w:r>
              <w:r>
                <w:rPr>
                  <w:rStyle w:val="20"/>
                  <w:rFonts w:hint="eastAsia" w:ascii="黑体" w:hAnsi="黑体" w:eastAsia="黑体" w:cs="黑体"/>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_Toc6088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（一）构建数字创意产业新空间</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_Toc6088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11</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_Toc4406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（二）打造数字创意产业新生态</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_Toc4406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15</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_Toc4490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（三）加速数字创意产业新融合</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_Toc4490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17</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_Toc13734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（四）开拓数字创意产业新市场</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_Toc13734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18</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_Toc22847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（五）打造数字创意产业新示范</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_Toc22847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19</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9"/>
                <w:tabs>
                  <w:tab w:val="right" w:leader="dot" w:pos="8306"/>
                </w:tabs>
                <w:rPr>
                  <w:rStyle w:val="20"/>
                  <w:rFonts w:hint="eastAsia" w:ascii="黑体" w:hAnsi="黑体" w:eastAsia="黑体" w:cs="黑体"/>
                  <w:color w:val="auto"/>
                  <w:sz w:val="28"/>
                  <w:szCs w:val="28"/>
                  <w:highlight w:val="none"/>
                </w:rPr>
              </w:pPr>
              <w:r>
                <w:rPr>
                  <w:rStyle w:val="20"/>
                  <w:rFonts w:hint="eastAsia" w:ascii="黑体" w:hAnsi="黑体" w:eastAsia="黑体" w:cs="黑体"/>
                  <w:color w:val="auto"/>
                  <w:sz w:val="28"/>
                  <w:szCs w:val="28"/>
                  <w:highlight w:val="none"/>
                </w:rPr>
                <w:fldChar w:fldCharType="begin"/>
              </w:r>
              <w:r>
                <w:rPr>
                  <w:rStyle w:val="20"/>
                  <w:rFonts w:hint="eastAsia" w:ascii="黑体" w:hAnsi="黑体" w:eastAsia="黑体" w:cs="黑体"/>
                  <w:color w:val="auto"/>
                  <w:sz w:val="28"/>
                  <w:szCs w:val="28"/>
                  <w:highlight w:val="none"/>
                </w:rPr>
                <w:instrText xml:space="preserve"> HYPERLINK \l _Toc281 </w:instrText>
              </w:r>
              <w:r>
                <w:rPr>
                  <w:rStyle w:val="20"/>
                  <w:rFonts w:hint="eastAsia" w:ascii="黑体" w:hAnsi="黑体" w:eastAsia="黑体" w:cs="黑体"/>
                  <w:color w:val="auto"/>
                  <w:sz w:val="28"/>
                  <w:szCs w:val="28"/>
                  <w:highlight w:val="none"/>
                </w:rPr>
                <w:fldChar w:fldCharType="separate"/>
              </w:r>
              <w:r>
                <w:rPr>
                  <w:rStyle w:val="20"/>
                  <w:rFonts w:hint="eastAsia" w:ascii="黑体" w:hAnsi="黑体" w:eastAsia="黑体" w:cs="黑体"/>
                  <w:color w:val="auto"/>
                  <w:sz w:val="28"/>
                  <w:szCs w:val="28"/>
                  <w:highlight w:val="none"/>
                </w:rPr>
                <w:t>四、重点工程</w:t>
              </w:r>
              <w:r>
                <w:rPr>
                  <w:rStyle w:val="20"/>
                  <w:rFonts w:hint="eastAsia" w:ascii="黑体" w:hAnsi="黑体" w:eastAsia="黑体" w:cs="黑体"/>
                  <w:color w:val="auto"/>
                  <w:sz w:val="28"/>
                  <w:szCs w:val="28"/>
                  <w:highlight w:val="none"/>
                </w:rPr>
                <w:tab/>
              </w:r>
              <w:r>
                <w:rPr>
                  <w:rStyle w:val="20"/>
                  <w:rFonts w:hint="eastAsia" w:ascii="黑体" w:hAnsi="黑体" w:eastAsia="黑体" w:cs="黑体"/>
                  <w:color w:val="auto"/>
                  <w:sz w:val="28"/>
                  <w:szCs w:val="28"/>
                  <w:highlight w:val="none"/>
                </w:rPr>
                <w:fldChar w:fldCharType="begin"/>
              </w:r>
              <w:r>
                <w:rPr>
                  <w:rStyle w:val="20"/>
                  <w:rFonts w:hint="eastAsia" w:ascii="黑体" w:hAnsi="黑体" w:eastAsia="黑体" w:cs="黑体"/>
                  <w:color w:val="auto"/>
                  <w:sz w:val="28"/>
                  <w:szCs w:val="28"/>
                  <w:highlight w:val="none"/>
                </w:rPr>
                <w:instrText xml:space="preserve"> PAGEREF _Toc281 \h </w:instrText>
              </w:r>
              <w:r>
                <w:rPr>
                  <w:rStyle w:val="20"/>
                  <w:rFonts w:hint="eastAsia" w:ascii="黑体" w:hAnsi="黑体" w:eastAsia="黑体" w:cs="黑体"/>
                  <w:color w:val="auto"/>
                  <w:sz w:val="28"/>
                  <w:szCs w:val="28"/>
                  <w:highlight w:val="none"/>
                </w:rPr>
                <w:fldChar w:fldCharType="separate"/>
              </w:r>
              <w:r>
                <w:rPr>
                  <w:rStyle w:val="20"/>
                  <w:rFonts w:hint="eastAsia" w:ascii="黑体" w:hAnsi="黑体" w:eastAsia="黑体" w:cs="黑体"/>
                  <w:color w:val="auto"/>
                  <w:sz w:val="28"/>
                  <w:szCs w:val="28"/>
                  <w:highlight w:val="none"/>
                </w:rPr>
                <w:t>21</w:t>
              </w:r>
              <w:r>
                <w:rPr>
                  <w:rStyle w:val="20"/>
                  <w:rFonts w:hint="eastAsia" w:ascii="黑体" w:hAnsi="黑体" w:eastAsia="黑体" w:cs="黑体"/>
                  <w:color w:val="auto"/>
                  <w:sz w:val="28"/>
                  <w:szCs w:val="28"/>
                  <w:highlight w:val="none"/>
                </w:rPr>
                <w:fldChar w:fldCharType="end"/>
              </w:r>
              <w:r>
                <w:rPr>
                  <w:rStyle w:val="20"/>
                  <w:rFonts w:hint="eastAsia" w:ascii="黑体" w:hAnsi="黑体" w:eastAsia="黑体" w:cs="黑体"/>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_Toc19018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lang w:val="en-US" w:eastAsia="zh-CN"/>
                </w:rPr>
                <w:t xml:space="preserve">（一） </w:t>
              </w:r>
              <w:r>
                <w:rPr>
                  <w:rStyle w:val="20"/>
                  <w:rFonts w:hint="eastAsia" w:ascii="楷体_GB2312" w:eastAsia="楷体_GB2312" w:hAnsiTheme="majorHAnsi" w:cstheme="majorBidi"/>
                  <w:bCs/>
                  <w:color w:val="auto"/>
                  <w:sz w:val="28"/>
                  <w:szCs w:val="28"/>
                  <w:highlight w:val="none"/>
                </w:rPr>
                <w:t>数字“五色”</w:t>
              </w:r>
              <w:r>
                <w:rPr>
                  <w:rStyle w:val="20"/>
                  <w:rFonts w:hint="eastAsia" w:ascii="楷体_GB2312" w:eastAsia="楷体_GB2312" w:hAnsiTheme="majorHAnsi" w:cstheme="majorBidi"/>
                  <w:bCs/>
                  <w:color w:val="auto"/>
                  <w:sz w:val="28"/>
                  <w:szCs w:val="28"/>
                  <w:highlight w:val="none"/>
                  <w:lang w:eastAsia="zh-CN"/>
                </w:rPr>
                <w:t>品牌</w:t>
              </w:r>
              <w:r>
                <w:rPr>
                  <w:rStyle w:val="20"/>
                  <w:rFonts w:hint="eastAsia" w:ascii="楷体_GB2312" w:eastAsia="楷体_GB2312" w:hAnsiTheme="majorHAnsi" w:cstheme="majorBidi"/>
                  <w:bCs/>
                  <w:color w:val="auto"/>
                  <w:sz w:val="28"/>
                  <w:szCs w:val="28"/>
                  <w:highlight w:val="none"/>
                </w:rPr>
                <w:t>工程</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_Toc19018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21</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_Toc624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（二）全产业链</w:t>
              </w:r>
              <w:r>
                <w:rPr>
                  <w:rStyle w:val="20"/>
                  <w:rFonts w:hint="eastAsia" w:ascii="楷体_GB2312" w:eastAsia="楷体_GB2312" w:hAnsiTheme="majorHAnsi" w:cstheme="majorBidi"/>
                  <w:bCs/>
                  <w:color w:val="auto"/>
                  <w:sz w:val="28"/>
                  <w:szCs w:val="28"/>
                  <w:highlight w:val="none"/>
                  <w:lang w:eastAsia="zh-CN"/>
                </w:rPr>
                <w:t>铸造</w:t>
              </w:r>
              <w:r>
                <w:rPr>
                  <w:rStyle w:val="20"/>
                  <w:rFonts w:hint="eastAsia" w:ascii="楷体_GB2312" w:eastAsia="楷体_GB2312" w:hAnsiTheme="majorHAnsi" w:cstheme="majorBidi"/>
                  <w:bCs/>
                  <w:color w:val="auto"/>
                  <w:sz w:val="28"/>
                  <w:szCs w:val="28"/>
                  <w:highlight w:val="none"/>
                </w:rPr>
                <w:t>工程</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_Toc624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23</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_Toc23808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（三）数字文旅工程</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_Toc23808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24</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_Toc18873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（四）“智改数转”工程</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_Toc18873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27</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_Toc15878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（五）</w:t>
              </w:r>
              <w:r>
                <w:rPr>
                  <w:rStyle w:val="20"/>
                  <w:rFonts w:hint="eastAsia" w:ascii="楷体_GB2312" w:eastAsia="楷体_GB2312" w:hAnsiTheme="majorHAnsi" w:cstheme="majorBidi"/>
                  <w:bCs/>
                  <w:color w:val="auto"/>
                  <w:sz w:val="28"/>
                  <w:szCs w:val="28"/>
                  <w:highlight w:val="none"/>
                  <w:lang w:eastAsia="zh-CN"/>
                </w:rPr>
                <w:t>特色电商</w:t>
              </w:r>
              <w:r>
                <w:rPr>
                  <w:rStyle w:val="20"/>
                  <w:rFonts w:hint="eastAsia" w:ascii="楷体_GB2312" w:eastAsia="楷体_GB2312" w:hAnsiTheme="majorHAnsi" w:cstheme="majorBidi"/>
                  <w:bCs/>
                  <w:color w:val="auto"/>
                  <w:sz w:val="28"/>
                  <w:szCs w:val="28"/>
                  <w:highlight w:val="none"/>
                </w:rPr>
                <w:t>工程</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_Toc15878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29</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_Toc25256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（六）数创人才</w:t>
              </w:r>
              <w:r>
                <w:rPr>
                  <w:rStyle w:val="20"/>
                  <w:rFonts w:hint="eastAsia" w:ascii="楷体_GB2312" w:eastAsia="楷体_GB2312" w:hAnsiTheme="majorHAnsi" w:cstheme="majorBidi"/>
                  <w:bCs/>
                  <w:color w:val="auto"/>
                  <w:sz w:val="28"/>
                  <w:szCs w:val="28"/>
                  <w:highlight w:val="none"/>
                  <w:lang w:eastAsia="zh-CN"/>
                </w:rPr>
                <w:t>引育</w:t>
              </w:r>
              <w:r>
                <w:rPr>
                  <w:rStyle w:val="20"/>
                  <w:rFonts w:hint="eastAsia" w:ascii="楷体_GB2312" w:eastAsia="楷体_GB2312" w:hAnsiTheme="majorHAnsi" w:cstheme="majorBidi"/>
                  <w:bCs/>
                  <w:color w:val="auto"/>
                  <w:sz w:val="28"/>
                  <w:szCs w:val="28"/>
                  <w:highlight w:val="none"/>
                </w:rPr>
                <w:t>工程</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_Toc25256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30</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_Toc7507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w:t>
              </w:r>
              <w:r>
                <w:rPr>
                  <w:rStyle w:val="20"/>
                  <w:rFonts w:hint="eastAsia" w:ascii="楷体_GB2312" w:eastAsia="楷体_GB2312" w:hAnsiTheme="majorHAnsi" w:cstheme="majorBidi"/>
                  <w:bCs/>
                  <w:color w:val="auto"/>
                  <w:sz w:val="28"/>
                  <w:szCs w:val="28"/>
                  <w:highlight w:val="none"/>
                  <w:lang w:val="en-US" w:eastAsia="zh-CN"/>
                </w:rPr>
                <w:t>七</w:t>
              </w:r>
              <w:r>
                <w:rPr>
                  <w:rStyle w:val="20"/>
                  <w:rFonts w:hint="eastAsia" w:ascii="楷体_GB2312" w:eastAsia="楷体_GB2312" w:hAnsiTheme="majorHAnsi" w:cstheme="majorBidi"/>
                  <w:bCs/>
                  <w:color w:val="auto"/>
                  <w:sz w:val="28"/>
                  <w:szCs w:val="28"/>
                  <w:highlight w:val="none"/>
                </w:rPr>
                <w:t>）智慧康养工程</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_Toc7507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31</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_Toc15225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w:t>
              </w:r>
              <w:r>
                <w:rPr>
                  <w:rStyle w:val="20"/>
                  <w:rFonts w:hint="eastAsia" w:ascii="楷体_GB2312" w:eastAsia="楷体_GB2312" w:hAnsiTheme="majorHAnsi" w:cstheme="majorBidi"/>
                  <w:bCs/>
                  <w:color w:val="auto"/>
                  <w:sz w:val="28"/>
                  <w:szCs w:val="28"/>
                  <w:highlight w:val="none"/>
                  <w:lang w:val="en-US" w:eastAsia="zh-CN"/>
                </w:rPr>
                <w:t>八</w:t>
              </w:r>
              <w:r>
                <w:rPr>
                  <w:rStyle w:val="20"/>
                  <w:rFonts w:hint="eastAsia" w:ascii="楷体_GB2312" w:eastAsia="楷体_GB2312" w:hAnsiTheme="majorHAnsi" w:cstheme="majorBidi"/>
                  <w:bCs/>
                  <w:color w:val="auto"/>
                  <w:sz w:val="28"/>
                  <w:szCs w:val="28"/>
                  <w:highlight w:val="none"/>
                </w:rPr>
                <w:t>）数字</w:t>
              </w:r>
              <w:r>
                <w:rPr>
                  <w:rStyle w:val="20"/>
                  <w:rFonts w:hint="eastAsia" w:ascii="楷体_GB2312" w:eastAsia="楷体_GB2312" w:hAnsiTheme="majorHAnsi" w:cstheme="majorBidi"/>
                  <w:bCs/>
                  <w:color w:val="auto"/>
                  <w:sz w:val="28"/>
                  <w:szCs w:val="28"/>
                  <w:highlight w:val="none"/>
                  <w:lang w:val="en-US" w:eastAsia="zh-CN"/>
                </w:rPr>
                <w:t>印刷</w:t>
              </w:r>
              <w:r>
                <w:rPr>
                  <w:rStyle w:val="20"/>
                  <w:rFonts w:hint="eastAsia" w:ascii="楷体_GB2312" w:eastAsia="楷体_GB2312" w:hAnsiTheme="majorHAnsi" w:cstheme="majorBidi"/>
                  <w:bCs/>
                  <w:color w:val="auto"/>
                  <w:sz w:val="28"/>
                  <w:szCs w:val="28"/>
                  <w:highlight w:val="none"/>
                </w:rPr>
                <w:t>工程</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_Toc15225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32</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_Toc20783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w:t>
              </w:r>
              <w:r>
                <w:rPr>
                  <w:rStyle w:val="20"/>
                  <w:rFonts w:hint="eastAsia" w:ascii="楷体_GB2312" w:eastAsia="楷体_GB2312" w:hAnsiTheme="majorHAnsi" w:cstheme="majorBidi"/>
                  <w:bCs/>
                  <w:color w:val="auto"/>
                  <w:sz w:val="28"/>
                  <w:szCs w:val="28"/>
                  <w:highlight w:val="none"/>
                  <w:lang w:val="en-US" w:eastAsia="zh-CN"/>
                </w:rPr>
                <w:t>九</w:t>
              </w:r>
              <w:r>
                <w:rPr>
                  <w:rStyle w:val="20"/>
                  <w:rFonts w:hint="eastAsia" w:ascii="楷体_GB2312" w:eastAsia="楷体_GB2312" w:hAnsiTheme="majorHAnsi" w:cstheme="majorBidi"/>
                  <w:bCs/>
                  <w:color w:val="auto"/>
                  <w:sz w:val="28"/>
                  <w:szCs w:val="28"/>
                  <w:highlight w:val="none"/>
                </w:rPr>
                <w:t>）元宇宙数字体验工程</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_Toc20783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34</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9"/>
                <w:tabs>
                  <w:tab w:val="right" w:leader="dot" w:pos="8306"/>
                </w:tabs>
                <w:rPr>
                  <w:rStyle w:val="20"/>
                  <w:rFonts w:hint="eastAsia" w:ascii="黑体" w:hAnsi="黑体" w:eastAsia="黑体" w:cs="黑体"/>
                  <w:color w:val="auto"/>
                  <w:sz w:val="28"/>
                  <w:szCs w:val="28"/>
                  <w:highlight w:val="none"/>
                </w:rPr>
              </w:pPr>
              <w:r>
                <w:rPr>
                  <w:rStyle w:val="20"/>
                  <w:rFonts w:hint="eastAsia" w:ascii="黑体" w:hAnsi="黑体" w:eastAsia="黑体" w:cs="黑体"/>
                  <w:color w:val="auto"/>
                  <w:sz w:val="28"/>
                  <w:szCs w:val="28"/>
                  <w:highlight w:val="none"/>
                </w:rPr>
                <w:fldChar w:fldCharType="begin"/>
              </w:r>
              <w:r>
                <w:rPr>
                  <w:rStyle w:val="20"/>
                  <w:rFonts w:hint="eastAsia" w:ascii="黑体" w:hAnsi="黑体" w:eastAsia="黑体" w:cs="黑体"/>
                  <w:color w:val="auto"/>
                  <w:sz w:val="28"/>
                  <w:szCs w:val="28"/>
                  <w:highlight w:val="none"/>
                </w:rPr>
                <w:instrText xml:space="preserve"> HYPERLINK \l _Toc23266 </w:instrText>
              </w:r>
              <w:r>
                <w:rPr>
                  <w:rStyle w:val="20"/>
                  <w:rFonts w:hint="eastAsia" w:ascii="黑体" w:hAnsi="黑体" w:eastAsia="黑体" w:cs="黑体"/>
                  <w:color w:val="auto"/>
                  <w:sz w:val="28"/>
                  <w:szCs w:val="28"/>
                  <w:highlight w:val="none"/>
                </w:rPr>
                <w:fldChar w:fldCharType="separate"/>
              </w:r>
              <w:r>
                <w:rPr>
                  <w:rStyle w:val="20"/>
                  <w:rFonts w:hint="eastAsia" w:ascii="黑体" w:hAnsi="黑体" w:eastAsia="黑体" w:cs="黑体"/>
                  <w:color w:val="auto"/>
                  <w:sz w:val="28"/>
                  <w:szCs w:val="28"/>
                  <w:highlight w:val="none"/>
                </w:rPr>
                <w:t>五、保障措施</w:t>
              </w:r>
              <w:r>
                <w:rPr>
                  <w:rStyle w:val="20"/>
                  <w:rFonts w:hint="eastAsia" w:ascii="黑体" w:hAnsi="黑体" w:eastAsia="黑体" w:cs="黑体"/>
                  <w:color w:val="auto"/>
                  <w:sz w:val="28"/>
                  <w:szCs w:val="28"/>
                  <w:highlight w:val="none"/>
                </w:rPr>
                <w:tab/>
              </w:r>
              <w:r>
                <w:rPr>
                  <w:rStyle w:val="20"/>
                  <w:rFonts w:hint="eastAsia" w:ascii="黑体" w:hAnsi="黑体" w:eastAsia="黑体" w:cs="黑体"/>
                  <w:color w:val="auto"/>
                  <w:sz w:val="28"/>
                  <w:szCs w:val="28"/>
                  <w:highlight w:val="none"/>
                </w:rPr>
                <w:fldChar w:fldCharType="begin"/>
              </w:r>
              <w:r>
                <w:rPr>
                  <w:rStyle w:val="20"/>
                  <w:rFonts w:hint="eastAsia" w:ascii="黑体" w:hAnsi="黑体" w:eastAsia="黑体" w:cs="黑体"/>
                  <w:color w:val="auto"/>
                  <w:sz w:val="28"/>
                  <w:szCs w:val="28"/>
                  <w:highlight w:val="none"/>
                </w:rPr>
                <w:instrText xml:space="preserve"> PAGEREF _Toc23266 \h </w:instrText>
              </w:r>
              <w:r>
                <w:rPr>
                  <w:rStyle w:val="20"/>
                  <w:rFonts w:hint="eastAsia" w:ascii="黑体" w:hAnsi="黑体" w:eastAsia="黑体" w:cs="黑体"/>
                  <w:color w:val="auto"/>
                  <w:sz w:val="28"/>
                  <w:szCs w:val="28"/>
                  <w:highlight w:val="none"/>
                </w:rPr>
                <w:fldChar w:fldCharType="separate"/>
              </w:r>
              <w:r>
                <w:rPr>
                  <w:rStyle w:val="20"/>
                  <w:rFonts w:hint="eastAsia" w:ascii="黑体" w:hAnsi="黑体" w:eastAsia="黑体" w:cs="黑体"/>
                  <w:color w:val="auto"/>
                  <w:sz w:val="28"/>
                  <w:szCs w:val="28"/>
                  <w:highlight w:val="none"/>
                </w:rPr>
                <w:t>35</w:t>
              </w:r>
              <w:r>
                <w:rPr>
                  <w:rStyle w:val="20"/>
                  <w:rFonts w:hint="eastAsia" w:ascii="黑体" w:hAnsi="黑体" w:eastAsia="黑体" w:cs="黑体"/>
                  <w:color w:val="auto"/>
                  <w:sz w:val="28"/>
                  <w:szCs w:val="28"/>
                  <w:highlight w:val="none"/>
                </w:rPr>
                <w:fldChar w:fldCharType="end"/>
              </w:r>
              <w:r>
                <w:rPr>
                  <w:rStyle w:val="20"/>
                  <w:rFonts w:hint="eastAsia" w:ascii="黑体" w:hAnsi="黑体" w:eastAsia="黑体" w:cs="黑体"/>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_Toc23007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（一）加强组织领导</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_Toc23007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35</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_Toc14954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（二）加大政策扶持</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_Toc14954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35</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_Toc2100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（三）优化营商环境</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_Toc2100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35</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_Toc30914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（四）深化开放合作</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_Toc30914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36</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pStyle w:val="10"/>
                <w:tabs>
                  <w:tab w:val="right" w:leader="dot" w:pos="8296"/>
                </w:tabs>
                <w:spacing w:line="360" w:lineRule="auto"/>
                <w:rPr>
                  <w:rStyle w:val="20"/>
                  <w:rFonts w:hint="eastAsia" w:ascii="楷体_GB2312" w:eastAsia="楷体_GB2312" w:hAnsiTheme="majorHAnsi" w:cstheme="majorBidi"/>
                  <w:bCs/>
                  <w:color w:val="auto"/>
                  <w:sz w:val="28"/>
                  <w:szCs w:val="28"/>
                  <w:highlight w:val="none"/>
                </w:rPr>
              </w:pP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HYPERLINK \l _Toc24776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（五）加强监测评估</w:t>
              </w:r>
              <w:r>
                <w:rPr>
                  <w:rStyle w:val="20"/>
                  <w:rFonts w:hint="eastAsia" w:ascii="楷体_GB2312" w:eastAsia="楷体_GB2312" w:hAnsiTheme="majorHAnsi" w:cstheme="majorBidi"/>
                  <w:bCs/>
                  <w:color w:val="auto"/>
                  <w:sz w:val="28"/>
                  <w:szCs w:val="28"/>
                  <w:highlight w:val="none"/>
                </w:rPr>
                <w:tab/>
              </w:r>
              <w:r>
                <w:rPr>
                  <w:rStyle w:val="20"/>
                  <w:rFonts w:hint="eastAsia" w:ascii="楷体_GB2312" w:eastAsia="楷体_GB2312" w:hAnsiTheme="majorHAnsi" w:cstheme="majorBidi"/>
                  <w:bCs/>
                  <w:color w:val="auto"/>
                  <w:sz w:val="28"/>
                  <w:szCs w:val="28"/>
                  <w:highlight w:val="none"/>
                </w:rPr>
                <w:fldChar w:fldCharType="begin"/>
              </w:r>
              <w:r>
                <w:rPr>
                  <w:rStyle w:val="20"/>
                  <w:rFonts w:hint="eastAsia" w:ascii="楷体_GB2312" w:eastAsia="楷体_GB2312" w:hAnsiTheme="majorHAnsi" w:cstheme="majorBidi"/>
                  <w:bCs/>
                  <w:color w:val="auto"/>
                  <w:sz w:val="28"/>
                  <w:szCs w:val="28"/>
                  <w:highlight w:val="none"/>
                </w:rPr>
                <w:instrText xml:space="preserve"> PAGEREF _Toc24776 \h </w:instrText>
              </w:r>
              <w:r>
                <w:rPr>
                  <w:rStyle w:val="20"/>
                  <w:rFonts w:hint="eastAsia" w:ascii="楷体_GB2312" w:eastAsia="楷体_GB2312" w:hAnsiTheme="majorHAnsi" w:cstheme="majorBidi"/>
                  <w:bCs/>
                  <w:color w:val="auto"/>
                  <w:sz w:val="28"/>
                  <w:szCs w:val="28"/>
                  <w:highlight w:val="none"/>
                </w:rPr>
                <w:fldChar w:fldCharType="separate"/>
              </w:r>
              <w:r>
                <w:rPr>
                  <w:rStyle w:val="20"/>
                  <w:rFonts w:hint="eastAsia" w:ascii="楷体_GB2312" w:eastAsia="楷体_GB2312" w:hAnsiTheme="majorHAnsi" w:cstheme="majorBidi"/>
                  <w:bCs/>
                  <w:color w:val="auto"/>
                  <w:sz w:val="28"/>
                  <w:szCs w:val="28"/>
                  <w:highlight w:val="none"/>
                </w:rPr>
                <w:t>36</w:t>
              </w:r>
              <w:r>
                <w:rPr>
                  <w:rStyle w:val="20"/>
                  <w:rFonts w:hint="eastAsia" w:ascii="楷体_GB2312" w:eastAsia="楷体_GB2312" w:hAnsiTheme="majorHAnsi" w:cstheme="majorBidi"/>
                  <w:bCs/>
                  <w:color w:val="auto"/>
                  <w:sz w:val="28"/>
                  <w:szCs w:val="28"/>
                  <w:highlight w:val="none"/>
                </w:rPr>
                <w:fldChar w:fldCharType="end"/>
              </w:r>
              <w:r>
                <w:rPr>
                  <w:rStyle w:val="20"/>
                  <w:rFonts w:hint="eastAsia" w:ascii="楷体_GB2312" w:eastAsia="楷体_GB2312" w:hAnsiTheme="majorHAnsi" w:cstheme="majorBidi"/>
                  <w:bCs/>
                  <w:color w:val="auto"/>
                  <w:sz w:val="28"/>
                  <w:szCs w:val="28"/>
                  <w:highlight w:val="none"/>
                </w:rPr>
                <w:fldChar w:fldCharType="end"/>
              </w:r>
            </w:p>
            <w:p>
              <w:pPr>
                <w:widowControl/>
                <w:spacing w:line="360" w:lineRule="auto"/>
                <w:rPr>
                  <w:sz w:val="24"/>
                  <w:szCs w:val="28"/>
                  <w:highlight w:val="none"/>
                </w:rPr>
              </w:pPr>
              <w:r>
                <w:rPr>
                  <w:szCs w:val="44"/>
                  <w:highlight w:val="none"/>
                </w:rPr>
                <w:fldChar w:fldCharType="end"/>
              </w:r>
            </w:p>
          </w:sdtContent>
        </w:sdt>
      </w:sdtContent>
    </w:sdt>
    <w:p>
      <w:pPr>
        <w:pStyle w:val="2"/>
        <w:spacing w:line="360" w:lineRule="auto"/>
        <w:ind w:firstLine="0" w:firstLineChars="0"/>
        <w:jc w:val="center"/>
        <w:rPr>
          <w:color w:val="auto"/>
          <w:sz w:val="36"/>
          <w:szCs w:val="44"/>
          <w:highlight w:val="none"/>
        </w:rPr>
      </w:pPr>
      <w:bookmarkStart w:id="0" w:name="_Toc11198"/>
    </w:p>
    <w:p>
      <w:pPr>
        <w:pStyle w:val="2"/>
        <w:spacing w:line="360" w:lineRule="auto"/>
        <w:ind w:firstLine="0" w:firstLineChars="0"/>
        <w:jc w:val="center"/>
        <w:rPr>
          <w:color w:val="auto"/>
          <w:sz w:val="36"/>
          <w:szCs w:val="44"/>
          <w:highlight w:val="none"/>
        </w:rPr>
        <w:sectPr>
          <w:pgSz w:w="11906" w:h="16838"/>
          <w:pgMar w:top="1440" w:right="1800" w:bottom="1440" w:left="1800" w:header="851" w:footer="992" w:gutter="0"/>
          <w:cols w:space="425" w:num="1"/>
          <w:docGrid w:type="lines" w:linePitch="312" w:charSpace="0"/>
        </w:sectPr>
      </w:pPr>
    </w:p>
    <w:p>
      <w:pPr>
        <w:spacing w:line="360" w:lineRule="auto"/>
        <w:jc w:val="center"/>
        <w:outlineLvl w:val="0"/>
        <w:rPr>
          <w:rFonts w:ascii="仿宋_GB2312" w:hAnsi="宋体" w:eastAsia="仿宋_GB2312"/>
          <w:b/>
          <w:sz w:val="32"/>
          <w:szCs w:val="32"/>
          <w:highlight w:val="none"/>
        </w:rPr>
      </w:pPr>
      <w:bookmarkStart w:id="1" w:name="_Toc9067"/>
      <w:bookmarkStart w:id="2" w:name="_Toc11582"/>
      <w:r>
        <w:rPr>
          <w:rFonts w:hint="eastAsia" w:ascii="仿宋_GB2312" w:hAnsi="宋体" w:eastAsia="仿宋_GB2312"/>
          <w:b/>
          <w:sz w:val="32"/>
          <w:szCs w:val="32"/>
          <w:highlight w:val="none"/>
        </w:rPr>
        <w:t>前 言</w:t>
      </w:r>
      <w:bookmarkEnd w:id="0"/>
      <w:bookmarkEnd w:id="1"/>
      <w:bookmarkEnd w:id="2"/>
    </w:p>
    <w:p>
      <w:pPr>
        <w:spacing w:line="360" w:lineRule="auto"/>
        <w:ind w:firstLine="560" w:firstLineChars="200"/>
        <w:rPr>
          <w:rFonts w:ascii="仿宋_GB2312" w:eastAsia="仿宋_GB2312"/>
          <w:sz w:val="28"/>
          <w:szCs w:val="28"/>
          <w:highlight w:val="none"/>
        </w:rPr>
      </w:pPr>
      <w:r>
        <w:rPr>
          <w:rFonts w:hint="eastAsia" w:ascii="仿宋_GB2312" w:eastAsia="仿宋_GB2312"/>
          <w:sz w:val="28"/>
          <w:szCs w:val="28"/>
          <w:highlight w:val="none"/>
        </w:rPr>
        <w:t>数字创意产业是现代信息技术与文化创意产业融合发展所产生的一种经济形态。它是以文化创意为内核，通过数字技术进行生产、传播和服务的产业，集中体现了科技和文化的融合，是引领文化新供给、促进文化新消费的新型文化业态。</w:t>
      </w:r>
    </w:p>
    <w:p>
      <w:pPr>
        <w:spacing w:line="360" w:lineRule="auto"/>
        <w:ind w:firstLine="560" w:firstLineChars="200"/>
        <w:rPr>
          <w:rFonts w:ascii="仿宋_GB2312" w:eastAsia="仿宋_GB2312"/>
          <w:sz w:val="28"/>
          <w:szCs w:val="28"/>
          <w:highlight w:val="none"/>
        </w:rPr>
      </w:pPr>
      <w:r>
        <w:rPr>
          <w:rFonts w:hint="eastAsia" w:ascii="仿宋_GB2312" w:hAnsi="Times New Roman" w:eastAsia="仿宋_GB2312"/>
          <w:sz w:val="28"/>
          <w:szCs w:val="28"/>
          <w:highlight w:val="none"/>
        </w:rPr>
        <w:t>习近平总书记强调，要主动应变、化危为机，以科技创新和数字化变革催生新的发展动能。</w:t>
      </w:r>
      <w:r>
        <w:rPr>
          <w:rFonts w:hint="eastAsia" w:ascii="仿宋_GB2312" w:eastAsia="仿宋_GB2312"/>
          <w:sz w:val="28"/>
          <w:szCs w:val="28"/>
          <w:highlight w:val="none"/>
        </w:rPr>
        <w:t>2016年《“十三五”国家战略性新兴产业发展规划》首次将数字创意产业纳入国家战略性新兴产业目录，数字创意产业已成为新产业新业态新模式培育的主阵地，</w:t>
      </w:r>
      <w:r>
        <w:rPr>
          <w:rFonts w:hint="eastAsia" w:ascii="仿宋_GB2312" w:eastAsia="仿宋_GB2312"/>
          <w:sz w:val="28"/>
          <w:szCs w:val="28"/>
          <w:highlight w:val="none"/>
          <w:shd w:val="clear" w:color="auto" w:fill="FFFFFF"/>
        </w:rPr>
        <w:t>初步</w:t>
      </w:r>
      <w:r>
        <w:rPr>
          <w:rFonts w:hint="eastAsia" w:ascii="仿宋_GB2312" w:eastAsia="仿宋_GB2312"/>
          <w:sz w:val="28"/>
          <w:szCs w:val="28"/>
          <w:highlight w:val="none"/>
        </w:rPr>
        <w:t>形成了文化引领、技术先进、链条完整的数字创意产业发展格局。现阶段安徽省数字创意产业发展稳步提升、集聚效应逐渐显现、企业实力不断增强、服务体系不断健全，产业潜力不断凸显。</w:t>
      </w:r>
    </w:p>
    <w:p>
      <w:pPr>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大力发展数字创意产业，是推进六安市经济高质量发展的重要举措，是契合产业发展趋势和顺应产业发展政策的正确选择，是区域发展新格局下对六安定位的重新思考，也是对六安数字创意资源价值的盘点、融合、整合。项目组现结合六安发展实际，依据国务院《“十四五”数字经济发展规划》《安徽省国民经济和社会发展第十四个五年规划和二〇三五年远景目标纲要》《六安市国民经济和社会发展第十四个五年规划和二〇三五年远景目标纲要》《六安市“十四五”文化和旅游发展规划》等相关规划思路，编制</w:t>
      </w:r>
      <w:r>
        <w:rPr>
          <w:rFonts w:hint="eastAsia" w:ascii="仿宋_GB2312" w:hAnsi="仿宋_GB2312" w:eastAsia="仿宋_GB2312" w:cs="仿宋_GB2312"/>
          <w:sz w:val="28"/>
          <w:szCs w:val="28"/>
          <w:highlight w:val="none"/>
        </w:rPr>
        <w:t>《六安市“十四五”数字创意产业发展规划》。</w:t>
      </w:r>
    </w:p>
    <w:p>
      <w:pPr>
        <w:pStyle w:val="2"/>
        <w:spacing w:line="360" w:lineRule="auto"/>
        <w:ind w:firstLine="0" w:firstLineChars="0"/>
        <w:rPr>
          <w:color w:val="auto"/>
          <w:highlight w:val="none"/>
        </w:rPr>
        <w:sectPr>
          <w:footerReference r:id="rId3" w:type="default"/>
          <w:pgSz w:w="11906" w:h="16838"/>
          <w:pgMar w:top="1440" w:right="1800" w:bottom="1440" w:left="1800" w:header="851" w:footer="992" w:gutter="0"/>
          <w:pgNumType w:start="1"/>
          <w:cols w:space="425" w:num="1"/>
          <w:docGrid w:type="lines" w:linePitch="312" w:charSpace="0"/>
        </w:sectPr>
      </w:pPr>
      <w:bookmarkStart w:id="3" w:name="_Toc21928"/>
      <w:bookmarkStart w:id="4" w:name="_Toc8727"/>
    </w:p>
    <w:p>
      <w:pPr>
        <w:pStyle w:val="2"/>
        <w:spacing w:line="360" w:lineRule="auto"/>
        <w:ind w:firstLine="602"/>
        <w:rPr>
          <w:color w:val="auto"/>
          <w:highlight w:val="none"/>
        </w:rPr>
      </w:pPr>
      <w:bookmarkStart w:id="5" w:name="_Toc12507"/>
      <w:r>
        <w:rPr>
          <w:rFonts w:hint="eastAsia"/>
          <w:color w:val="auto"/>
          <w:highlight w:val="none"/>
        </w:rPr>
        <w:t>一、</w:t>
      </w:r>
      <w:bookmarkEnd w:id="3"/>
      <w:bookmarkEnd w:id="4"/>
      <w:bookmarkStart w:id="6" w:name="_Toc535311458"/>
      <w:bookmarkEnd w:id="6"/>
      <w:bookmarkStart w:id="7" w:name="_Toc1215"/>
      <w:bookmarkStart w:id="8" w:name="_Toc22267"/>
      <w:r>
        <w:rPr>
          <w:rFonts w:hint="eastAsia"/>
          <w:color w:val="auto"/>
          <w:highlight w:val="none"/>
        </w:rPr>
        <w:t>发展基础与环境</w:t>
      </w:r>
      <w:bookmarkEnd w:id="5"/>
    </w:p>
    <w:p>
      <w:pPr>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“十三五”期间，在中共六安市委、市政府的坚强领导和科学谋划下，我市数字创意产业取得初步成效。</w:t>
      </w:r>
    </w:p>
    <w:p>
      <w:pPr>
        <w:pStyle w:val="3"/>
        <w:spacing w:line="360" w:lineRule="auto"/>
        <w:ind w:firstLine="643"/>
        <w:rPr>
          <w:highlight w:val="none"/>
        </w:rPr>
      </w:pPr>
      <w:bookmarkStart w:id="9" w:name="_Toc17590"/>
      <w:r>
        <w:rPr>
          <w:rFonts w:hint="eastAsia"/>
          <w:highlight w:val="none"/>
        </w:rPr>
        <w:t>（一）</w:t>
      </w:r>
      <w:bookmarkEnd w:id="7"/>
      <w:bookmarkEnd w:id="8"/>
      <w:r>
        <w:rPr>
          <w:rFonts w:hint="eastAsia"/>
          <w:highlight w:val="none"/>
        </w:rPr>
        <w:t>主要成就</w:t>
      </w:r>
      <w:bookmarkEnd w:id="9"/>
    </w:p>
    <w:p>
      <w:pPr>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1.数创产业化发展加快</w:t>
      </w:r>
    </w:p>
    <w:p>
      <w:pPr>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“十三五”末，我市规模以上数字创意产业法人单位（数字创意重点企业）增至23家，主营业务收入由2</w:t>
      </w:r>
      <w:r>
        <w:rPr>
          <w:rFonts w:ascii="仿宋_GB2312" w:hAnsi="Times New Roman" w:eastAsia="仿宋_GB2312"/>
          <w:sz w:val="28"/>
          <w:szCs w:val="28"/>
          <w:highlight w:val="none"/>
        </w:rPr>
        <w:t>018年约</w:t>
      </w:r>
      <w:r>
        <w:rPr>
          <w:rFonts w:hint="eastAsia" w:ascii="仿宋_GB2312" w:hAnsi="Times New Roman" w:eastAsia="仿宋_GB2312"/>
          <w:sz w:val="28"/>
          <w:szCs w:val="28"/>
          <w:highlight w:val="none"/>
        </w:rPr>
        <w:t>2.94亿元增至2</w:t>
      </w:r>
      <w:r>
        <w:rPr>
          <w:rFonts w:ascii="仿宋_GB2312" w:hAnsi="Times New Roman" w:eastAsia="仿宋_GB2312"/>
          <w:sz w:val="28"/>
          <w:szCs w:val="28"/>
          <w:highlight w:val="none"/>
        </w:rPr>
        <w:t>0</w:t>
      </w:r>
      <w:r>
        <w:rPr>
          <w:rFonts w:hint="eastAsia" w:ascii="仿宋_GB2312" w:hAnsi="Times New Roman" w:eastAsia="仿宋_GB2312"/>
          <w:sz w:val="28"/>
          <w:szCs w:val="28"/>
          <w:highlight w:val="none"/>
          <w:lang w:val="en-US" w:eastAsia="zh-CN"/>
        </w:rPr>
        <w:t>20</w:t>
      </w:r>
      <w:r>
        <w:rPr>
          <w:rFonts w:ascii="仿宋_GB2312" w:hAnsi="Times New Roman" w:eastAsia="仿宋_GB2312"/>
          <w:sz w:val="28"/>
          <w:szCs w:val="28"/>
          <w:highlight w:val="none"/>
        </w:rPr>
        <w:t>年约</w:t>
      </w:r>
      <w:r>
        <w:rPr>
          <w:rFonts w:hint="eastAsia" w:ascii="仿宋_GB2312" w:hAnsi="Times New Roman" w:eastAsia="仿宋_GB2312"/>
          <w:sz w:val="28"/>
          <w:szCs w:val="28"/>
          <w:highlight w:val="none"/>
        </w:rPr>
        <w:t>11.01亿元，增长速度迅猛。其中，2020年研发投入为1.17亿元，固定资产投资达9.02亿元，在智能制造、计算机软硬件开发、音响设备制造、广播电视节目制作及发射设备制造领域，发展成效显著。</w:t>
      </w:r>
    </w:p>
    <w:p>
      <w:pPr>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2.产业数字化接续推进</w:t>
      </w:r>
    </w:p>
    <w:p>
      <w:pPr>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以数字化为导向，着力打通供需两侧，为传统制造业数字赋能。相关企业在深刻洞察用户需求基础上，推动智能制造，推动消费互联网向产业互联网迈进，推动供应链上下游的数字化升级，数字经济与实体经济融合发展带动效应初步显现。长江精工、瀚海新材料、索伊电器等11个“5G+工业互联网”试点示范项目和“5G+智慧应用”示范企业率先实施，瀚海新材料“5G+工业互联网”项目入选全省“5G+工业互联网”十大创新应用。</w:t>
      </w:r>
      <w:r>
        <w:rPr>
          <w:rFonts w:hint="eastAsia" w:ascii="仿宋" w:hAnsi="仿宋" w:eastAsia="仿宋" w:cs="仿宋"/>
          <w:b w:val="0"/>
          <w:bCs w:val="0"/>
          <w:color w:val="auto"/>
          <w:sz w:val="28"/>
          <w:szCs w:val="28"/>
          <w:highlight w:val="none"/>
          <w:u w:val="none"/>
          <w:lang w:val="en-US" w:eastAsia="zh-CN"/>
        </w:rPr>
        <w:t>强化工业设计能力建设，累计培育省级工业设计中心22家、市级工业设计中心42家。</w:t>
      </w:r>
    </w:p>
    <w:p>
      <w:pPr>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3.产业资源聚集成效明显</w:t>
      </w:r>
    </w:p>
    <w:p>
      <w:pPr>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通过科技引领、龙头带动、产业聚集、资源整合，打造全产业链产业园区，形成知识、信息、人才、资金等资源共享的创新网络平台，集群式推动产业的创新发展。</w:t>
      </w:r>
      <w:r>
        <w:rPr>
          <w:rFonts w:hint="eastAsia" w:ascii="仿宋_GB2312" w:hAnsi="Times New Roman" w:eastAsia="仿宋_GB2312"/>
          <w:sz w:val="28"/>
          <w:szCs w:val="28"/>
          <w:highlight w:val="none"/>
          <w:lang w:val="en-US" w:eastAsia="zh-CN"/>
        </w:rPr>
        <w:t>绿水云山大数据公司等数创企业推动成立六安市数字创意与现代服务产业协会；</w:t>
      </w:r>
      <w:r>
        <w:rPr>
          <w:rFonts w:hint="eastAsia" w:ascii="仿宋_GB2312" w:hAnsi="Times New Roman" w:eastAsia="仿宋_GB2312"/>
          <w:sz w:val="28"/>
          <w:szCs w:val="28"/>
          <w:highlight w:val="none"/>
        </w:rPr>
        <w:t>六安“城市大脑”项目先后被评为“2020政府信息化管理创新奖”“2021年中国智慧城市优秀案例”，并荣获2021年长三角数字化转型创新案例优秀奖</w:t>
      </w:r>
      <w:r>
        <w:rPr>
          <w:rFonts w:hint="eastAsia" w:ascii="仿宋_GB2312" w:hAnsi="Times New Roman" w:eastAsia="仿宋_GB2312"/>
          <w:sz w:val="28"/>
          <w:szCs w:val="28"/>
          <w:highlight w:val="none"/>
          <w:lang w:eastAsia="zh-CN"/>
        </w:rPr>
        <w:t>；</w:t>
      </w:r>
      <w:r>
        <w:rPr>
          <w:rFonts w:hint="eastAsia" w:ascii="仿宋_GB2312" w:hAnsi="Times New Roman" w:eastAsia="仿宋_GB2312"/>
          <w:sz w:val="28"/>
          <w:szCs w:val="28"/>
          <w:highlight w:val="none"/>
        </w:rPr>
        <w:t>“互联网+政务服务”平台、智慧旅游系统基本完成，应急广播体系不断完善，建成县级平台6个、乡镇（街道）级平台108个、村（社区）级平台1664个；全市有线网络全面整合，基本实现数字化，有线电视总用户达16万户。</w:t>
      </w:r>
    </w:p>
    <w:p>
      <w:pPr>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4.跨区域合作不断深入</w:t>
      </w:r>
    </w:p>
    <w:p>
      <w:pPr>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 xml:space="preserve">通过区际要素共享，六安市数字创意产业涉及的相关企业获取外部资源的能力明显增强，区域合作创新能力得到一定程度的提高。霍邱县与合肥高新区，霍山县与合肥经开区，舒城县、裕安区与包河区，金安区与蜀山区，金寨县、叶集区与瑶海区深度对接，园区合作共建不断推进，合肥高新区霍邱现代产业园建成运营。舒城产业新城聚焦光电显示产业集群、智能制造装备产业集群，已成为合肥打造“全球显示之都”、环合肥都市圈新型显示产业生态圈的重要一极。金寨现代产业园拓展强势企业资源注入与政府高度重视的政企合作的形式，建立高起高打的战略起点。 </w:t>
      </w:r>
    </w:p>
    <w:p>
      <w:pPr>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5.市场主体发展活力凸显</w:t>
      </w:r>
    </w:p>
    <w:p>
      <w:pPr>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通过优化投融资制度，市场参与主体多元化，增速平稳，市场份额不断提升。紫荆花怡养小镇、“冰雪奇缘”文旅小镇、六安罍街文旅开发项目、力高文心文化广场等重点企业项目与数字化加速融合。正威5G新材料产业园、春兴5G科技园、AMOLED柔性显示触控模组及5G智能终端研发制造基地等重点项目加快推进。安徽伽马莱恩机器人有限公司</w:t>
      </w:r>
      <w:r>
        <w:rPr>
          <w:rFonts w:hint="eastAsia" w:ascii="仿宋_GB2312" w:hAnsi="Times New Roman" w:eastAsia="仿宋_GB2312"/>
          <w:sz w:val="28"/>
          <w:szCs w:val="28"/>
          <w:highlight w:val="none"/>
          <w:lang w:eastAsia="zh-CN"/>
        </w:rPr>
        <w:t>、</w:t>
      </w:r>
      <w:r>
        <w:rPr>
          <w:rFonts w:hint="eastAsia" w:ascii="仿宋_GB2312" w:hAnsi="Times New Roman" w:eastAsia="仿宋_GB2312"/>
          <w:sz w:val="28"/>
          <w:szCs w:val="28"/>
          <w:highlight w:val="none"/>
        </w:rPr>
        <w:t>安徽武狄智能家居科技有限公司</w:t>
      </w:r>
      <w:r>
        <w:rPr>
          <w:rFonts w:hint="eastAsia" w:ascii="仿宋_GB2312" w:hAnsi="Times New Roman" w:eastAsia="仿宋_GB2312"/>
          <w:sz w:val="28"/>
          <w:szCs w:val="28"/>
          <w:highlight w:val="none"/>
          <w:lang w:eastAsia="zh-CN"/>
        </w:rPr>
        <w:t>等市场主体聚焦智能消费设备领域</w:t>
      </w:r>
      <w:r>
        <w:rPr>
          <w:rFonts w:hint="eastAsia" w:ascii="仿宋_GB2312" w:hAnsi="Times New Roman" w:eastAsia="仿宋_GB2312"/>
          <w:sz w:val="28"/>
          <w:szCs w:val="28"/>
          <w:highlight w:val="none"/>
        </w:rPr>
        <w:t>的</w:t>
      </w:r>
      <w:r>
        <w:rPr>
          <w:rFonts w:hint="eastAsia" w:ascii="仿宋_GB2312" w:hAnsi="Times New Roman" w:eastAsia="仿宋_GB2312"/>
          <w:sz w:val="28"/>
          <w:szCs w:val="28"/>
          <w:highlight w:val="none"/>
          <w:lang w:eastAsia="zh-CN"/>
        </w:rPr>
        <w:t>创意</w:t>
      </w:r>
      <w:r>
        <w:rPr>
          <w:rFonts w:hint="eastAsia" w:ascii="仿宋_GB2312" w:hAnsi="Times New Roman" w:eastAsia="仿宋_GB2312"/>
          <w:sz w:val="28"/>
          <w:szCs w:val="28"/>
          <w:highlight w:val="none"/>
        </w:rPr>
        <w:t>研发、生产销售</w:t>
      </w:r>
      <w:r>
        <w:rPr>
          <w:rFonts w:hint="eastAsia" w:ascii="仿宋_GB2312" w:hAnsi="Times New Roman" w:eastAsia="仿宋_GB2312"/>
          <w:sz w:val="28"/>
          <w:szCs w:val="28"/>
          <w:highlight w:val="none"/>
          <w:lang w:eastAsia="zh-CN"/>
        </w:rPr>
        <w:t>，创新能力逐步增强</w:t>
      </w:r>
      <w:r>
        <w:rPr>
          <w:rFonts w:hint="eastAsia" w:ascii="仿宋_GB2312" w:hAnsi="Times New Roman" w:eastAsia="仿宋_GB2312"/>
          <w:sz w:val="28"/>
          <w:szCs w:val="28"/>
          <w:highlight w:val="none"/>
        </w:rPr>
        <w:t>。“双创”新主体“潘姥姥”等一大批新媒体品牌不断涌现，跻身国内直播短视频领域头部队列。</w:t>
      </w:r>
    </w:p>
    <w:p>
      <w:pPr>
        <w:pStyle w:val="3"/>
        <w:spacing w:line="360" w:lineRule="auto"/>
        <w:ind w:firstLine="643"/>
        <w:rPr>
          <w:highlight w:val="none"/>
        </w:rPr>
      </w:pPr>
      <w:bookmarkStart w:id="10" w:name="_Toc3903"/>
      <w:r>
        <w:rPr>
          <w:rFonts w:hint="eastAsia"/>
          <w:highlight w:val="none"/>
        </w:rPr>
        <w:t>（二）发展机遇</w:t>
      </w:r>
      <w:bookmarkEnd w:id="10"/>
    </w:p>
    <w:p>
      <w:pPr>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1.数字创意产业发展迅猛</w:t>
      </w:r>
    </w:p>
    <w:p>
      <w:pPr>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人工智能（AI）、云计算、物联网、第五代移动通信（5G）、虚拟现实 (VR)、区块链等数字技术飞速发展，加速</w:t>
      </w:r>
      <w:r>
        <w:rPr>
          <w:rFonts w:ascii="仿宋_GB2312" w:hAnsi="Times New Roman" w:eastAsia="仿宋_GB2312"/>
          <w:sz w:val="28"/>
          <w:szCs w:val="28"/>
          <w:highlight w:val="none"/>
        </w:rPr>
        <w:t>数字创意领域的应用</w:t>
      </w:r>
      <w:r>
        <w:rPr>
          <w:rFonts w:hint="eastAsia" w:ascii="仿宋_GB2312" w:hAnsi="Times New Roman" w:eastAsia="仿宋_GB2312"/>
          <w:sz w:val="28"/>
          <w:szCs w:val="28"/>
          <w:highlight w:val="none"/>
        </w:rPr>
        <w:t>，推动数字创意产业的发展和壮大，</w:t>
      </w:r>
      <w:r>
        <w:rPr>
          <w:rFonts w:ascii="仿宋_GB2312" w:hAnsi="Times New Roman" w:eastAsia="仿宋_GB2312"/>
          <w:sz w:val="28"/>
          <w:szCs w:val="28"/>
          <w:highlight w:val="none"/>
        </w:rPr>
        <w:t>形成新的产业格局和生态</w:t>
      </w:r>
      <w:r>
        <w:rPr>
          <w:rFonts w:hint="eastAsia" w:ascii="仿宋_GB2312" w:hAnsi="Times New Roman" w:eastAsia="仿宋_GB2312"/>
          <w:sz w:val="28"/>
          <w:szCs w:val="28"/>
          <w:highlight w:val="none"/>
        </w:rPr>
        <w:t>。</w:t>
      </w:r>
    </w:p>
    <w:p>
      <w:pPr>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我国以市场为导向，立足产业现有基础，大力培育和发展数字创意产业，并将其纳入国家战略性新兴产业目录，明确为战略性新兴产业，力图打造文化引领、技术先进、链条完整的数字创意产业发展新格局</w:t>
      </w:r>
      <w:r>
        <w:rPr>
          <w:rFonts w:hint="eastAsia" w:ascii="仿宋_GB2312" w:hAnsi="Times New Roman" w:eastAsia="仿宋_GB2312"/>
          <w:sz w:val="28"/>
          <w:szCs w:val="28"/>
          <w:highlight w:val="none"/>
          <w:lang w:eastAsia="zh-CN"/>
        </w:rPr>
        <w:t>。</w:t>
      </w:r>
      <w:r>
        <w:rPr>
          <w:rFonts w:hint="eastAsia" w:ascii="仿宋_GB2312" w:hAnsi="Times New Roman" w:eastAsia="仿宋_GB2312"/>
          <w:sz w:val="28"/>
          <w:szCs w:val="28"/>
          <w:highlight w:val="none"/>
        </w:rPr>
        <w:t>我国数字创意产业已进入成长极速期，面临着难得的发展机遇，且增长潜力巨大。</w:t>
      </w:r>
    </w:p>
    <w:p>
      <w:pPr>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2.政策红利持续释放</w:t>
      </w:r>
    </w:p>
    <w:p>
      <w:pPr>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国家相关政策明确指出，加强数字中国建设整体布局，建设数字信息基础设施，推进5</w:t>
      </w:r>
      <w:r>
        <w:rPr>
          <w:rFonts w:ascii="仿宋_GB2312" w:hAnsi="Times New Roman" w:eastAsia="仿宋_GB2312"/>
          <w:sz w:val="28"/>
          <w:szCs w:val="28"/>
          <w:highlight w:val="none"/>
        </w:rPr>
        <w:t>G</w:t>
      </w:r>
      <w:r>
        <w:rPr>
          <w:rFonts w:hint="eastAsia" w:ascii="仿宋_GB2312" w:hAnsi="Times New Roman" w:eastAsia="仿宋_GB2312"/>
          <w:sz w:val="28"/>
          <w:szCs w:val="28"/>
          <w:highlight w:val="none"/>
        </w:rPr>
        <w:t>规模化应用，促进产业数字化转型，发展智慧城市、数字乡村。加快工业互联网，培育壮大集成电路、人工智能等数字产业，提升关键软硬件技术创新和供给能力。完善数字</w:t>
      </w:r>
      <w:r>
        <w:rPr>
          <w:rFonts w:hint="eastAsia" w:ascii="仿宋_GB2312" w:hAnsi="Times New Roman" w:eastAsia="仿宋_GB2312"/>
          <w:sz w:val="28"/>
          <w:szCs w:val="28"/>
          <w:highlight w:val="none"/>
          <w:lang w:val="en-US" w:eastAsia="zh-CN"/>
        </w:rPr>
        <w:t>创意产业</w:t>
      </w:r>
      <w:r>
        <w:rPr>
          <w:rFonts w:hint="eastAsia" w:ascii="仿宋_GB2312" w:hAnsi="Times New Roman" w:eastAsia="仿宋_GB2312"/>
          <w:sz w:val="28"/>
          <w:szCs w:val="28"/>
          <w:highlight w:val="none"/>
        </w:rPr>
        <w:t>治理，释放数据要素潜力，更好赋能经济发展，丰富人民生活。中共中央办公厅、国务院办公厅印发</w:t>
      </w:r>
      <w:r>
        <w:rPr>
          <w:rFonts w:hint="eastAsia" w:ascii="仿宋_GB2312" w:hAnsi="Times New Roman" w:eastAsia="仿宋_GB2312"/>
          <w:sz w:val="28"/>
          <w:szCs w:val="28"/>
          <w:highlight w:val="none"/>
          <w:lang w:val="en-US" w:eastAsia="zh-CN"/>
        </w:rPr>
        <w:t>的</w:t>
      </w:r>
      <w:r>
        <w:rPr>
          <w:rFonts w:hint="eastAsia" w:ascii="仿宋_GB2312" w:hAnsi="Times New Roman" w:eastAsia="仿宋_GB2312"/>
          <w:sz w:val="28"/>
          <w:szCs w:val="28"/>
          <w:highlight w:val="none"/>
        </w:rPr>
        <w:t>《关于推进实施国家文化数字化战略的意见》</w:t>
      </w:r>
      <w:r>
        <w:rPr>
          <w:rFonts w:hint="eastAsia" w:ascii="仿宋" w:hAnsi="仿宋" w:eastAsia="仿宋" w:cs="仿宋"/>
          <w:b w:val="0"/>
          <w:bCs w:val="0"/>
          <w:color w:val="auto"/>
          <w:sz w:val="28"/>
          <w:szCs w:val="28"/>
          <w:highlight w:val="none"/>
          <w:u w:val="none"/>
          <w:lang w:val="en-US" w:eastAsia="zh-CN"/>
        </w:rPr>
        <w:t>到“十四五”时期末，基本建成文化数字化基础设施和服务平台，形成线上线下融合互动、立体覆盖的文化服务供给体系。</w:t>
      </w:r>
    </w:p>
    <w:p>
      <w:pPr>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我省也着力创建国家级企业孵化器和众创空间；建设省级优质</w:t>
      </w:r>
      <w:r>
        <w:rPr>
          <w:rFonts w:ascii="仿宋_GB2312" w:hAnsi="Times New Roman" w:eastAsia="仿宋_GB2312"/>
          <w:sz w:val="28"/>
          <w:szCs w:val="28"/>
          <w:highlight w:val="none"/>
        </w:rPr>
        <w:t>IP</w:t>
      </w:r>
      <w:r>
        <w:rPr>
          <w:rFonts w:hint="eastAsia" w:ascii="仿宋_GB2312" w:hAnsi="Times New Roman" w:eastAsia="仿宋_GB2312"/>
          <w:sz w:val="28"/>
          <w:szCs w:val="28"/>
          <w:highlight w:val="none"/>
        </w:rPr>
        <w:t>项目库，重点培育一批优质数字内容原创作品和精品</w:t>
      </w:r>
      <w:r>
        <w:rPr>
          <w:rFonts w:ascii="仿宋_GB2312" w:hAnsi="Times New Roman" w:eastAsia="仿宋_GB2312"/>
          <w:sz w:val="28"/>
          <w:szCs w:val="28"/>
          <w:highlight w:val="none"/>
        </w:rPr>
        <w:t>IP</w:t>
      </w:r>
      <w:r>
        <w:rPr>
          <w:rFonts w:hint="eastAsia" w:ascii="仿宋_GB2312" w:hAnsi="Times New Roman" w:eastAsia="仿宋_GB2312"/>
          <w:sz w:val="28"/>
          <w:szCs w:val="28"/>
          <w:highlight w:val="none"/>
        </w:rPr>
        <w:t>。相关政策重大利好，有助于六安市加速布局 5G、人工智能、电子信息等新一代信息技术产业，带动数字乡村、数字文旅、智慧园区建设，提升产业发展能级。同时，有助于发挥新一代信息技术赋能作用，提升产业智能化水平，为企业构建智能工厂创造条件。</w:t>
      </w:r>
    </w:p>
    <w:p>
      <w:pPr>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3.空间区位优势潜能巨大</w:t>
      </w:r>
    </w:p>
    <w:p>
      <w:pPr>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随着长三角一体化发展上升为国家战略，区域产业转移和协作进入新阶段，推动省际产业合作示范园区、皖北承接产业转移集聚区建设进程，新能源、新能源汽车核心零部件、光伏、高端装备等新兴产业转移和重大科技成果转化步伐加快。长三角一体化战略提出推进跨区域合作体制机制一体化，为六安市建立承接长三角创新、产业等资源转移的长效机制创造条件，推动六安市与沪苏浙等地先发城市加强合作，形成合作共赢新格局。</w:t>
      </w:r>
    </w:p>
    <w:p>
      <w:pPr>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六安市处于大别山与环巢湖双核驱动下的战略支点，是促进合六一体化的联动板块，集长三角一体化发展、长江经济带发展、中部地区崛起、大别山革命老去振兴、皖江城市带承接产业转移示范区、淮河生态经济带和合肥都市圈、合六经济走廊、皖北承接产业转移集聚区等多个重大战略叠加，是国家和安徽省的重要经济板块，具有“承东启西”“左右逢源”优势。</w:t>
      </w:r>
    </w:p>
    <w:p>
      <w:pPr>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4.人文历史资源厚积薄发</w:t>
      </w:r>
    </w:p>
    <w:p>
      <w:pPr>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六安市历史文化底蕴深厚，大别山红色和生态文化、皋陶历史文化、淮河文化、淠史杭水利文化、皖西民俗文化、红色文化资源丰富，有红军故乡、将军摇篮、司法源地之誉。</w:t>
      </w:r>
      <w:r>
        <w:rPr>
          <w:rFonts w:ascii="仿宋_GB2312" w:hAnsi="Times New Roman" w:eastAsia="仿宋_GB2312"/>
          <w:sz w:val="28"/>
          <w:szCs w:val="28"/>
          <w:highlight w:val="none"/>
        </w:rPr>
        <w:t>白马尖、天堂寨、马鬃岭</w:t>
      </w:r>
      <w:r>
        <w:rPr>
          <w:rFonts w:hint="eastAsia" w:ascii="仿宋_GB2312" w:hAnsi="Times New Roman" w:eastAsia="仿宋_GB2312"/>
          <w:sz w:val="28"/>
          <w:szCs w:val="28"/>
          <w:highlight w:val="none"/>
        </w:rPr>
        <w:t>、皖西大裂谷、大别山石窟、燕子河大峡谷、铜锣寨、</w:t>
      </w:r>
      <w:r>
        <w:rPr>
          <w:rFonts w:ascii="仿宋_GB2312" w:hAnsi="Times New Roman" w:eastAsia="仿宋_GB2312"/>
          <w:sz w:val="28"/>
          <w:szCs w:val="28"/>
          <w:highlight w:val="none"/>
        </w:rPr>
        <w:t>万佛湖</w:t>
      </w:r>
      <w:r>
        <w:rPr>
          <w:rFonts w:hint="eastAsia" w:ascii="仿宋_GB2312" w:hAnsi="Times New Roman" w:eastAsia="仿宋_GB2312"/>
          <w:sz w:val="28"/>
          <w:szCs w:val="28"/>
          <w:highlight w:val="none"/>
        </w:rPr>
        <w:t>、梅山水库、</w:t>
      </w:r>
      <w:r>
        <w:rPr>
          <w:rFonts w:ascii="仿宋_GB2312" w:hAnsi="Times New Roman" w:eastAsia="仿宋_GB2312"/>
          <w:sz w:val="28"/>
          <w:szCs w:val="28"/>
          <w:highlight w:val="none"/>
        </w:rPr>
        <w:t>六安茶谷</w:t>
      </w:r>
      <w:r>
        <w:rPr>
          <w:rFonts w:hint="eastAsia" w:ascii="仿宋_GB2312" w:hAnsi="Times New Roman" w:eastAsia="仿宋_GB2312"/>
          <w:sz w:val="28"/>
          <w:szCs w:val="28"/>
          <w:highlight w:val="none"/>
        </w:rPr>
        <w:t>等山水资源优势显著，具有“清新的空气、优美的环境、清洁的水源、宜人的气候”等绿色振兴生态本底，在长三角生态格局、绿色发展和乡村振兴中有着举足轻重的战略地位。</w:t>
      </w:r>
    </w:p>
    <w:p>
      <w:pPr>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人民日益增长的美好生活需要为传统产业消费转型升级、数字创意产业发展提质增效增添新动力，传统行业发展到了从扩张量到提升质的关键阶段。数字赋能驱动传统业态新变革，乡村振兴促进构建数字创意发展新格局。</w:t>
      </w:r>
    </w:p>
    <w:p>
      <w:pPr>
        <w:pStyle w:val="3"/>
        <w:spacing w:line="360" w:lineRule="auto"/>
        <w:ind w:firstLine="643"/>
        <w:rPr>
          <w:highlight w:val="none"/>
        </w:rPr>
      </w:pPr>
      <w:bookmarkStart w:id="11" w:name="_Toc14028"/>
      <w:r>
        <w:rPr>
          <w:rFonts w:hint="eastAsia"/>
          <w:highlight w:val="none"/>
        </w:rPr>
        <w:t>（三）面临挑战</w:t>
      </w:r>
      <w:bookmarkEnd w:id="11"/>
    </w:p>
    <w:p>
      <w:pPr>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“十三五”期间，六安市数字创意产业发展</w:t>
      </w:r>
      <w:r>
        <w:rPr>
          <w:rFonts w:hint="eastAsia" w:ascii="仿宋_GB2312" w:hAnsi="Times New Roman" w:eastAsia="仿宋_GB2312"/>
          <w:sz w:val="28"/>
          <w:szCs w:val="28"/>
          <w:highlight w:val="none"/>
          <w:lang w:val="en-US" w:eastAsia="zh-CN"/>
        </w:rPr>
        <w:t>虽</w:t>
      </w:r>
      <w:r>
        <w:rPr>
          <w:rFonts w:hint="eastAsia" w:ascii="仿宋_GB2312" w:hAnsi="Times New Roman" w:eastAsia="仿宋_GB2312"/>
          <w:sz w:val="28"/>
          <w:szCs w:val="28"/>
          <w:highlight w:val="none"/>
        </w:rPr>
        <w:t>取得了一定成就，有着较好的发展机遇，但在全省数字创意产业空间发展布局中处于缺位、空位状态，亟待自我补位。</w:t>
      </w:r>
    </w:p>
    <w:p>
      <w:pPr>
        <w:spacing w:line="360" w:lineRule="auto"/>
        <w:ind w:firstLine="562" w:firstLineChars="200"/>
        <w:rPr>
          <w:rFonts w:ascii="仿宋_GB2312" w:hAnsi="Times New Roman" w:eastAsia="仿宋_GB2312"/>
          <w:b/>
          <w:bCs/>
          <w:sz w:val="28"/>
          <w:szCs w:val="28"/>
          <w:highlight w:val="none"/>
        </w:rPr>
      </w:pPr>
      <w:bookmarkStart w:id="12" w:name="_Toc30025"/>
      <w:r>
        <w:rPr>
          <w:rFonts w:hint="eastAsia" w:ascii="仿宋_GB2312" w:hAnsi="Times New Roman" w:eastAsia="仿宋_GB2312"/>
          <w:b/>
          <w:bCs/>
          <w:sz w:val="28"/>
          <w:szCs w:val="28"/>
          <w:highlight w:val="none"/>
        </w:rPr>
        <w:t>1.数字创意产业价值有待挖掘</w:t>
      </w:r>
      <w:bookmarkEnd w:id="12"/>
    </w:p>
    <w:p>
      <w:pPr>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数字创意价值认知不足，对数字资源作为关键生产要素的重视程度不够，培育新动能推动新发展的意识不强；融合发展能力不强，数字应用场景开发不深，培育新业态新模式本领不强；企业创新力不强，数字资源开发利用不充分，基于大数据的创新应用不多，数字产业化发展偏慢。</w:t>
      </w:r>
    </w:p>
    <w:p>
      <w:pPr>
        <w:widowControl/>
        <w:spacing w:line="360" w:lineRule="auto"/>
        <w:ind w:firstLine="562" w:firstLineChars="200"/>
        <w:jc w:val="left"/>
        <w:rPr>
          <w:rFonts w:ascii="仿宋_GB2312" w:hAnsi="Times New Roman" w:eastAsia="仿宋_GB2312"/>
          <w:b/>
          <w:bCs/>
          <w:sz w:val="28"/>
          <w:szCs w:val="28"/>
          <w:highlight w:val="none"/>
        </w:rPr>
      </w:pPr>
      <w:bookmarkStart w:id="13" w:name="_Toc28891"/>
      <w:r>
        <w:rPr>
          <w:rFonts w:hint="eastAsia" w:ascii="仿宋_GB2312" w:hAnsi="Times New Roman" w:eastAsia="仿宋_GB2312"/>
          <w:b/>
          <w:bCs/>
          <w:sz w:val="28"/>
          <w:szCs w:val="28"/>
          <w:highlight w:val="none"/>
        </w:rPr>
        <w:t>2.数字创意产业生态有待完善</w:t>
      </w:r>
      <w:bookmarkEnd w:id="13"/>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数字创意产业集聚程度不高，产业集群规模较小，集群优势不明显；缺乏龙头企业带动，对标长三角先发城市，六安市相关企业在自身体量和对产业链上下游的集聚力上相差较大，产业集聚效应未能得到充分释放；缺少平台型企业引领，投入资金不足，孵化效果不明显，数字生态构建对数字创意产业增长的推动力不够。</w:t>
      </w:r>
    </w:p>
    <w:p>
      <w:pPr>
        <w:spacing w:line="360" w:lineRule="auto"/>
        <w:ind w:firstLine="562" w:firstLineChars="200"/>
        <w:rPr>
          <w:rFonts w:ascii="仿宋_GB2312" w:hAnsi="Times New Roman" w:eastAsia="仿宋_GB2312"/>
          <w:b/>
          <w:bCs/>
          <w:sz w:val="28"/>
          <w:szCs w:val="28"/>
          <w:highlight w:val="none"/>
        </w:rPr>
      </w:pPr>
      <w:bookmarkStart w:id="14" w:name="_Toc2770"/>
      <w:r>
        <w:rPr>
          <w:rFonts w:hint="eastAsia" w:ascii="仿宋_GB2312" w:hAnsi="Times New Roman" w:eastAsia="仿宋_GB2312"/>
          <w:b/>
          <w:bCs/>
          <w:sz w:val="28"/>
          <w:szCs w:val="28"/>
          <w:highlight w:val="none"/>
        </w:rPr>
        <w:t>3.数字创意产业基础有待夯实</w:t>
      </w:r>
      <w:bookmarkEnd w:id="14"/>
    </w:p>
    <w:p>
      <w:pPr>
        <w:spacing w:line="360" w:lineRule="auto"/>
        <w:ind w:firstLine="560" w:firstLineChars="200"/>
        <w:rPr>
          <w:rFonts w:ascii="宋体" w:hAnsi="宋体" w:eastAsia="仿宋_GB2312" w:cs="宋体"/>
          <w:sz w:val="32"/>
          <w:szCs w:val="32"/>
          <w:highlight w:val="none"/>
          <w:shd w:val="clear" w:color="auto" w:fill="FFFFFF"/>
        </w:rPr>
      </w:pPr>
      <w:r>
        <w:rPr>
          <w:rFonts w:hint="eastAsia" w:ascii="仿宋_GB2312" w:hAnsi="Times New Roman" w:eastAsia="仿宋_GB2312"/>
          <w:sz w:val="28"/>
          <w:szCs w:val="28"/>
          <w:highlight w:val="none"/>
        </w:rPr>
        <w:t>数字技术创新平台支撑不足，在大数据、云计算、网络信息安全等领域的技术创新平台数量较少；新一代信息基础设施急需完善，5G、IPv6、工业互联网等新一代信息基础设施建设有待加快，“万物互联”向“万物数联”的演进步伐缓慢；产业园区公共创新平台、投融资平台建设欠缺，企业研发投入强度较低；数字创意产业发展政策体系欠缺，现有政策条款无法有效满足数字创意企业发展需要，专项化、精准化等系列政策有待出台，政策体系有待完善；政府部门之间协作程度有待提高，数据统计路径及发展指导路径有待统一。</w:t>
      </w:r>
    </w:p>
    <w:p>
      <w:pPr>
        <w:widowControl/>
        <w:spacing w:line="360" w:lineRule="auto"/>
        <w:ind w:firstLine="562" w:firstLineChars="200"/>
        <w:jc w:val="left"/>
        <w:rPr>
          <w:rFonts w:ascii="仿宋_GB2312" w:hAnsi="Times New Roman" w:eastAsia="仿宋_GB2312"/>
          <w:b/>
          <w:bCs/>
          <w:sz w:val="28"/>
          <w:szCs w:val="28"/>
          <w:highlight w:val="none"/>
        </w:rPr>
      </w:pPr>
      <w:bookmarkStart w:id="15" w:name="_Toc535311465"/>
      <w:bookmarkStart w:id="16" w:name="_Toc16152"/>
      <w:r>
        <w:rPr>
          <w:rFonts w:hint="eastAsia" w:ascii="仿宋_GB2312" w:hAnsi="Times New Roman" w:eastAsia="仿宋_GB2312"/>
          <w:b/>
          <w:bCs/>
          <w:sz w:val="28"/>
          <w:szCs w:val="28"/>
          <w:highlight w:val="none"/>
        </w:rPr>
        <w:t>4</w:t>
      </w:r>
      <w:bookmarkEnd w:id="15"/>
      <w:r>
        <w:rPr>
          <w:rFonts w:hint="eastAsia" w:ascii="仿宋_GB2312" w:hAnsi="Times New Roman" w:eastAsia="仿宋_GB2312"/>
          <w:b/>
          <w:bCs/>
          <w:sz w:val="28"/>
          <w:szCs w:val="28"/>
          <w:highlight w:val="none"/>
        </w:rPr>
        <w:t>.数字创意产业人才有待引育</w:t>
      </w:r>
      <w:bookmarkEnd w:id="16"/>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数字+”行业应用经验的跨界复合型人才紧缺，在大数据、云计算、人工智能等领域，拥有核心技术并具备产业化条件的人才和团队数量偏少；高端人才及团队引进不足，人才“引、育、用、留”一体推进的良好机制有待完善；本地数字型、应用型、复合型人才培养力度不够，“政、产、学、研、用、创”结合不紧密。</w:t>
      </w:r>
    </w:p>
    <w:p>
      <w:pPr>
        <w:widowControl/>
        <w:spacing w:line="360" w:lineRule="auto"/>
        <w:ind w:firstLine="562" w:firstLineChars="200"/>
        <w:jc w:val="left"/>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5.数字创意产业定位有待明确</w:t>
      </w:r>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南京、武汉等省外城市 “虹吸效应”较为明显，合肥、芜湖等省内城市数字创意产业发展速度显著加快，六安在引进技术、高端人才引留、优质项目招商引资等竞争上面临更大压力，数字创意产业的城市定位亟待破题。</w:t>
      </w:r>
    </w:p>
    <w:p>
      <w:pPr>
        <w:pStyle w:val="2"/>
        <w:spacing w:line="360" w:lineRule="auto"/>
        <w:ind w:firstLine="602"/>
        <w:rPr>
          <w:color w:val="auto"/>
          <w:highlight w:val="none"/>
        </w:rPr>
      </w:pPr>
      <w:bookmarkStart w:id="17" w:name="_Toc7770"/>
      <w:bookmarkStart w:id="18" w:name="_Toc4178"/>
      <w:bookmarkStart w:id="19" w:name="_Toc4767"/>
      <w:r>
        <w:rPr>
          <w:rFonts w:hint="eastAsia"/>
          <w:color w:val="auto"/>
          <w:highlight w:val="none"/>
        </w:rPr>
        <w:t>二、总体要求</w:t>
      </w:r>
      <w:bookmarkEnd w:id="17"/>
      <w:bookmarkEnd w:id="18"/>
      <w:bookmarkEnd w:id="19"/>
      <w:bookmarkStart w:id="20" w:name="_Toc10320"/>
      <w:bookmarkStart w:id="21" w:name="_Toc14139"/>
    </w:p>
    <w:p>
      <w:pPr>
        <w:pStyle w:val="3"/>
        <w:spacing w:line="360" w:lineRule="auto"/>
        <w:ind w:firstLine="643"/>
        <w:rPr>
          <w:highlight w:val="none"/>
        </w:rPr>
      </w:pPr>
      <w:bookmarkStart w:id="22" w:name="_Toc12801"/>
      <w:r>
        <w:rPr>
          <w:rFonts w:hint="eastAsia"/>
          <w:highlight w:val="none"/>
        </w:rPr>
        <w:t>（一）指导思</w:t>
      </w:r>
      <w:bookmarkEnd w:id="20"/>
      <w:bookmarkEnd w:id="21"/>
      <w:r>
        <w:rPr>
          <w:rFonts w:hint="eastAsia"/>
          <w:highlight w:val="none"/>
        </w:rPr>
        <w:t>想</w:t>
      </w:r>
      <w:bookmarkEnd w:id="22"/>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坚持以习近平新时代中国特色社会主义思想为指导，深入贯彻党的十九大及十九届历次全会精神，全面贯彻落实习近平总书记相关重要论述和考察安徽重要讲话指示精神，立足新发展阶段，完整、准确、全面贯彻新发展理念，服务和融入新发展格局。紧紧围绕安徽省委、省政府关于加快“数字江淮”建设总体部署，以数据为关键资源，坚持以数字技术与实体经济深度融合为主线，抢抓国家实施数字经济战略新机遇，统筹推进全市数字创意产业发展，以数字化转型整体驱动生产方式、生活方式和治理方式变革，营造开放、健康、安全的数字生态，完善治理体系，赋能传统产业转型升级，培育新产业新业态新模式，推动数字创意产业高质量发展。</w:t>
      </w:r>
    </w:p>
    <w:p>
      <w:pPr>
        <w:pStyle w:val="3"/>
        <w:spacing w:line="360" w:lineRule="auto"/>
        <w:ind w:firstLine="643"/>
        <w:rPr>
          <w:highlight w:val="none"/>
        </w:rPr>
      </w:pPr>
      <w:bookmarkStart w:id="23" w:name="_Toc32198"/>
      <w:bookmarkStart w:id="24" w:name="_Toc10564"/>
      <w:r>
        <w:rPr>
          <w:rFonts w:hint="eastAsia"/>
          <w:highlight w:val="none"/>
        </w:rPr>
        <w:t>（二）发展原则</w:t>
      </w:r>
      <w:bookmarkEnd w:id="23"/>
      <w:bookmarkEnd w:id="24"/>
    </w:p>
    <w:p>
      <w:pPr>
        <w:widowControl/>
        <w:spacing w:line="360" w:lineRule="auto"/>
        <w:ind w:firstLine="562" w:firstLineChars="200"/>
        <w:jc w:val="left"/>
        <w:rPr>
          <w:rFonts w:ascii="仿宋_GB2312" w:hAnsi="Times New Roman" w:eastAsia="仿宋_GB2312"/>
          <w:b/>
          <w:bCs/>
          <w:sz w:val="28"/>
          <w:szCs w:val="28"/>
          <w:highlight w:val="none"/>
        </w:rPr>
      </w:pPr>
      <w:bookmarkStart w:id="25" w:name="_Toc28287"/>
      <w:r>
        <w:rPr>
          <w:rFonts w:hint="eastAsia" w:ascii="仿宋_GB2312" w:hAnsi="Times New Roman" w:eastAsia="仿宋_GB2312"/>
          <w:b/>
          <w:bCs/>
          <w:sz w:val="28"/>
          <w:szCs w:val="28"/>
          <w:highlight w:val="none"/>
        </w:rPr>
        <w:t>1.政府引领，市场主导</w:t>
      </w:r>
      <w:bookmarkEnd w:id="25"/>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遵循数字创意产业发展规律，通过完善体制机制、优化产业环境、综合运用各种政策来引导资源配置。依靠市场配置资源的能力，促进生产要素合理流动和专业化分工，创建公平的市场环境，增强产业可持续发展能力。</w:t>
      </w:r>
    </w:p>
    <w:p>
      <w:pPr>
        <w:widowControl/>
        <w:spacing w:line="360" w:lineRule="auto"/>
        <w:ind w:firstLine="562" w:firstLineChars="200"/>
        <w:jc w:val="left"/>
        <w:rPr>
          <w:rFonts w:ascii="仿宋_GB2312" w:hAnsi="Times New Roman" w:eastAsia="仿宋_GB2312"/>
          <w:b/>
          <w:bCs/>
          <w:sz w:val="28"/>
          <w:szCs w:val="28"/>
          <w:highlight w:val="none"/>
        </w:rPr>
      </w:pPr>
      <w:bookmarkStart w:id="26" w:name="_Toc11451"/>
      <w:r>
        <w:rPr>
          <w:rFonts w:hint="eastAsia" w:ascii="仿宋_GB2312" w:hAnsi="Times New Roman" w:eastAsia="仿宋_GB2312"/>
          <w:b/>
          <w:bCs/>
          <w:sz w:val="28"/>
          <w:szCs w:val="28"/>
          <w:highlight w:val="none"/>
        </w:rPr>
        <w:t>2.创新驱动，数字赋能</w:t>
      </w:r>
      <w:bookmarkEnd w:id="26"/>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坚持把创新作为推动产业发展的第一动力，推进数字技术向经济社会和产业发展各领域广泛深入渗透。集中优势资源，形成以数字技术与产业融合发展的新格局，实现产业链相关领域从无到有的突破，积极向数字创意产业应用和基础设施、数据服务等领域延伸发展，扩大产业规模。</w:t>
      </w:r>
    </w:p>
    <w:p>
      <w:pPr>
        <w:widowControl/>
        <w:spacing w:line="360" w:lineRule="auto"/>
        <w:ind w:firstLine="562" w:firstLineChars="200"/>
        <w:jc w:val="left"/>
        <w:rPr>
          <w:rFonts w:ascii="仿宋_GB2312" w:hAnsi="Times New Roman" w:eastAsia="仿宋_GB2312"/>
          <w:b/>
          <w:bCs/>
          <w:sz w:val="28"/>
          <w:szCs w:val="28"/>
          <w:highlight w:val="none"/>
        </w:rPr>
      </w:pPr>
      <w:bookmarkStart w:id="27" w:name="_Toc26756"/>
      <w:r>
        <w:rPr>
          <w:rFonts w:hint="eastAsia" w:ascii="仿宋_GB2312" w:hAnsi="Times New Roman" w:eastAsia="仿宋_GB2312"/>
          <w:b/>
          <w:bCs/>
          <w:sz w:val="28"/>
          <w:szCs w:val="28"/>
          <w:highlight w:val="none"/>
        </w:rPr>
        <w:t>3.重点突破，特色发展</w:t>
      </w:r>
      <w:bookmarkEnd w:id="27"/>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立足六大主导产业，结合数字创意产业发展重点领域，加大政策扶持力度，推动与本地优势产业相关的应用企业落地。发挥“五色”六安的特色和优势，差异化定位发展，按照产业链延伸的方式，完善产业布局。</w:t>
      </w:r>
    </w:p>
    <w:p>
      <w:pPr>
        <w:widowControl/>
        <w:spacing w:line="360" w:lineRule="auto"/>
        <w:ind w:firstLine="562" w:firstLineChars="200"/>
        <w:jc w:val="left"/>
        <w:rPr>
          <w:rFonts w:ascii="仿宋_GB2312" w:hAnsi="Times New Roman" w:eastAsia="仿宋_GB2312"/>
          <w:b/>
          <w:bCs/>
          <w:sz w:val="28"/>
          <w:szCs w:val="28"/>
          <w:highlight w:val="none"/>
        </w:rPr>
      </w:pPr>
      <w:bookmarkStart w:id="28" w:name="_Toc6816"/>
      <w:r>
        <w:rPr>
          <w:rFonts w:hint="eastAsia" w:ascii="仿宋_GB2312" w:hAnsi="Times New Roman" w:eastAsia="仿宋_GB2312"/>
          <w:b/>
          <w:bCs/>
          <w:sz w:val="28"/>
          <w:szCs w:val="28"/>
          <w:highlight w:val="none"/>
        </w:rPr>
        <w:t>4.聚焦园区，项目推动</w:t>
      </w:r>
      <w:bookmarkEnd w:id="28"/>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加快产业发展载体建设，不断改善产业园区基础设施，完善产业园区功能，为产业发展提供土地、配套服务等基础条件，并策划和引进项目落户园区，推动产业集群的形成和发展。</w:t>
      </w:r>
    </w:p>
    <w:p>
      <w:pPr>
        <w:pStyle w:val="3"/>
        <w:spacing w:line="360" w:lineRule="auto"/>
        <w:ind w:firstLine="643"/>
        <w:rPr>
          <w:highlight w:val="none"/>
        </w:rPr>
      </w:pPr>
      <w:bookmarkStart w:id="29" w:name="_Toc14658"/>
      <w:bookmarkStart w:id="30" w:name="_Toc14612"/>
      <w:bookmarkStart w:id="31" w:name="_Toc8912"/>
      <w:r>
        <w:rPr>
          <w:rFonts w:hint="eastAsia"/>
          <w:highlight w:val="none"/>
        </w:rPr>
        <w:t>（三）发展定位</w:t>
      </w:r>
      <w:bookmarkEnd w:id="29"/>
      <w:bookmarkEnd w:id="30"/>
      <w:bookmarkEnd w:id="31"/>
    </w:p>
    <w:p>
      <w:pPr>
        <w:widowControl/>
        <w:spacing w:line="360" w:lineRule="auto"/>
        <w:ind w:firstLine="562" w:firstLineChars="200"/>
        <w:jc w:val="left"/>
        <w:rPr>
          <w:rFonts w:ascii="仿宋_GB2312" w:hAnsi="Times New Roman" w:eastAsia="仿宋_GB2312"/>
          <w:b/>
          <w:bCs/>
          <w:sz w:val="28"/>
          <w:szCs w:val="28"/>
          <w:highlight w:val="none"/>
        </w:rPr>
      </w:pPr>
      <w:bookmarkStart w:id="32" w:name="_Toc20429"/>
      <w:r>
        <w:rPr>
          <w:rFonts w:hint="eastAsia" w:ascii="仿宋_GB2312" w:hAnsi="Times New Roman" w:eastAsia="仿宋_GB2312"/>
          <w:b/>
          <w:bCs/>
          <w:sz w:val="28"/>
          <w:szCs w:val="28"/>
          <w:highlight w:val="none"/>
        </w:rPr>
        <w:t>1.打造“合六武”数字创意产业集聚区</w:t>
      </w:r>
      <w:bookmarkEnd w:id="32"/>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抢抓合六经济廊建设契机，依托合肥物质科学研究院六安双创中心、安徽工业技术创新研究院六安院等创新平台，积极争取武汉及合肥综合性国家科学中心、武汉大学、华中科技大学、</w:t>
      </w:r>
      <w:r>
        <w:rPr>
          <w:rFonts w:hint="eastAsia" w:ascii="仿宋_GB2312" w:hAnsi="Times New Roman" w:eastAsia="仿宋_GB2312"/>
          <w:sz w:val="28"/>
          <w:szCs w:val="28"/>
          <w:highlight w:val="none"/>
          <w:lang w:eastAsia="zh-CN"/>
        </w:rPr>
        <w:t>中国科学技术大学</w:t>
      </w:r>
      <w:r>
        <w:rPr>
          <w:rFonts w:hint="eastAsia" w:ascii="仿宋_GB2312" w:hAnsi="Times New Roman" w:eastAsia="仿宋_GB2312"/>
          <w:sz w:val="28"/>
          <w:szCs w:val="28"/>
          <w:highlight w:val="none"/>
        </w:rPr>
        <w:t>、</w:t>
      </w:r>
      <w:r>
        <w:rPr>
          <w:rFonts w:hint="eastAsia" w:ascii="仿宋_GB2312" w:hAnsi="Times New Roman" w:eastAsia="仿宋_GB2312"/>
          <w:sz w:val="28"/>
          <w:szCs w:val="28"/>
          <w:highlight w:val="none"/>
          <w:lang w:eastAsia="zh-CN"/>
        </w:rPr>
        <w:t>中国科学院等相关高校及</w:t>
      </w:r>
      <w:r>
        <w:rPr>
          <w:rFonts w:hint="eastAsia" w:ascii="仿宋_GB2312" w:hAnsi="Times New Roman" w:eastAsia="仿宋_GB2312"/>
          <w:sz w:val="28"/>
          <w:szCs w:val="28"/>
          <w:highlight w:val="none"/>
        </w:rPr>
        <w:t>科研院所</w:t>
      </w:r>
      <w:r>
        <w:rPr>
          <w:rFonts w:hint="eastAsia" w:ascii="仿宋_GB2312" w:hAnsi="Times New Roman" w:eastAsia="仿宋_GB2312"/>
          <w:sz w:val="28"/>
          <w:szCs w:val="28"/>
          <w:highlight w:val="none"/>
          <w:lang w:eastAsia="zh-CN"/>
        </w:rPr>
        <w:t>的</w:t>
      </w:r>
      <w:r>
        <w:rPr>
          <w:rFonts w:hint="eastAsia" w:ascii="仿宋_GB2312" w:hAnsi="Times New Roman" w:eastAsia="仿宋_GB2312"/>
          <w:sz w:val="28"/>
          <w:szCs w:val="28"/>
          <w:highlight w:val="none"/>
        </w:rPr>
        <w:t xml:space="preserve">创新资源在六安落地孵化，加强与武汉、合肥共建创新链、共享人才链，打造合肥都市圈重要的协同创新基地，武汉数字创意产业策源地的协同基地，携手武汉市、合肥市共同打造成全省乃至全国具有重要影响力的科技策源地。 </w:t>
      </w:r>
    </w:p>
    <w:p>
      <w:pPr>
        <w:widowControl/>
        <w:spacing w:line="360" w:lineRule="auto"/>
        <w:ind w:firstLine="562" w:firstLineChars="200"/>
        <w:jc w:val="left"/>
        <w:rPr>
          <w:rFonts w:ascii="仿宋_GB2312" w:hAnsi="Times New Roman" w:eastAsia="仿宋_GB2312"/>
          <w:b/>
          <w:bCs/>
          <w:sz w:val="28"/>
          <w:szCs w:val="28"/>
          <w:highlight w:val="none"/>
        </w:rPr>
      </w:pPr>
      <w:bookmarkStart w:id="33" w:name="_Toc17431"/>
      <w:r>
        <w:rPr>
          <w:rFonts w:hint="eastAsia" w:ascii="仿宋_GB2312" w:hAnsi="Times New Roman" w:eastAsia="仿宋_GB2312"/>
          <w:b/>
          <w:bCs/>
          <w:sz w:val="28"/>
          <w:szCs w:val="28"/>
          <w:highlight w:val="none"/>
        </w:rPr>
        <w:t>2.争创长三角数字创意产业承接地</w:t>
      </w:r>
      <w:bookmarkEnd w:id="33"/>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依托六安市数字创意产业发展基础，对标省内外等先发地区，深度融入长三角产业链，在新一代信息技术、高端装备制造、新能源汽车及新材料等领域加强与长三角企业沟通协作，提升面向长三角主导产业的配套能力，加快培育等高对接长三角的配套产业集群，建设长三角配套产业发展新高地。</w:t>
      </w:r>
    </w:p>
    <w:p>
      <w:pPr>
        <w:widowControl/>
        <w:spacing w:line="360" w:lineRule="auto"/>
        <w:ind w:firstLine="562" w:firstLineChars="200"/>
        <w:jc w:val="left"/>
        <w:rPr>
          <w:rFonts w:ascii="仿宋_GB2312" w:hAnsi="Times New Roman" w:eastAsia="仿宋_GB2312"/>
          <w:b/>
          <w:bCs/>
          <w:sz w:val="28"/>
          <w:szCs w:val="28"/>
          <w:highlight w:val="none"/>
        </w:rPr>
      </w:pPr>
      <w:bookmarkStart w:id="34" w:name="_Toc20940"/>
      <w:r>
        <w:rPr>
          <w:rFonts w:hint="eastAsia" w:ascii="仿宋_GB2312" w:hAnsi="Times New Roman" w:eastAsia="仿宋_GB2312"/>
          <w:b/>
          <w:bCs/>
          <w:sz w:val="28"/>
          <w:szCs w:val="28"/>
          <w:highlight w:val="none"/>
        </w:rPr>
        <w:t>3.锻造六安社会经济发展助推器</w:t>
      </w:r>
      <w:bookmarkEnd w:id="34"/>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加快发展大数据、人工智能、网络信息安全、新型显示、集成电路等数字产业化，推动家电、装备等传统产业转型升级，促进“数字+”金融、教育、医疗、交通、养老、文旅等服务业数字化提升，推进数字技术与农业深度融合，打造全市经济发展新的增长点。</w:t>
      </w:r>
    </w:p>
    <w:p>
      <w:pPr>
        <w:pStyle w:val="3"/>
        <w:spacing w:line="360" w:lineRule="auto"/>
        <w:ind w:firstLine="643"/>
        <w:rPr>
          <w:highlight w:val="none"/>
        </w:rPr>
      </w:pPr>
      <w:bookmarkStart w:id="35" w:name="_Toc17060"/>
      <w:bookmarkStart w:id="36" w:name="_Toc27939"/>
      <w:r>
        <w:rPr>
          <w:rFonts w:hint="eastAsia"/>
          <w:highlight w:val="none"/>
        </w:rPr>
        <w:t>（四）发展目标</w:t>
      </w:r>
      <w:bookmarkEnd w:id="35"/>
      <w:bookmarkEnd w:id="36"/>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 xml:space="preserve">以创意为核心，数字技术为引领，依托六安市文化底蕴、产业基础等，不断提升数字创意产业发展水平。力争“十四五”末，六安市数字创意产业体量在全省排名中争先进位，产值对全市GDP的贡献度明显提升，在合六经济走廊和长三角一体化产业格局中作用日益凸显。 </w:t>
      </w:r>
    </w:p>
    <w:p>
      <w:pPr>
        <w:widowControl/>
        <w:spacing w:line="360" w:lineRule="auto"/>
        <w:ind w:firstLine="562" w:firstLineChars="200"/>
        <w:jc w:val="left"/>
        <w:rPr>
          <w:rFonts w:ascii="仿宋_GB2312" w:hAnsi="Times New Roman" w:eastAsia="仿宋_GB2312"/>
          <w:b/>
          <w:bCs/>
          <w:sz w:val="28"/>
          <w:szCs w:val="28"/>
          <w:highlight w:val="none"/>
        </w:rPr>
      </w:pPr>
      <w:bookmarkStart w:id="37" w:name="_Toc300"/>
      <w:r>
        <w:rPr>
          <w:rFonts w:hint="eastAsia" w:ascii="仿宋_GB2312" w:hAnsi="Times New Roman" w:eastAsia="仿宋_GB2312"/>
          <w:b/>
          <w:bCs/>
          <w:sz w:val="28"/>
          <w:szCs w:val="28"/>
          <w:highlight w:val="none"/>
        </w:rPr>
        <w:t>1.产业能级提升明显</w:t>
      </w:r>
      <w:bookmarkEnd w:id="37"/>
    </w:p>
    <w:p>
      <w:pPr>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培育一批龙头示范企业，初步形成产业集群。到2025年，形成数字创意产业集聚园区</w:t>
      </w:r>
      <w:r>
        <w:rPr>
          <w:rFonts w:hint="eastAsia" w:ascii="仿宋_GB2312" w:hAnsi="Times New Roman" w:eastAsia="仿宋_GB2312"/>
          <w:sz w:val="28"/>
          <w:szCs w:val="28"/>
          <w:highlight w:val="none"/>
          <w:lang w:val="en-US" w:eastAsia="zh-CN"/>
        </w:rPr>
        <w:t>3</w:t>
      </w:r>
      <w:r>
        <w:rPr>
          <w:rFonts w:hint="eastAsia" w:ascii="仿宋_GB2312" w:hAnsi="Times New Roman" w:eastAsia="仿宋_GB2312"/>
          <w:sz w:val="28"/>
          <w:szCs w:val="28"/>
          <w:highlight w:val="none"/>
        </w:rPr>
        <w:t>家以上，数字创意产业头部企业</w:t>
      </w:r>
      <w:r>
        <w:rPr>
          <w:rFonts w:hint="eastAsia" w:ascii="仿宋_GB2312" w:hAnsi="Times New Roman" w:eastAsia="仿宋_GB2312"/>
          <w:sz w:val="28"/>
          <w:szCs w:val="28"/>
          <w:highlight w:val="none"/>
          <w:lang w:val="en-US" w:eastAsia="zh-CN"/>
        </w:rPr>
        <w:t>30</w:t>
      </w:r>
      <w:r>
        <w:rPr>
          <w:rFonts w:hint="eastAsia" w:ascii="仿宋_GB2312" w:hAnsi="Times New Roman" w:eastAsia="仿宋_GB2312"/>
          <w:sz w:val="28"/>
          <w:szCs w:val="28"/>
          <w:highlight w:val="none"/>
        </w:rPr>
        <w:t>家以上，数字创意产业发展规模突破百亿元产值。数字创意产业加速向中高端迈进，产业链条逐步完善、产品价值链中高端的数字创意产业发展格局初步形成，产业层次迈上新台阶。</w:t>
      </w:r>
    </w:p>
    <w:p>
      <w:pPr>
        <w:widowControl/>
        <w:spacing w:line="360" w:lineRule="auto"/>
        <w:ind w:firstLine="562" w:firstLineChars="200"/>
        <w:jc w:val="left"/>
        <w:rPr>
          <w:rFonts w:ascii="仿宋_GB2312" w:hAnsi="Times New Roman" w:eastAsia="仿宋_GB2312"/>
          <w:b/>
          <w:bCs/>
          <w:sz w:val="28"/>
          <w:szCs w:val="28"/>
          <w:highlight w:val="none"/>
        </w:rPr>
      </w:pPr>
      <w:bookmarkStart w:id="38" w:name="_Toc14488"/>
      <w:r>
        <w:rPr>
          <w:rFonts w:hint="eastAsia" w:ascii="仿宋_GB2312" w:hAnsi="Times New Roman" w:eastAsia="仿宋_GB2312"/>
          <w:b/>
          <w:bCs/>
          <w:sz w:val="28"/>
          <w:szCs w:val="28"/>
          <w:highlight w:val="none"/>
        </w:rPr>
        <w:t>2.数字融合效应显现</w:t>
      </w:r>
      <w:bookmarkEnd w:id="38"/>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 xml:space="preserve">推进5G、云计算、大数据、人工智能、互联网等数字技术与创意产业深度融合，推动数字创意在各领域应用，加快智能化改造、数字化转型的速度，引导企业“上云用数赋智”。 引导、支持企业引入企业资源管理（ERP）、车间生产管理 （MES）及产品生命周期管理（PLM）等系统，促进产品研发设计、流程控制、企业管理、市场营销等环节数字化、网络化、智能化和管理现代化，提升企业生产效率和竞争力。 </w:t>
      </w:r>
    </w:p>
    <w:p>
      <w:pPr>
        <w:widowControl/>
        <w:spacing w:line="360" w:lineRule="auto"/>
        <w:ind w:firstLine="562" w:firstLineChars="200"/>
        <w:jc w:val="left"/>
        <w:rPr>
          <w:rFonts w:ascii="仿宋_GB2312" w:hAnsi="Times New Roman" w:eastAsia="仿宋_GB2312"/>
          <w:b/>
          <w:bCs/>
          <w:sz w:val="28"/>
          <w:szCs w:val="28"/>
          <w:highlight w:val="none"/>
        </w:rPr>
      </w:pPr>
      <w:bookmarkStart w:id="39" w:name="_Toc1710"/>
      <w:r>
        <w:rPr>
          <w:rFonts w:hint="eastAsia" w:ascii="仿宋_GB2312" w:hAnsi="Times New Roman" w:eastAsia="仿宋_GB2312"/>
          <w:b/>
          <w:bCs/>
          <w:sz w:val="28"/>
          <w:szCs w:val="28"/>
          <w:highlight w:val="none"/>
        </w:rPr>
        <w:t>3.协同创新成效显著</w:t>
      </w:r>
      <w:bookmarkEnd w:id="39"/>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依托产业链、人才链、价值链，创新要素集聚方式，建设一批高质量的合作共建园区和产业链协作配套基地，数字创意产业发展取得明显成效。借力“飞地经济”，与长三角先发地区加强合作，形成紧密协作关系，基本确立利益共享机制。</w:t>
      </w:r>
    </w:p>
    <w:p>
      <w:pPr>
        <w:widowControl/>
        <w:spacing w:line="360" w:lineRule="auto"/>
        <w:ind w:firstLine="562" w:firstLineChars="200"/>
        <w:jc w:val="left"/>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4.数创企业竞相发展</w:t>
      </w:r>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建立全市数字创意企业目录和数据库，加强对数字创意重点企业、高成长企业、初创型企业的分类指导，鼓励各地建立健全企业梯度培育机制，出台相关培育政策，着力发展“大而强”，积极培育“小而优”，形成企业竞相发展的良好局面。</w:t>
      </w:r>
    </w:p>
    <w:p>
      <w:pPr>
        <w:pStyle w:val="2"/>
        <w:spacing w:line="360" w:lineRule="auto"/>
        <w:ind w:firstLine="602"/>
        <w:rPr>
          <w:color w:val="auto"/>
          <w:highlight w:val="none"/>
        </w:rPr>
      </w:pPr>
      <w:bookmarkStart w:id="40" w:name="_Toc27229"/>
      <w:r>
        <w:rPr>
          <w:rFonts w:hint="eastAsia"/>
          <w:color w:val="auto"/>
          <w:highlight w:val="none"/>
        </w:rPr>
        <w:t>三、主要任务</w:t>
      </w:r>
      <w:bookmarkEnd w:id="40"/>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在六安市数字创意产业发展定位和建设目标的指引下，十四五期间我市数字创意产业在空间、生态、市场等五大维度上发展的主要任务如下。</w:t>
      </w:r>
    </w:p>
    <w:p>
      <w:pPr>
        <w:pStyle w:val="3"/>
        <w:spacing w:line="360" w:lineRule="auto"/>
        <w:ind w:firstLine="643"/>
        <w:rPr>
          <w:highlight w:val="none"/>
        </w:rPr>
      </w:pPr>
      <w:bookmarkStart w:id="41" w:name="_Toc6088"/>
      <w:r>
        <w:rPr>
          <w:rFonts w:hint="eastAsia"/>
          <w:highlight w:val="none"/>
        </w:rPr>
        <w:t>（一）构建数字创意产业新空间</w:t>
      </w:r>
      <w:bookmarkEnd w:id="41"/>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按照数字创意产业资源和主体功能区布局，在遵循六安市整体空间发展结构基础上，推动数字创意资源空间的有序开发，促进县区间合理分工和相互合作，错位发展，培育构建六安市“一廊引领，三核驱动，多点联动”的网络化空间新格局。</w:t>
      </w:r>
    </w:p>
    <w:p>
      <w:pPr>
        <w:widowControl/>
        <w:spacing w:line="360" w:lineRule="auto"/>
        <w:ind w:firstLine="562" w:firstLineChars="200"/>
        <w:jc w:val="left"/>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1.一廊引领：“合六武”新走廊</w:t>
      </w:r>
    </w:p>
    <w:p>
      <w:pPr>
        <w:widowControl/>
        <w:spacing w:line="360" w:lineRule="auto"/>
        <w:ind w:firstLine="560" w:firstLineChars="200"/>
        <w:jc w:val="left"/>
        <w:rPr>
          <w:rFonts w:hint="eastAsia" w:ascii="仿宋_GB2312" w:hAnsi="Times New Roman" w:eastAsia="仿宋_GB2312"/>
          <w:sz w:val="28"/>
          <w:szCs w:val="28"/>
          <w:highlight w:val="none"/>
          <w:lang w:eastAsia="zh-CN"/>
        </w:rPr>
      </w:pPr>
      <w:r>
        <w:rPr>
          <w:rFonts w:hint="eastAsia" w:ascii="仿宋_GB2312" w:hAnsi="Times New Roman" w:eastAsia="仿宋_GB2312"/>
          <w:sz w:val="28"/>
          <w:szCs w:val="28"/>
          <w:highlight w:val="none"/>
        </w:rPr>
        <w:t>以合六经济走廊为基础，数字化延伸构建长三角——合肥——六安——叶集——金寨——武汉的新廊道空间</w:t>
      </w:r>
      <w:r>
        <w:rPr>
          <w:rFonts w:hint="eastAsia" w:ascii="仿宋_GB2312" w:hAnsi="Times New Roman" w:eastAsia="仿宋_GB2312"/>
          <w:sz w:val="28"/>
          <w:szCs w:val="28"/>
          <w:highlight w:val="none"/>
          <w:lang w:eastAsia="zh-CN"/>
        </w:rPr>
        <w:t>，</w:t>
      </w:r>
      <w:r>
        <w:rPr>
          <w:rFonts w:hint="eastAsia" w:ascii="仿宋_GB2312" w:hAnsi="Times New Roman" w:eastAsia="仿宋_GB2312"/>
          <w:sz w:val="28"/>
          <w:szCs w:val="28"/>
          <w:highlight w:val="none"/>
        </w:rPr>
        <w:t>重点在沿轴线区域大力发展突出</w:t>
      </w:r>
      <w:r>
        <w:rPr>
          <w:rFonts w:hint="eastAsia" w:ascii="仿宋_GB2312" w:hAnsi="Times New Roman" w:eastAsia="仿宋_GB2312"/>
          <w:sz w:val="28"/>
          <w:szCs w:val="28"/>
          <w:highlight w:val="none"/>
          <w:lang w:val="en-US" w:eastAsia="zh-CN"/>
        </w:rPr>
        <w:t>数字装备、智能家电、特色电商、文学公园等</w:t>
      </w:r>
      <w:r>
        <w:rPr>
          <w:rFonts w:hint="eastAsia" w:ascii="仿宋_GB2312" w:hAnsi="Times New Roman" w:eastAsia="仿宋_GB2312"/>
          <w:sz w:val="28"/>
          <w:szCs w:val="28"/>
          <w:highlight w:val="none"/>
        </w:rPr>
        <w:t>地域资源和文化特色的数字创意产业，力推数字创意产业与六安传统产业融合发展，突出“历史+文化+数字+科技”特征，打造一条横贯东西，集聚六安市数字创意产业园区及企业，</w:t>
      </w:r>
      <w:r>
        <w:rPr>
          <w:rFonts w:hint="eastAsia" w:ascii="仿宋_GB2312" w:hAnsi="Times New Roman" w:eastAsia="仿宋_GB2312"/>
          <w:sz w:val="28"/>
          <w:szCs w:val="28"/>
          <w:highlight w:val="none"/>
          <w:lang w:eastAsia="zh-CN"/>
        </w:rPr>
        <w:t>形成</w:t>
      </w:r>
      <w:r>
        <w:rPr>
          <w:rFonts w:hint="eastAsia" w:ascii="仿宋_GB2312" w:hAnsi="Times New Roman" w:eastAsia="仿宋_GB2312"/>
          <w:sz w:val="28"/>
          <w:szCs w:val="28"/>
          <w:highlight w:val="none"/>
        </w:rPr>
        <w:t>总覆盖面积达2000平方公里的数字创意产业空间新走廊。</w:t>
      </w:r>
    </w:p>
    <w:p>
      <w:pPr>
        <w:widowControl/>
        <w:spacing w:line="360" w:lineRule="auto"/>
        <w:ind w:left="420" w:firstLine="281" w:firstLineChars="100"/>
        <w:jc w:val="left"/>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2.</w:t>
      </w:r>
      <w:r>
        <w:rPr>
          <w:rFonts w:hint="eastAsia" w:ascii="仿宋_GB2312" w:hAnsi="Times New Roman" w:eastAsia="仿宋_GB2312"/>
          <w:b/>
          <w:bCs/>
          <w:sz w:val="28"/>
          <w:szCs w:val="28"/>
          <w:highlight w:val="none"/>
          <w:lang w:val="en-US" w:eastAsia="zh-CN"/>
        </w:rPr>
        <w:t>三</w:t>
      </w:r>
      <w:r>
        <w:rPr>
          <w:rFonts w:hint="eastAsia" w:ascii="仿宋_GB2312" w:hAnsi="Times New Roman" w:eastAsia="仿宋_GB2312"/>
          <w:b/>
          <w:bCs/>
          <w:sz w:val="28"/>
          <w:szCs w:val="28"/>
          <w:highlight w:val="none"/>
        </w:rPr>
        <w:t>核驱动</w:t>
      </w:r>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强化“一廊”引领，聚集优势数字创意产业，根据各区域资源禀赋差异，打造“数创装备制造核心区”“红色文旅</w:t>
      </w:r>
      <w:r>
        <w:rPr>
          <w:rFonts w:hint="eastAsia" w:ascii="仿宋_GB2312" w:hAnsi="Times New Roman" w:eastAsia="仿宋_GB2312"/>
          <w:sz w:val="28"/>
          <w:szCs w:val="28"/>
          <w:highlight w:val="none"/>
          <w:lang w:val="en-US" w:eastAsia="zh-CN"/>
        </w:rPr>
        <w:t>数创</w:t>
      </w:r>
      <w:r>
        <w:rPr>
          <w:rFonts w:hint="eastAsia" w:ascii="仿宋_GB2312" w:hAnsi="Times New Roman" w:eastAsia="仿宋_GB2312"/>
          <w:sz w:val="28"/>
          <w:szCs w:val="28"/>
          <w:highlight w:val="none"/>
        </w:rPr>
        <w:t>核心区”</w:t>
      </w:r>
      <w:r>
        <w:rPr>
          <w:rFonts w:hint="eastAsia" w:ascii="仿宋_GB2312" w:hAnsi="Times New Roman" w:eastAsia="仿宋_GB2312"/>
          <w:sz w:val="28"/>
          <w:szCs w:val="28"/>
          <w:highlight w:val="none"/>
          <w:lang w:eastAsia="zh-CN"/>
        </w:rPr>
        <w:t>“</w:t>
      </w:r>
      <w:r>
        <w:rPr>
          <w:rFonts w:hint="eastAsia" w:ascii="仿宋_GB2312" w:hAnsi="Times New Roman" w:eastAsia="仿宋_GB2312"/>
          <w:sz w:val="28"/>
          <w:szCs w:val="28"/>
          <w:highlight w:val="none"/>
          <w:lang w:val="en-US" w:eastAsia="zh-CN"/>
        </w:rPr>
        <w:t>智慧康养核心区”三</w:t>
      </w:r>
      <w:r>
        <w:rPr>
          <w:rFonts w:hint="eastAsia" w:ascii="仿宋_GB2312" w:hAnsi="Times New Roman" w:eastAsia="仿宋_GB2312"/>
          <w:sz w:val="28"/>
          <w:szCs w:val="28"/>
          <w:highlight w:val="none"/>
        </w:rPr>
        <w:t>个战略性重点发展核心领域，发挥规模效应，驱动数字创意产业新发展，形成辐射性生态效应。</w:t>
      </w:r>
    </w:p>
    <w:p>
      <w:pPr>
        <w:widowControl/>
        <w:spacing w:line="360" w:lineRule="auto"/>
        <w:ind w:firstLine="562" w:firstLineChars="200"/>
        <w:jc w:val="left"/>
        <w:rPr>
          <w:rFonts w:hint="eastAsia" w:ascii="仿宋_GB2312" w:hAnsi="Times New Roman" w:eastAsia="仿宋_GB2312"/>
          <w:sz w:val="28"/>
          <w:szCs w:val="28"/>
          <w:highlight w:val="none"/>
        </w:rPr>
      </w:pPr>
      <w:r>
        <w:rPr>
          <w:rFonts w:hint="eastAsia" w:ascii="仿宋_GB2312" w:hAnsi="Times New Roman" w:eastAsia="仿宋_GB2312"/>
          <w:b/>
          <w:bCs/>
          <w:sz w:val="28"/>
          <w:szCs w:val="28"/>
          <w:highlight w:val="none"/>
        </w:rPr>
        <w:t>数创装备制造核心区。</w:t>
      </w:r>
      <w:r>
        <w:rPr>
          <w:rFonts w:hint="eastAsia" w:ascii="仿宋_GB2312" w:hAnsi="Times New Roman" w:eastAsia="仿宋_GB2312"/>
          <w:sz w:val="28"/>
          <w:szCs w:val="28"/>
          <w:highlight w:val="none"/>
        </w:rPr>
        <w:t>数创装备制造核心区以六安经济技术开发区为轴线，以金寨县、舒城县为辐射点，借力安徽大力发展数字创意技术装备制造带和打造具有国际影响力的数字创意技术装备制造中心的契机，结合六安自身在高端装备制造业、智慧信息产业发展方向，推动传统制造业与数字创意产业的融合发展，打造承接合肥、武汉、长三角区域数创装备制造业核心集聚区。</w:t>
      </w:r>
      <w:r>
        <w:rPr>
          <w:rFonts w:hint="eastAsia" w:ascii="仿宋" w:hAnsi="仿宋" w:eastAsia="仿宋" w:cs="仿宋"/>
          <w:b w:val="0"/>
          <w:bCs w:val="0"/>
          <w:color w:val="auto"/>
          <w:sz w:val="28"/>
          <w:szCs w:val="28"/>
          <w:u w:val="none"/>
          <w:lang w:val="en-US" w:eastAsia="zh-CN"/>
        </w:rPr>
        <w:t>围绕虚拟现实、数字技术制播等领域，</w:t>
      </w:r>
      <w:r>
        <w:rPr>
          <w:rFonts w:hint="eastAsia" w:ascii="仿宋_GB2312" w:hAnsi="Times New Roman" w:eastAsia="仿宋_GB2312"/>
          <w:sz w:val="28"/>
          <w:szCs w:val="28"/>
          <w:highlight w:val="none"/>
        </w:rPr>
        <w:t>重点发展</w:t>
      </w:r>
      <w:r>
        <w:rPr>
          <w:rFonts w:hint="eastAsia" w:ascii="仿宋" w:hAnsi="仿宋" w:eastAsia="仿宋" w:cs="仿宋"/>
          <w:b w:val="0"/>
          <w:bCs w:val="0"/>
          <w:color w:val="auto"/>
          <w:sz w:val="28"/>
          <w:szCs w:val="28"/>
          <w:highlight w:val="none"/>
          <w:u w:val="none"/>
          <w:lang w:val="en-US" w:eastAsia="zh-CN"/>
        </w:rPr>
        <w:t>广播电视设备</w:t>
      </w:r>
      <w:r>
        <w:rPr>
          <w:rFonts w:hint="eastAsia" w:ascii="仿宋" w:hAnsi="仿宋" w:eastAsia="仿宋" w:cs="仿宋"/>
          <w:b w:val="0"/>
          <w:bCs w:val="0"/>
          <w:color w:val="auto"/>
          <w:sz w:val="28"/>
          <w:szCs w:val="28"/>
          <w:u w:val="none"/>
          <w:lang w:val="en-US" w:eastAsia="zh-CN"/>
        </w:rPr>
        <w:t>、专业音响设备及其他智能消费设备制造，提升</w:t>
      </w:r>
      <w:r>
        <w:rPr>
          <w:rFonts w:hint="eastAsia" w:ascii="仿宋_GB2312" w:hAnsi="Times New Roman" w:eastAsia="仿宋_GB2312"/>
          <w:sz w:val="28"/>
          <w:szCs w:val="28"/>
          <w:highlight w:val="none"/>
        </w:rPr>
        <w:t>演艺、网络、动漫、电竞等领域的技术装备水平，打造数字创意产业的上游支柱产业。吸引长三角、珠三角数字装备制造生产商落户六安市，集中建设相关园区，发挥辐射影响。</w:t>
      </w:r>
    </w:p>
    <w:p>
      <w:pPr>
        <w:widowControl/>
        <w:spacing w:line="360" w:lineRule="auto"/>
        <w:ind w:firstLine="562" w:firstLineChars="200"/>
        <w:jc w:val="left"/>
        <w:rPr>
          <w:rFonts w:hint="eastAsia" w:ascii="仿宋_GB2312" w:hAnsi="Times New Roman" w:eastAsia="仿宋_GB2312"/>
          <w:sz w:val="28"/>
          <w:szCs w:val="28"/>
          <w:highlight w:val="none"/>
          <w:lang w:eastAsia="zh-CN"/>
        </w:rPr>
      </w:pPr>
      <w:r>
        <w:rPr>
          <w:rFonts w:hint="eastAsia" w:ascii="仿宋_GB2312" w:hAnsi="Times New Roman" w:eastAsia="仿宋_GB2312"/>
          <w:b/>
          <w:bCs/>
          <w:sz w:val="28"/>
          <w:szCs w:val="28"/>
          <w:highlight w:val="none"/>
        </w:rPr>
        <w:t>红色文旅</w:t>
      </w:r>
      <w:r>
        <w:rPr>
          <w:rFonts w:hint="eastAsia" w:ascii="仿宋_GB2312" w:hAnsi="Times New Roman" w:eastAsia="仿宋_GB2312"/>
          <w:b/>
          <w:bCs/>
          <w:sz w:val="28"/>
          <w:szCs w:val="28"/>
          <w:highlight w:val="none"/>
          <w:lang w:val="en-US" w:eastAsia="zh-CN"/>
        </w:rPr>
        <w:t>数创</w:t>
      </w:r>
      <w:r>
        <w:rPr>
          <w:rFonts w:hint="eastAsia" w:ascii="仿宋_GB2312" w:hAnsi="Times New Roman" w:eastAsia="仿宋_GB2312"/>
          <w:b/>
          <w:bCs/>
          <w:sz w:val="28"/>
          <w:szCs w:val="28"/>
          <w:highlight w:val="none"/>
        </w:rPr>
        <w:t>核心区。</w:t>
      </w:r>
      <w:r>
        <w:rPr>
          <w:rFonts w:hint="eastAsia" w:ascii="仿宋_GB2312" w:hAnsi="Times New Roman" w:eastAsia="仿宋_GB2312"/>
          <w:b w:val="0"/>
          <w:bCs w:val="0"/>
          <w:sz w:val="28"/>
          <w:szCs w:val="28"/>
          <w:highlight w:val="none"/>
        </w:rPr>
        <w:t>红色文旅</w:t>
      </w:r>
      <w:r>
        <w:rPr>
          <w:rFonts w:hint="eastAsia" w:ascii="仿宋_GB2312" w:hAnsi="Times New Roman" w:eastAsia="仿宋_GB2312"/>
          <w:b w:val="0"/>
          <w:bCs w:val="0"/>
          <w:sz w:val="28"/>
          <w:szCs w:val="28"/>
          <w:highlight w:val="none"/>
          <w:lang w:val="en-US" w:eastAsia="zh-CN"/>
        </w:rPr>
        <w:t>数创</w:t>
      </w:r>
      <w:r>
        <w:rPr>
          <w:rFonts w:hint="eastAsia" w:ascii="仿宋_GB2312" w:hAnsi="Times New Roman" w:eastAsia="仿宋_GB2312"/>
          <w:b w:val="0"/>
          <w:bCs w:val="0"/>
          <w:sz w:val="28"/>
          <w:szCs w:val="28"/>
          <w:highlight w:val="none"/>
        </w:rPr>
        <w:t>核心区</w:t>
      </w:r>
      <w:r>
        <w:rPr>
          <w:rFonts w:hint="eastAsia" w:ascii="Times New Roman" w:hAnsi="Times New Roman" w:eastAsia="仿宋_GB2312"/>
          <w:kern w:val="0"/>
          <w:sz w:val="28"/>
          <w:szCs w:val="28"/>
          <w:highlight w:val="none"/>
        </w:rPr>
        <w:t>依托</w:t>
      </w:r>
      <w:r>
        <w:rPr>
          <w:rFonts w:ascii="Times New Roman" w:hAnsi="Times New Roman" w:eastAsia="仿宋_GB2312"/>
          <w:kern w:val="0"/>
          <w:sz w:val="28"/>
          <w:szCs w:val="28"/>
          <w:highlight w:val="none"/>
        </w:rPr>
        <w:t>虚拟现实、增强现实、全息成像、裸眼三维图形显示（裸眼</w:t>
      </w:r>
      <w:r>
        <w:rPr>
          <w:rFonts w:hint="eastAsia" w:ascii="仿宋_GB2312" w:hAnsi="仿宋" w:eastAsia="仿宋_GB2312"/>
          <w:sz w:val="28"/>
          <w:szCs w:val="28"/>
          <w:highlight w:val="none"/>
        </w:rPr>
        <w:t>3D</w:t>
      </w:r>
      <w:r>
        <w:rPr>
          <w:rFonts w:ascii="Times New Roman" w:hAnsi="Times New Roman" w:eastAsia="仿宋_GB2312"/>
          <w:kern w:val="0"/>
          <w:sz w:val="28"/>
          <w:szCs w:val="28"/>
          <w:highlight w:val="none"/>
        </w:rPr>
        <w:t>）、交互娱乐引擎开发、文化资源数字化处理、互动影视等核心技术</w:t>
      </w:r>
      <w:r>
        <w:rPr>
          <w:rFonts w:hint="eastAsia" w:ascii="Times New Roman" w:hAnsi="Times New Roman" w:eastAsia="仿宋_GB2312"/>
          <w:kern w:val="0"/>
          <w:sz w:val="28"/>
          <w:szCs w:val="28"/>
          <w:highlight w:val="none"/>
        </w:rPr>
        <w:t>的应用，推动数字技术与六安红色文化的深度融合，形成以大别山区地理空间为基础的红色文化品牌建设发展核心区。</w:t>
      </w:r>
      <w:r>
        <w:rPr>
          <w:rFonts w:hint="eastAsia" w:ascii="仿宋_GB2312" w:hAnsi="Times New Roman" w:eastAsia="仿宋_GB2312"/>
          <w:sz w:val="28"/>
          <w:szCs w:val="28"/>
          <w:highlight w:val="none"/>
          <w:lang w:val="en-US" w:eastAsia="zh-CN"/>
        </w:rPr>
        <w:t>运用</w:t>
      </w:r>
      <w:r>
        <w:rPr>
          <w:rFonts w:hint="eastAsia" w:ascii="仿宋_GB2312" w:hAnsi="Times New Roman" w:eastAsia="仿宋_GB2312"/>
          <w:sz w:val="28"/>
          <w:szCs w:val="28"/>
          <w:highlight w:val="none"/>
        </w:rPr>
        <w:t>人工智能NLP技术将六安市红色文化资源可视化，数字化</w:t>
      </w:r>
      <w:r>
        <w:rPr>
          <w:rFonts w:hint="eastAsia" w:ascii="仿宋_GB2312" w:hAnsi="Times New Roman" w:eastAsia="仿宋_GB2312"/>
          <w:sz w:val="28"/>
          <w:szCs w:val="28"/>
          <w:highlight w:val="none"/>
          <w:lang w:val="en-US" w:eastAsia="zh-CN"/>
        </w:rPr>
        <w:t>重点</w:t>
      </w:r>
      <w:r>
        <w:rPr>
          <w:rFonts w:hint="eastAsia" w:ascii="仿宋_GB2312" w:hAnsi="Times New Roman" w:eastAsia="仿宋_GB2312"/>
          <w:sz w:val="28"/>
          <w:szCs w:val="28"/>
          <w:highlight w:val="none"/>
        </w:rPr>
        <w:t>呈现独山、苏埠、青山、西河口等地密集的红色文化遗迹遗址</w:t>
      </w:r>
      <w:r>
        <w:rPr>
          <w:rFonts w:hint="eastAsia" w:ascii="仿宋_GB2312" w:hAnsi="Times New Roman" w:eastAsia="仿宋_GB2312"/>
          <w:sz w:val="28"/>
          <w:szCs w:val="28"/>
          <w:highlight w:val="none"/>
          <w:lang w:eastAsia="zh-CN"/>
        </w:rPr>
        <w:t>，</w:t>
      </w:r>
      <w:r>
        <w:rPr>
          <w:rFonts w:hint="eastAsia" w:ascii="仿宋_GB2312" w:hAnsi="Times New Roman" w:eastAsia="仿宋_GB2312"/>
          <w:sz w:val="28"/>
          <w:szCs w:val="28"/>
          <w:highlight w:val="none"/>
        </w:rPr>
        <w:t>汇总</w:t>
      </w:r>
      <w:r>
        <w:rPr>
          <w:rFonts w:hint="eastAsia" w:ascii="仿宋_GB2312" w:hAnsi="Times New Roman" w:eastAsia="仿宋_GB2312"/>
          <w:sz w:val="28"/>
          <w:szCs w:val="28"/>
          <w:highlight w:val="none"/>
          <w:lang w:val="en-US" w:eastAsia="zh-CN"/>
        </w:rPr>
        <w:t>相关革命</w:t>
      </w:r>
      <w:r>
        <w:rPr>
          <w:rFonts w:hint="eastAsia" w:ascii="仿宋_GB2312" w:hAnsi="Times New Roman" w:eastAsia="仿宋_GB2312"/>
          <w:sz w:val="28"/>
          <w:szCs w:val="28"/>
          <w:highlight w:val="none"/>
        </w:rPr>
        <w:t>旧址、</w:t>
      </w:r>
      <w:r>
        <w:rPr>
          <w:rFonts w:hint="eastAsia" w:ascii="仿宋_GB2312" w:hAnsi="Times New Roman" w:eastAsia="仿宋_GB2312"/>
          <w:sz w:val="28"/>
          <w:szCs w:val="28"/>
          <w:highlight w:val="none"/>
          <w:lang w:val="en-US" w:eastAsia="zh-CN"/>
        </w:rPr>
        <w:t>遗迹、</w:t>
      </w:r>
      <w:r>
        <w:rPr>
          <w:rFonts w:hint="eastAsia" w:ascii="仿宋_GB2312" w:hAnsi="Times New Roman" w:eastAsia="仿宋_GB2312"/>
          <w:sz w:val="28"/>
          <w:szCs w:val="28"/>
          <w:highlight w:val="none"/>
        </w:rPr>
        <w:t>故事、人物、</w:t>
      </w:r>
      <w:r>
        <w:rPr>
          <w:rFonts w:hint="eastAsia" w:ascii="仿宋_GB2312" w:hAnsi="Times New Roman" w:eastAsia="仿宋_GB2312"/>
          <w:sz w:val="28"/>
          <w:szCs w:val="28"/>
          <w:highlight w:val="none"/>
          <w:lang w:val="en-US" w:eastAsia="zh-CN"/>
        </w:rPr>
        <w:t>事件、文章、信件、老照片等</w:t>
      </w:r>
      <w:r>
        <w:rPr>
          <w:rFonts w:hint="eastAsia" w:ascii="仿宋_GB2312" w:hAnsi="Times New Roman" w:eastAsia="仿宋_GB2312"/>
          <w:sz w:val="28"/>
          <w:szCs w:val="28"/>
          <w:highlight w:val="none"/>
        </w:rPr>
        <w:t>，建设红色党建虚拟主题馆、</w:t>
      </w:r>
      <w:r>
        <w:rPr>
          <w:rFonts w:hint="eastAsia" w:ascii="仿宋_GB2312" w:hAnsi="Times New Roman" w:eastAsia="仿宋_GB2312"/>
          <w:sz w:val="28"/>
          <w:szCs w:val="28"/>
          <w:highlight w:val="none"/>
          <w:lang w:val="en-US" w:eastAsia="zh-CN"/>
        </w:rPr>
        <w:t>线上</w:t>
      </w:r>
      <w:r>
        <w:rPr>
          <w:rFonts w:hint="eastAsia" w:ascii="仿宋_GB2312" w:hAnsi="Times New Roman" w:eastAsia="仿宋_GB2312"/>
          <w:sz w:val="28"/>
          <w:szCs w:val="28"/>
          <w:highlight w:val="none"/>
        </w:rPr>
        <w:t>独山红街文创</w:t>
      </w:r>
      <w:r>
        <w:rPr>
          <w:rFonts w:hint="eastAsia" w:ascii="仿宋_GB2312" w:hAnsi="Times New Roman" w:eastAsia="仿宋_GB2312"/>
          <w:sz w:val="28"/>
          <w:szCs w:val="28"/>
          <w:highlight w:val="none"/>
          <w:lang w:val="en-US" w:eastAsia="zh-CN"/>
        </w:rPr>
        <w:t>展示厅、红色初心线上打卡馆等，</w:t>
      </w:r>
      <w:r>
        <w:rPr>
          <w:rFonts w:hint="eastAsia" w:ascii="仿宋_GB2312" w:hAnsi="Times New Roman" w:eastAsia="仿宋_GB2312"/>
          <w:sz w:val="28"/>
          <w:szCs w:val="28"/>
          <w:highlight w:val="none"/>
        </w:rPr>
        <w:t>建成全国红色</w:t>
      </w:r>
      <w:r>
        <w:rPr>
          <w:rFonts w:hint="eastAsia" w:ascii="仿宋_GB2312" w:hAnsi="Times New Roman" w:eastAsia="仿宋_GB2312"/>
          <w:sz w:val="28"/>
          <w:szCs w:val="28"/>
          <w:highlight w:val="none"/>
          <w:lang w:val="en-US" w:eastAsia="zh-CN"/>
        </w:rPr>
        <w:t>文化</w:t>
      </w:r>
      <w:r>
        <w:rPr>
          <w:rFonts w:hint="eastAsia" w:ascii="仿宋_GB2312" w:hAnsi="Times New Roman" w:eastAsia="仿宋_GB2312"/>
          <w:sz w:val="28"/>
          <w:szCs w:val="28"/>
          <w:highlight w:val="none"/>
        </w:rPr>
        <w:t>基因库</w:t>
      </w:r>
      <w:r>
        <w:rPr>
          <w:rFonts w:hint="eastAsia" w:ascii="仿宋_GB2312" w:hAnsi="Times New Roman" w:eastAsia="仿宋_GB2312"/>
          <w:sz w:val="28"/>
          <w:szCs w:val="28"/>
          <w:highlight w:val="none"/>
          <w:lang w:eastAsia="zh-CN"/>
        </w:rPr>
        <w:t>。</w:t>
      </w:r>
    </w:p>
    <w:p>
      <w:pPr>
        <w:widowControl/>
        <w:spacing w:line="360" w:lineRule="auto"/>
        <w:ind w:firstLine="560" w:firstLineChars="200"/>
        <w:jc w:val="left"/>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利用现代信息技术，</w:t>
      </w:r>
      <w:r>
        <w:rPr>
          <w:rFonts w:hint="eastAsia" w:ascii="仿宋_GB2312" w:hAnsi="Times New Roman" w:eastAsia="仿宋_GB2312"/>
          <w:sz w:val="28"/>
          <w:szCs w:val="28"/>
          <w:highlight w:val="none"/>
          <w:lang w:val="en-US" w:eastAsia="zh-CN"/>
        </w:rPr>
        <w:t>开启红色文旅数字化新模式。</w:t>
      </w:r>
      <w:r>
        <w:rPr>
          <w:rFonts w:hint="eastAsia" w:ascii="仿宋_GB2312" w:hAnsi="Times New Roman" w:eastAsia="仿宋_GB2312"/>
          <w:sz w:val="28"/>
          <w:szCs w:val="28"/>
          <w:highlight w:val="none"/>
        </w:rPr>
        <w:t>推动六安市烈士陵园、烈士墓园、纪念堂馆、纪念广场等红色场景在互联网空间的传播影响，打造区域红色文化产业带，打响裕安红色文化品牌。积极推动网络直播、短视频、数字出版、创意设计、动漫游戏、创意摄影与红色文化资源的结合，在办好全国红色微电影大赛的同时，举办全国红色摄影比赛、红色文化创意设计竞赛、红色文化微视频大赛等。支持组建一批红色教育文化企业，培育可线上线下共享的特色品牌剧目和文化活动，以数创赋能传统文化，助推六安市</w:t>
      </w:r>
      <w:r>
        <w:rPr>
          <w:rFonts w:hint="eastAsia" w:ascii="仿宋_GB2312" w:hAnsi="Times New Roman" w:eastAsia="仿宋_GB2312"/>
          <w:sz w:val="28"/>
          <w:szCs w:val="28"/>
          <w:highlight w:val="none"/>
          <w:lang w:val="en-US" w:eastAsia="zh-CN"/>
        </w:rPr>
        <w:t>以</w:t>
      </w:r>
      <w:r>
        <w:rPr>
          <w:rFonts w:hint="eastAsia" w:ascii="仿宋_GB2312" w:hAnsi="Times New Roman" w:eastAsia="仿宋_GB2312"/>
          <w:sz w:val="28"/>
          <w:szCs w:val="28"/>
          <w:highlight w:val="none"/>
        </w:rPr>
        <w:t>红色为特色的数创品牌建设。</w:t>
      </w:r>
    </w:p>
    <w:p>
      <w:pPr>
        <w:snapToGrid w:val="0"/>
        <w:spacing w:line="360" w:lineRule="auto"/>
        <w:ind w:firstLine="562" w:firstLineChars="200"/>
        <w:rPr>
          <w:rFonts w:hint="eastAsia" w:ascii="仿宋_GB2312" w:hAnsi="Times New Roman" w:eastAsia="仿宋_GB2312"/>
          <w:color w:val="000000" w:themeColor="text1"/>
          <w:sz w:val="28"/>
          <w:szCs w:val="28"/>
          <w:highlight w:val="none"/>
          <w:lang w:eastAsia="zh-CN"/>
          <w14:textFill>
            <w14:solidFill>
              <w14:schemeClr w14:val="tx1"/>
            </w14:solidFill>
          </w14:textFill>
        </w:rPr>
      </w:pPr>
      <w:r>
        <w:rPr>
          <w:rFonts w:hint="eastAsia" w:ascii="仿宋_GB2312" w:hAnsi="Times New Roman" w:eastAsia="仿宋_GB2312"/>
          <w:b/>
          <w:bCs/>
          <w:color w:val="000000" w:themeColor="text1"/>
          <w:sz w:val="28"/>
          <w:szCs w:val="28"/>
          <w:highlight w:val="none"/>
          <w:lang w:eastAsia="zh-CN"/>
          <w14:textFill>
            <w14:solidFill>
              <w14:schemeClr w14:val="tx1"/>
            </w14:solidFill>
          </w14:textFill>
        </w:rPr>
        <w:t>智慧康养核心区：</w:t>
      </w:r>
      <w:r>
        <w:rPr>
          <w:rFonts w:hint="eastAsia" w:ascii="仿宋_GB2312" w:hAnsi="Times New Roman" w:eastAsia="仿宋_GB2312"/>
          <w:b w:val="0"/>
          <w:bCs w:val="0"/>
          <w:color w:val="000000" w:themeColor="text1"/>
          <w:sz w:val="28"/>
          <w:szCs w:val="28"/>
          <w:highlight w:val="none"/>
          <w:lang w:val="en-US" w:eastAsia="zh-CN"/>
          <w14:textFill>
            <w14:solidFill>
              <w14:schemeClr w14:val="tx1"/>
            </w14:solidFill>
          </w14:textFill>
        </w:rPr>
        <w:t>以</w:t>
      </w:r>
      <w:r>
        <w:rPr>
          <w:rFonts w:hint="eastAsia" w:ascii="仿宋_GB2312" w:hAnsi="Times New Roman" w:eastAsia="仿宋_GB2312"/>
          <w:b w:val="0"/>
          <w:bCs w:val="0"/>
          <w:color w:val="000000" w:themeColor="text1"/>
          <w:sz w:val="28"/>
          <w:szCs w:val="28"/>
          <w:highlight w:val="none"/>
          <w:lang w:eastAsia="zh-CN"/>
          <w14:textFill>
            <w14:solidFill>
              <w14:schemeClr w14:val="tx1"/>
            </w14:solidFill>
          </w14:textFill>
        </w:rPr>
        <w:t>金寨</w:t>
      </w:r>
      <w:r>
        <w:rPr>
          <w:rFonts w:hint="eastAsia" w:ascii="仿宋_GB2312" w:hAnsi="Times New Roman" w:eastAsia="仿宋_GB2312"/>
          <w:b w:val="0"/>
          <w:bCs w:val="0"/>
          <w:color w:val="000000" w:themeColor="text1"/>
          <w:sz w:val="28"/>
          <w:szCs w:val="28"/>
          <w:highlight w:val="none"/>
          <w:lang w:val="en-US" w:eastAsia="zh-CN"/>
          <w14:textFill>
            <w14:solidFill>
              <w14:schemeClr w14:val="tx1"/>
            </w14:solidFill>
          </w14:textFill>
        </w:rPr>
        <w:t>县和</w:t>
      </w:r>
      <w:r>
        <w:rPr>
          <w:rFonts w:hint="eastAsia" w:ascii="仿宋_GB2312" w:hAnsi="Times New Roman" w:eastAsia="仿宋_GB2312"/>
          <w:b w:val="0"/>
          <w:bCs w:val="0"/>
          <w:color w:val="000000" w:themeColor="text1"/>
          <w:sz w:val="28"/>
          <w:szCs w:val="28"/>
          <w:highlight w:val="none"/>
          <w:lang w:eastAsia="zh-CN"/>
          <w14:textFill>
            <w14:solidFill>
              <w14:schemeClr w14:val="tx1"/>
            </w14:solidFill>
          </w14:textFill>
        </w:rPr>
        <w:t>霍山</w:t>
      </w:r>
      <w:r>
        <w:rPr>
          <w:rFonts w:hint="eastAsia" w:ascii="仿宋_GB2312" w:hAnsi="Times New Roman" w:eastAsia="仿宋_GB2312"/>
          <w:b w:val="0"/>
          <w:bCs w:val="0"/>
          <w:color w:val="000000" w:themeColor="text1"/>
          <w:sz w:val="28"/>
          <w:szCs w:val="28"/>
          <w:highlight w:val="none"/>
          <w:lang w:val="en-US" w:eastAsia="zh-CN"/>
          <w14:textFill>
            <w14:solidFill>
              <w14:schemeClr w14:val="tx1"/>
            </w14:solidFill>
          </w14:textFill>
        </w:rPr>
        <w:t>县为主体</w:t>
      </w:r>
      <w:r>
        <w:rPr>
          <w:rFonts w:hint="eastAsia" w:ascii="仿宋_GB2312" w:hAnsi="Times New Roman" w:eastAsia="仿宋_GB2312"/>
          <w:color w:val="000000" w:themeColor="text1"/>
          <w:sz w:val="28"/>
          <w:szCs w:val="28"/>
          <w:highlight w:val="none"/>
          <w:lang w:eastAsia="zh-CN"/>
          <w14:textFill>
            <w14:solidFill>
              <w14:schemeClr w14:val="tx1"/>
            </w14:solidFill>
          </w14:textFill>
        </w:rPr>
        <w:t>，</w:t>
      </w:r>
      <w:r>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t>建设智慧康养信息平台，依托</w:t>
      </w:r>
      <w:r>
        <w:rPr>
          <w:rFonts w:hint="eastAsia" w:ascii="仿宋_GB2312" w:hAnsi="Times New Roman" w:eastAsia="仿宋_GB2312"/>
          <w:color w:val="000000" w:themeColor="text1"/>
          <w:sz w:val="28"/>
          <w:szCs w:val="28"/>
          <w:highlight w:val="none"/>
          <w:lang w:eastAsia="zh-CN"/>
          <w14:textFill>
            <w14:solidFill>
              <w14:schemeClr w14:val="tx1"/>
            </w14:solidFill>
          </w14:textFill>
        </w:rPr>
        <w:t>“西山药库”</w:t>
      </w:r>
      <w:r>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t>的资源集聚优势，促进新一代信息技术在健康及养老领域的集成创新和融合应用，</w:t>
      </w:r>
      <w:r>
        <w:rPr>
          <w:rFonts w:hint="eastAsia" w:ascii="仿宋_GB2312" w:hAnsi="Times New Roman" w:eastAsia="仿宋_GB2312"/>
          <w:sz w:val="28"/>
          <w:szCs w:val="28"/>
          <w:highlight w:val="none"/>
          <w:lang w:val="en-US" w:eastAsia="zh-CN"/>
        </w:rPr>
        <w:t>推进建设健康养老产品及智慧服务的核心区。对标杭州市西湖区、合肥市庐阳区，</w:t>
      </w:r>
      <w:r>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t>建设智慧康养信息平台，实现政府、机构、社区、社会公众之间的互联互通与资源共享。</w:t>
      </w:r>
      <w:r>
        <w:rPr>
          <w:rFonts w:hint="eastAsia" w:ascii="仿宋_GB2312" w:hAnsi="Times New Roman" w:eastAsia="仿宋_GB2312"/>
          <w:sz w:val="28"/>
          <w:szCs w:val="28"/>
          <w:highlight w:val="none"/>
          <w:lang w:val="en-US" w:eastAsia="zh-CN"/>
        </w:rPr>
        <w:t>大力</w:t>
      </w:r>
      <w:r>
        <w:rPr>
          <w:rFonts w:hint="eastAsia" w:ascii="仿宋_GB2312" w:hAnsi="Times New Roman" w:eastAsia="仿宋_GB2312"/>
          <w:color w:val="000000" w:themeColor="text1"/>
          <w:sz w:val="28"/>
          <w:szCs w:val="28"/>
          <w:highlight w:val="none"/>
          <w:lang w:eastAsia="zh-CN"/>
          <w14:textFill>
            <w14:solidFill>
              <w14:schemeClr w14:val="tx1"/>
            </w14:solidFill>
          </w14:textFill>
        </w:rPr>
        <w:t>吸引康养产业、医疗旅游、营养保健产品研发制造、高端医疗器械研发制造、生物医药研究等方面的知名企业入驻，将康养</w:t>
      </w:r>
      <w:r>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t>智能</w:t>
      </w:r>
      <w:r>
        <w:rPr>
          <w:rFonts w:hint="eastAsia" w:ascii="仿宋_GB2312" w:hAnsi="Times New Roman" w:eastAsia="仿宋_GB2312"/>
          <w:color w:val="000000" w:themeColor="text1"/>
          <w:sz w:val="28"/>
          <w:szCs w:val="28"/>
          <w:highlight w:val="none"/>
          <w:lang w:eastAsia="zh-CN"/>
          <w14:textFill>
            <w14:solidFill>
              <w14:schemeClr w14:val="tx1"/>
            </w14:solidFill>
          </w14:textFill>
        </w:rPr>
        <w:t>化、疗养数字化、</w:t>
      </w:r>
      <w:r>
        <w:rPr>
          <w:rFonts w:hint="eastAsia" w:ascii="仿宋_GB2312" w:hAnsi="Times New Roman" w:eastAsia="仿宋_GB2312"/>
          <w:color w:val="000000" w:themeColor="text1"/>
          <w:sz w:val="28"/>
          <w:szCs w:val="28"/>
          <w:highlight w:val="none"/>
          <w:lang w:val="en-US" w:eastAsia="zh-CN"/>
          <w14:textFill>
            <w14:solidFill>
              <w14:schemeClr w14:val="tx1"/>
            </w14:solidFill>
          </w14:textFill>
        </w:rPr>
        <w:t>管理</w:t>
      </w:r>
      <w:r>
        <w:rPr>
          <w:rFonts w:hint="eastAsia" w:ascii="仿宋_GB2312" w:hAnsi="Times New Roman" w:eastAsia="仿宋_GB2312"/>
          <w:color w:val="000000" w:themeColor="text1"/>
          <w:sz w:val="28"/>
          <w:szCs w:val="28"/>
          <w:highlight w:val="none"/>
          <w:lang w:eastAsia="zh-CN"/>
          <w14:textFill>
            <w14:solidFill>
              <w14:schemeClr w14:val="tx1"/>
            </w14:solidFill>
          </w14:textFill>
        </w:rPr>
        <w:t>网络化，驱动传统康养产业加速转型，不断催生新技术、塑造新业态、培育新生态、创造新价值。</w:t>
      </w:r>
    </w:p>
    <w:p>
      <w:pPr>
        <w:snapToGrid w:val="0"/>
        <w:spacing w:line="360" w:lineRule="auto"/>
        <w:ind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lang w:val="en-US" w:eastAsia="zh-CN"/>
        </w:rPr>
        <w:t>智慧康养核心区以引资企业为基础，通过</w:t>
      </w:r>
      <w:r>
        <w:rPr>
          <w:rFonts w:hint="eastAsia" w:ascii="仿宋_GB2312" w:hAnsi="Times New Roman" w:eastAsia="仿宋_GB2312"/>
          <w:sz w:val="28"/>
          <w:szCs w:val="28"/>
          <w:highlight w:val="none"/>
        </w:rPr>
        <w:t>交互智能化、数据信息化、体验个性化、管理智能化等手段，打造出全时空、多场景的智能终端和智能数字化管理平台，</w:t>
      </w:r>
      <w:r>
        <w:rPr>
          <w:rFonts w:hint="eastAsia" w:ascii="仿宋_GB2312" w:hAnsi="Times New Roman" w:eastAsia="仿宋_GB2312"/>
          <w:sz w:val="28"/>
          <w:szCs w:val="28"/>
          <w:highlight w:val="none"/>
          <w:lang w:val="en-US" w:eastAsia="zh-CN"/>
        </w:rPr>
        <w:t>推动建设覆盖</w:t>
      </w:r>
      <w:r>
        <w:rPr>
          <w:rFonts w:hint="eastAsia" w:ascii="仿宋_GB2312" w:hAnsi="Times New Roman" w:eastAsia="仿宋_GB2312"/>
          <w:sz w:val="28"/>
          <w:szCs w:val="28"/>
          <w:highlight w:val="none"/>
        </w:rPr>
        <w:t>智慧养老</w:t>
      </w:r>
      <w:r>
        <w:rPr>
          <w:rFonts w:hint="eastAsia" w:ascii="仿宋_GB2312" w:hAnsi="Times New Roman" w:eastAsia="仿宋_GB2312"/>
          <w:sz w:val="28"/>
          <w:szCs w:val="28"/>
          <w:highlight w:val="none"/>
          <w:lang w:eastAsia="zh-CN"/>
        </w:rPr>
        <w:t>、</w:t>
      </w:r>
      <w:r>
        <w:rPr>
          <w:rFonts w:hint="eastAsia" w:ascii="仿宋_GB2312" w:hAnsi="Times New Roman" w:eastAsia="仿宋_GB2312"/>
          <w:sz w:val="28"/>
          <w:szCs w:val="28"/>
          <w:highlight w:val="none"/>
        </w:rPr>
        <w:t>智慧酒店</w:t>
      </w:r>
      <w:r>
        <w:rPr>
          <w:rFonts w:hint="eastAsia" w:ascii="仿宋_GB2312" w:hAnsi="Times New Roman" w:eastAsia="仿宋_GB2312"/>
          <w:sz w:val="28"/>
          <w:szCs w:val="28"/>
          <w:highlight w:val="none"/>
          <w:lang w:eastAsia="zh-CN"/>
        </w:rPr>
        <w:t>、</w:t>
      </w:r>
      <w:r>
        <w:rPr>
          <w:rFonts w:hint="eastAsia" w:ascii="仿宋_GB2312" w:hAnsi="Times New Roman" w:eastAsia="仿宋_GB2312"/>
          <w:sz w:val="28"/>
          <w:szCs w:val="28"/>
          <w:highlight w:val="none"/>
        </w:rPr>
        <w:t>智慧医疗、智慧酒店、全生命周期服务等</w:t>
      </w:r>
      <w:r>
        <w:rPr>
          <w:rFonts w:hint="eastAsia" w:ascii="仿宋_GB2312" w:hAnsi="Times New Roman" w:eastAsia="仿宋_GB2312"/>
          <w:sz w:val="28"/>
          <w:szCs w:val="28"/>
          <w:highlight w:val="none"/>
          <w:lang w:val="en-US" w:eastAsia="zh-CN"/>
        </w:rPr>
        <w:t>康养</w:t>
      </w:r>
      <w:r>
        <w:rPr>
          <w:rFonts w:hint="eastAsia" w:ascii="仿宋_GB2312" w:hAnsi="Times New Roman" w:eastAsia="仿宋_GB2312"/>
          <w:sz w:val="28"/>
          <w:szCs w:val="28"/>
          <w:highlight w:val="none"/>
        </w:rPr>
        <w:t>场景，打造出配套智能产品矩阵，实现康养服务从评估到服务计划制定、实施、结算的全过程及一体化闭环式管理，将线上和线下服务融合、家庭养老床位与智能化设备及平台融合、呼叫中心与平台融合，</w:t>
      </w:r>
      <w:r>
        <w:rPr>
          <w:rFonts w:hint="eastAsia" w:ascii="仿宋_GB2312" w:hAnsi="Times New Roman" w:eastAsia="仿宋_GB2312"/>
          <w:sz w:val="28"/>
          <w:szCs w:val="28"/>
          <w:highlight w:val="none"/>
          <w:lang w:val="en-US" w:eastAsia="zh-CN"/>
        </w:rPr>
        <w:t>驱动</w:t>
      </w:r>
      <w:r>
        <w:rPr>
          <w:rFonts w:hint="eastAsia" w:ascii="仿宋_GB2312" w:hAnsi="Times New Roman" w:eastAsia="仿宋_GB2312"/>
          <w:sz w:val="28"/>
          <w:szCs w:val="28"/>
          <w:highlight w:val="none"/>
        </w:rPr>
        <w:t>各种康养服务场景、碎片化的服务项目在平台上实现整合。从软件到硬件，从运营到设备全面赋能企业，</w:t>
      </w:r>
      <w:r>
        <w:rPr>
          <w:rFonts w:hint="eastAsia" w:ascii="仿宋_GB2312" w:hAnsi="Times New Roman" w:eastAsia="仿宋_GB2312"/>
          <w:sz w:val="28"/>
          <w:szCs w:val="28"/>
          <w:highlight w:val="none"/>
          <w:lang w:val="en-US" w:eastAsia="zh-CN"/>
        </w:rPr>
        <w:t>在智慧康养核心区</w:t>
      </w:r>
      <w:r>
        <w:rPr>
          <w:rFonts w:hint="eastAsia" w:ascii="仿宋_GB2312" w:hAnsi="Times New Roman" w:eastAsia="仿宋_GB2312"/>
          <w:sz w:val="28"/>
          <w:szCs w:val="28"/>
          <w:highlight w:val="none"/>
        </w:rPr>
        <w:t>打造一个开放式的智慧</w:t>
      </w:r>
      <w:r>
        <w:rPr>
          <w:rFonts w:hint="eastAsia" w:ascii="仿宋_GB2312" w:hAnsi="Times New Roman" w:eastAsia="仿宋_GB2312"/>
          <w:sz w:val="28"/>
          <w:szCs w:val="28"/>
          <w:highlight w:val="none"/>
          <w:lang w:val="en-US" w:eastAsia="zh-CN"/>
        </w:rPr>
        <w:t>康养</w:t>
      </w:r>
      <w:r>
        <w:rPr>
          <w:rFonts w:hint="eastAsia" w:ascii="仿宋_GB2312" w:hAnsi="Times New Roman" w:eastAsia="仿宋_GB2312"/>
          <w:sz w:val="28"/>
          <w:szCs w:val="28"/>
          <w:highlight w:val="none"/>
        </w:rPr>
        <w:t>物联产业生态。</w:t>
      </w:r>
    </w:p>
    <w:p>
      <w:pPr>
        <w:widowControl/>
        <w:spacing w:line="360" w:lineRule="auto"/>
        <w:ind w:firstLine="562" w:firstLineChars="200"/>
        <w:jc w:val="left"/>
        <w:rPr>
          <w:rFonts w:hint="eastAsia" w:ascii="仿宋_GB2312" w:hAnsi="Times New Roman" w:eastAsia="仿宋_GB2312"/>
          <w:b/>
          <w:bCs/>
          <w:sz w:val="28"/>
          <w:szCs w:val="28"/>
          <w:highlight w:val="none"/>
          <w:lang w:eastAsia="zh-CN"/>
        </w:rPr>
      </w:pPr>
      <w:r>
        <w:rPr>
          <w:rFonts w:hint="eastAsia" w:ascii="仿宋_GB2312" w:hAnsi="Times New Roman" w:eastAsia="仿宋_GB2312"/>
          <w:b/>
          <w:bCs/>
          <w:sz w:val="28"/>
          <w:szCs w:val="28"/>
          <w:highlight w:val="none"/>
        </w:rPr>
        <w:t>3.多点联动</w:t>
      </w:r>
    </w:p>
    <w:p>
      <w:pPr>
        <w:widowControl/>
        <w:spacing w:line="360" w:lineRule="auto"/>
        <w:ind w:firstLine="560" w:firstLineChars="200"/>
        <w:jc w:val="left"/>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在“一廊”“三核”总体新空间格局下，扩大增量，做优存量，积极建设数字文化创意产业平台、园区、基地，完善与完成传统产业园区与基地的数字化赋能或转型，打造数字创意产业品牌活动，形成多点联动带动品牌发展的动力源。</w:t>
      </w:r>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扩大增量，打造3至4个重点片区，引导重点片区规划建设数字创意重大产业项目。根据既有园区发展基础、产业空间，结合舒城数字装备示范区</w:t>
      </w:r>
      <w:r>
        <w:rPr>
          <w:rFonts w:hint="eastAsia" w:ascii="仿宋_GB2312" w:hAnsi="Times New Roman" w:eastAsia="仿宋_GB2312"/>
          <w:sz w:val="28"/>
          <w:szCs w:val="28"/>
          <w:highlight w:val="none"/>
          <w:lang w:eastAsia="zh-CN"/>
        </w:rPr>
        <w:t>、六安新媒体创意产业基地、六安中部智能家居产业园、皖西地学数字创意公园</w:t>
      </w:r>
      <w:r>
        <w:rPr>
          <w:rFonts w:hint="eastAsia" w:ascii="仿宋_GB2312" w:hAnsi="Times New Roman" w:eastAsia="仿宋_GB2312"/>
          <w:sz w:val="28"/>
          <w:szCs w:val="28"/>
          <w:highlight w:val="none"/>
          <w:lang w:val="en-US" w:eastAsia="zh-CN"/>
        </w:rPr>
        <w:t>等</w:t>
      </w:r>
      <w:r>
        <w:rPr>
          <w:rFonts w:hint="eastAsia" w:ascii="仿宋_GB2312" w:hAnsi="Times New Roman" w:eastAsia="仿宋_GB2312"/>
          <w:sz w:val="28"/>
          <w:szCs w:val="28"/>
          <w:highlight w:val="none"/>
        </w:rPr>
        <w:t>规划的数创项目、基地分布，选择性、差异性地侧重导入数字创意设备制造</w:t>
      </w:r>
      <w:r>
        <w:rPr>
          <w:rFonts w:hint="eastAsia" w:ascii="仿宋_GB2312" w:hAnsi="Times New Roman" w:eastAsia="仿宋_GB2312"/>
          <w:sz w:val="28"/>
          <w:szCs w:val="28"/>
          <w:highlight w:val="none"/>
          <w:lang w:eastAsia="zh-CN"/>
        </w:rPr>
        <w:t>、数字文化创意活动、设计服务、数字创意与融合服务</w:t>
      </w:r>
      <w:r>
        <w:rPr>
          <w:rFonts w:hint="eastAsia" w:ascii="仿宋_GB2312" w:hAnsi="Times New Roman" w:eastAsia="仿宋_GB2312"/>
          <w:sz w:val="28"/>
          <w:szCs w:val="28"/>
          <w:highlight w:val="none"/>
          <w:lang w:val="en-US" w:eastAsia="zh-CN"/>
        </w:rPr>
        <w:t>等</w:t>
      </w:r>
      <w:r>
        <w:rPr>
          <w:rFonts w:hint="eastAsia" w:ascii="仿宋_GB2312" w:hAnsi="Times New Roman" w:eastAsia="仿宋_GB2312"/>
          <w:sz w:val="28"/>
          <w:szCs w:val="28"/>
          <w:highlight w:val="none"/>
        </w:rPr>
        <w:t>数字创意产业链环节落地。全面梳理、做大做强六安市现有的核心品牌活动赛事，同时积极争取国际、国家知名创意设计节事品牌活动在重点片区内的举办权，强化与周边城市特别是武汉、合肥城市合作，共同举办常态化的数字创意产业交流活动。</w:t>
      </w:r>
    </w:p>
    <w:p>
      <w:pPr>
        <w:widowControl/>
        <w:spacing w:line="360" w:lineRule="auto"/>
        <w:ind w:firstLine="560" w:firstLineChars="200"/>
        <w:jc w:val="left"/>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做优存量，结合城市更新工业改革项目，释放产业空间，植入数字创意产业业态项目。积极推动规划已批项目建设，引入数创企业，推动数创产业园发展，引导立项同批项目向数字创意产业发展，植入数字创意产业业态。通过数字创意产业引导旧厂房向创意园区转变，推动城市功能空间的转换创新，为数字创意产业发展提供新的产业空间基础。</w:t>
      </w:r>
    </w:p>
    <w:p>
      <w:pPr>
        <w:widowControl/>
        <w:spacing w:line="360" w:lineRule="auto"/>
        <w:jc w:val="center"/>
        <w:rPr>
          <w:rFonts w:hint="eastAsia" w:ascii="仿宋_GB2312" w:hAnsi="Times New Roman" w:eastAsia="仿宋_GB2312"/>
          <w:sz w:val="28"/>
          <w:szCs w:val="28"/>
          <w:highlight w:val="none"/>
          <w:lang w:eastAsia="zh-CN"/>
        </w:rPr>
      </w:pPr>
      <w:r>
        <w:rPr>
          <w:rFonts w:hint="eastAsia" w:ascii="仿宋_GB2312" w:hAnsi="Times New Roman" w:eastAsia="仿宋_GB2312"/>
          <w:sz w:val="28"/>
          <w:szCs w:val="28"/>
          <w:highlight w:val="none"/>
          <w:lang w:eastAsia="zh-CN"/>
        </w:rPr>
        <w:drawing>
          <wp:inline distT="0" distB="0" distL="114300" distR="114300">
            <wp:extent cx="5196840" cy="3216275"/>
            <wp:effectExtent l="0" t="0" r="3810" b="3175"/>
            <wp:docPr id="1" name="图片 1"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true"/>
                    </pic:cNvPicPr>
                  </pic:nvPicPr>
                  <pic:blipFill>
                    <a:blip r:embed="rId6"/>
                    <a:srcRect l="361" r="1084"/>
                    <a:stretch>
                      <a:fillRect/>
                    </a:stretch>
                  </pic:blipFill>
                  <pic:spPr>
                    <a:xfrm>
                      <a:off x="0" y="0"/>
                      <a:ext cx="5196840" cy="3216275"/>
                    </a:xfrm>
                    <a:prstGeom prst="rect">
                      <a:avLst/>
                    </a:prstGeom>
                  </pic:spPr>
                </pic:pic>
              </a:graphicData>
            </a:graphic>
          </wp:inline>
        </w:drawing>
      </w:r>
    </w:p>
    <w:p>
      <w:pPr>
        <w:widowControl/>
        <w:spacing w:line="360" w:lineRule="auto"/>
        <w:jc w:val="center"/>
        <w:rPr>
          <w:rFonts w:hint="default" w:ascii="仿宋_GB2312" w:hAnsi="Times New Roman" w:eastAsia="仿宋_GB2312"/>
          <w:sz w:val="28"/>
          <w:szCs w:val="28"/>
          <w:highlight w:val="none"/>
          <w:lang w:val="en-US" w:eastAsia="zh-CN"/>
        </w:rPr>
      </w:pPr>
      <w:r>
        <w:rPr>
          <w:rFonts w:hint="eastAsia" w:ascii="仿宋_GB2312" w:eastAsia="仿宋_GB2312"/>
          <w:sz w:val="28"/>
          <w:szCs w:val="28"/>
          <w:highlight w:val="none"/>
        </w:rPr>
        <w:t xml:space="preserve">图1 </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一廊引领，三核驱动，多点联动”格局示意图</w:t>
      </w:r>
    </w:p>
    <w:p>
      <w:pPr>
        <w:pStyle w:val="3"/>
        <w:spacing w:line="360" w:lineRule="auto"/>
        <w:ind w:firstLine="643"/>
        <w:rPr>
          <w:highlight w:val="none"/>
        </w:rPr>
      </w:pPr>
      <w:bookmarkStart w:id="42" w:name="_Toc4406"/>
      <w:r>
        <w:rPr>
          <w:rFonts w:hint="eastAsia"/>
          <w:highlight w:val="none"/>
        </w:rPr>
        <w:t>（二）打造数字创意产业新生态</w:t>
      </w:r>
      <w:bookmarkEnd w:id="42"/>
    </w:p>
    <w:p>
      <w:pPr>
        <w:widowControl/>
        <w:spacing w:line="360" w:lineRule="auto"/>
        <w:ind w:firstLine="562" w:firstLineChars="200"/>
        <w:jc w:val="left"/>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1.培育壮大文化创意产业市场主体</w:t>
      </w:r>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引导培育一批高成长性数字创意企业，打造数字创意产业“先锋军”。</w:t>
      </w:r>
      <w:r>
        <w:rPr>
          <w:rFonts w:hint="eastAsia" w:ascii="仿宋" w:hAnsi="仿宋" w:eastAsia="仿宋" w:cs="仿宋"/>
          <w:b w:val="0"/>
          <w:bCs w:val="0"/>
          <w:color w:val="auto"/>
          <w:sz w:val="28"/>
          <w:szCs w:val="28"/>
          <w:u w:val="none"/>
          <w:lang w:val="en-US" w:eastAsia="zh-CN"/>
        </w:rPr>
        <w:t>以“两业融和”为方向，着力推进工业设计产业发展，赋能制造业取得积极成效，培育一批省市级工业设计中心</w:t>
      </w:r>
      <w:r>
        <w:rPr>
          <w:rFonts w:hint="eastAsia" w:ascii="仿宋_GB2312" w:hAnsi="Times New Roman" w:eastAsia="仿宋_GB2312"/>
          <w:sz w:val="28"/>
          <w:szCs w:val="28"/>
          <w:highlight w:val="none"/>
        </w:rPr>
        <w:t>推动数字资源、要素适度向优秀企业集中，培育一批符合产业导向、拥有自主知识产权、各项指标位居行业前列的重点数字创意企业，塑造数字创意“主力军”。大力扶持处于创业初期的中小微数字创意企业，壮大数字创意产业“大众军团”。支持“领军人才+团队+项目”入驻模式，培育数字创意科研团队。</w:t>
      </w:r>
    </w:p>
    <w:p>
      <w:pPr>
        <w:widowControl/>
        <w:spacing w:line="360" w:lineRule="auto"/>
        <w:ind w:firstLine="562" w:firstLineChars="200"/>
        <w:jc w:val="left"/>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2.推动打造数字创意产业集聚发展</w:t>
      </w:r>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拉长产业链、补强创新链、优化价值链，推动六安市数字创意产业优化布局、集聚发展，提升整体竞争力。鼓励龙头骨干企业向集群中的中小企业开放自身研发、生产、渠道、客户等资源，构建大中小企业融通创新发展生态。加强产业链招商，按照“产业集聚、上下游延伸”的原则，加大“双招双引”力度，引进建设一批数字创意产业关联项目，提高本地化配套率。</w:t>
      </w:r>
    </w:p>
    <w:p>
      <w:pPr>
        <w:widowControl/>
        <w:spacing w:line="360" w:lineRule="auto"/>
        <w:ind w:firstLine="562" w:firstLineChars="200"/>
        <w:jc w:val="left"/>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3.扩大和引导数字创意消费需求</w:t>
      </w:r>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大力推动数字文创与商业深度融合，围绕重点商业区域，打造一批汇聚艺术表演、阅读分享、观影体验等消费业态的数字文创商业综合体，构建体现六安文化品位和城市风貌的新型消费地标。创新网络视频、音乐、文学等数字内容付费模式，将广泛用户基础转换为有效消费需求。大力发展可穿戴设备、交互式智能视听设备、数字媒体等新兴数字创意消费品。支持建设高式产品体验展示中心，提供超高清直播、VR旅游、AR广告、数字博物馆等多元化数字创意消费体验。</w:t>
      </w:r>
    </w:p>
    <w:p>
      <w:pPr>
        <w:widowControl/>
        <w:spacing w:line="360" w:lineRule="auto"/>
        <w:ind w:firstLine="562" w:firstLineChars="200"/>
        <w:jc w:val="left"/>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4.加快数字创意载体平台建设</w:t>
      </w:r>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加快建设数字创意产业功能区专业化服务平台，面向文化艺术、影视传媒、动漫游戏、数字出版、设计服务等领域提供创意研发、设备共用、标准研制、检验检测、信息共享、技术示范服务。依托文化产权交易中心，打造集孵化、登记、维护、开发、交易、输出于一体的综合性知识产权服务平台，提高资源整合、价值转化能力。鼓励高校、企业联合建立新型研发机构，推进数字创意产业领域建设技术创新中心和实验室，加快数字创意技术研发与科技成果转化实施。</w:t>
      </w:r>
    </w:p>
    <w:p>
      <w:pPr>
        <w:widowControl/>
        <w:spacing w:line="360" w:lineRule="auto"/>
        <w:ind w:firstLine="562" w:firstLineChars="200"/>
        <w:jc w:val="left"/>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5.推进数字创意产业创新创业</w:t>
      </w:r>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引导和支持我市相关企业在产品、服务、商业模式、管理、组织、渠道等要素上的不断创新，加强企业在品牌创新、技术研发、功能设计等方面深度合作，发展综合设计服务。完善服务支持体系，协助人才申请政府基金，优化、丰富“人才贷”“科技贷”“创业贷”等金融产品。培育或引进一批新兴企业，帮助中小型原创企业实现数字创意的价值变现，形成“孵化—加速—研发—产业”的企业创新链条，支持企业加快融入战略性新兴产业。</w:t>
      </w:r>
    </w:p>
    <w:p>
      <w:pPr>
        <w:pStyle w:val="3"/>
        <w:spacing w:line="360" w:lineRule="auto"/>
        <w:ind w:firstLine="643"/>
        <w:rPr>
          <w:rFonts w:ascii="楷体_GB2312" w:hAnsiTheme="majorHAnsi" w:cstheme="majorBidi"/>
          <w:szCs w:val="32"/>
          <w:highlight w:val="none"/>
        </w:rPr>
      </w:pPr>
      <w:bookmarkStart w:id="43" w:name="_Toc4490"/>
      <w:r>
        <w:rPr>
          <w:rFonts w:hint="eastAsia"/>
          <w:highlight w:val="none"/>
        </w:rPr>
        <w:t>（三）加速数字创意产业新融合</w:t>
      </w:r>
      <w:bookmarkEnd w:id="43"/>
    </w:p>
    <w:p>
      <w:pPr>
        <w:snapToGrid w:val="0"/>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1.鼓励数字创意产业跨领域融通发展</w:t>
      </w:r>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鼓励数字创意产业与生产制造、文化教育、旅游体育、健康医疗与养老、智慧农业等领各域融合渗透，培育更多新产品、新服务、新业态，激发市场消费活力。建设一批数字创意产业基地，加强数字内容供给和技术装备研发平台，打造高水平直播和短视频基地、智能家电中心、高沉浸式产品体验展示中心，提供VR旅游、AR营销、数字文博馆、创意设计、智慧广电、智能体育等多元化消费体验。</w:t>
      </w:r>
    </w:p>
    <w:p>
      <w:pPr>
        <w:snapToGrid w:val="0"/>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2.加快“政、产、学、研、用、创”融智驱动</w:t>
      </w:r>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把数字创意人才纳入各类高层次、高技术人才引进计划，对引进的数字创意产业领域项目团队和高端人才按有关规定予以支持。大力培养数字创意产业人才，推进“互联网+职业培训”，提高数字创意产业人才培训的便利度和可及性。强化校企合作培养技能人才，鼓励市内高校和职业院校开设与数字创意产业相关的专业，鼓励高校和职业院校、科研院所与企业合作培养数字创意产业应用型人才，支持有条件的企业与高校和职业院校、科研院所合作建立数字创意产业实训基地。支持各云计算、大数据、网络安全等数字产业基地和高校、职业院校、社会培训机构合作，举办创新创业大赛、技能大赛等活动。</w:t>
      </w:r>
    </w:p>
    <w:p>
      <w:pPr>
        <w:snapToGrid w:val="0"/>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3.</w:t>
      </w:r>
      <w:r>
        <w:rPr>
          <w:rFonts w:ascii="仿宋_GB2312" w:hAnsi="Times New Roman" w:eastAsia="仿宋_GB2312"/>
          <w:b/>
          <w:bCs/>
          <w:sz w:val="28"/>
          <w:szCs w:val="28"/>
          <w:highlight w:val="none"/>
        </w:rPr>
        <w:t>推进数字技术</w:t>
      </w:r>
      <w:r>
        <w:rPr>
          <w:rFonts w:hint="eastAsia" w:ascii="仿宋_GB2312" w:hAnsi="Times New Roman" w:eastAsia="仿宋_GB2312"/>
          <w:b/>
          <w:bCs/>
          <w:sz w:val="28"/>
          <w:szCs w:val="28"/>
          <w:highlight w:val="none"/>
        </w:rPr>
        <w:t>融技</w:t>
      </w:r>
      <w:r>
        <w:rPr>
          <w:rFonts w:ascii="仿宋_GB2312" w:hAnsi="Times New Roman" w:eastAsia="仿宋_GB2312"/>
          <w:b/>
          <w:bCs/>
          <w:sz w:val="28"/>
          <w:szCs w:val="28"/>
          <w:highlight w:val="none"/>
        </w:rPr>
        <w:t>应用</w:t>
      </w:r>
    </w:p>
    <w:p>
      <w:pPr>
        <w:snapToGrid w:val="0"/>
        <w:spacing w:line="360" w:lineRule="auto"/>
        <w:ind w:firstLine="560" w:firstLineChars="200"/>
        <w:rPr>
          <w:rFonts w:ascii="仿宋_GB2312" w:hAnsi="Times New Roman" w:eastAsia="仿宋_GB2312"/>
          <w:sz w:val="28"/>
          <w:szCs w:val="28"/>
          <w:highlight w:val="none"/>
        </w:rPr>
      </w:pPr>
      <w:r>
        <w:rPr>
          <w:rFonts w:ascii="仿宋_GB2312" w:hAnsi="Times New Roman" w:eastAsia="仿宋_GB2312"/>
          <w:sz w:val="28"/>
          <w:szCs w:val="28"/>
          <w:highlight w:val="none"/>
        </w:rPr>
        <w:t>深化数字创意产业数据资源要素治理，全面提升大数据采集和预处理、大数据存储与管理、大数据处理与分析等服务能力。加快推动VR</w:t>
      </w:r>
      <w:r>
        <w:rPr>
          <w:rFonts w:hint="eastAsia" w:ascii="仿宋_GB2312" w:hAnsi="Times New Roman" w:eastAsia="仿宋_GB2312"/>
          <w:sz w:val="28"/>
          <w:szCs w:val="28"/>
          <w:highlight w:val="none"/>
        </w:rPr>
        <w:t>、</w:t>
      </w:r>
      <w:r>
        <w:rPr>
          <w:rFonts w:ascii="仿宋_GB2312" w:hAnsi="Times New Roman" w:eastAsia="仿宋_GB2312"/>
          <w:sz w:val="28"/>
          <w:szCs w:val="28"/>
          <w:highlight w:val="none"/>
        </w:rPr>
        <w:t>AR</w:t>
      </w:r>
      <w:r>
        <w:rPr>
          <w:rFonts w:hint="eastAsia" w:ascii="仿宋_GB2312" w:hAnsi="Times New Roman" w:eastAsia="仿宋_GB2312"/>
          <w:sz w:val="28"/>
          <w:szCs w:val="28"/>
          <w:highlight w:val="none"/>
        </w:rPr>
        <w:t>、</w:t>
      </w:r>
      <w:r>
        <w:rPr>
          <w:rFonts w:ascii="仿宋_GB2312" w:hAnsi="Times New Roman" w:eastAsia="仿宋_GB2312"/>
          <w:sz w:val="28"/>
          <w:szCs w:val="28"/>
          <w:highlight w:val="none"/>
        </w:rPr>
        <w:t>MR(虚拟现实</w:t>
      </w:r>
      <w:r>
        <w:rPr>
          <w:rFonts w:hint="eastAsia" w:ascii="仿宋_GB2312" w:hAnsi="Times New Roman" w:eastAsia="仿宋_GB2312"/>
          <w:sz w:val="28"/>
          <w:szCs w:val="28"/>
          <w:highlight w:val="none"/>
        </w:rPr>
        <w:t>、</w:t>
      </w:r>
      <w:r>
        <w:rPr>
          <w:rFonts w:ascii="仿宋_GB2312" w:hAnsi="Times New Roman" w:eastAsia="仿宋_GB2312"/>
          <w:sz w:val="28"/>
          <w:szCs w:val="28"/>
          <w:highlight w:val="none"/>
        </w:rPr>
        <w:t>增强现实</w:t>
      </w:r>
      <w:r>
        <w:rPr>
          <w:rFonts w:hint="eastAsia" w:ascii="仿宋_GB2312" w:hAnsi="Times New Roman" w:eastAsia="仿宋_GB2312"/>
          <w:sz w:val="28"/>
          <w:szCs w:val="28"/>
          <w:highlight w:val="none"/>
        </w:rPr>
        <w:t>、</w:t>
      </w:r>
      <w:r>
        <w:rPr>
          <w:rFonts w:ascii="仿宋_GB2312" w:hAnsi="Times New Roman" w:eastAsia="仿宋_GB2312"/>
          <w:sz w:val="28"/>
          <w:szCs w:val="28"/>
          <w:highlight w:val="none"/>
        </w:rPr>
        <w:t>混合现实)、人机交互、3D(三维)等新兴数字技术在游戏、视频、会展、旅游等领域的融合应用。支持搭建数字技术应用云服务平台，支撑数字创意产业各领域应用的快速设计、开发和部署，为中小微企业和用户提供研发设计、技术产业化、市场推广等公共服务。</w:t>
      </w:r>
    </w:p>
    <w:p>
      <w:pPr>
        <w:snapToGrid w:val="0"/>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4.</w:t>
      </w:r>
      <w:r>
        <w:rPr>
          <w:rFonts w:hint="eastAsia"/>
          <w:highlight w:val="none"/>
        </w:rPr>
        <w:t xml:space="preserve"> </w:t>
      </w:r>
      <w:r>
        <w:rPr>
          <w:rFonts w:hint="eastAsia" w:ascii="仿宋_GB2312" w:hAnsi="Times New Roman" w:eastAsia="仿宋_GB2312"/>
          <w:b/>
          <w:bCs/>
          <w:sz w:val="28"/>
          <w:szCs w:val="28"/>
          <w:highlight w:val="none"/>
        </w:rPr>
        <w:t>创新数创产业区域融合发展</w:t>
      </w:r>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六安市东临合肥，西临荆楚，充分发挥六安作为大别山区域中心城市、国家级皖江城市带承接产业转移示范区的成员城市、国家级交通枢纽城市的优势</w:t>
      </w:r>
      <w:r>
        <w:rPr>
          <w:rFonts w:hint="eastAsia" w:ascii="仿宋_GB2312" w:hAnsi="Times New Roman" w:eastAsia="仿宋_GB2312"/>
          <w:sz w:val="28"/>
          <w:szCs w:val="28"/>
          <w:highlight w:val="none"/>
          <w:lang w:eastAsia="zh-CN"/>
        </w:rPr>
        <w:t>，深度融入</w:t>
      </w:r>
      <w:r>
        <w:rPr>
          <w:rFonts w:hint="eastAsia" w:ascii="仿宋_GB2312" w:hAnsi="Times New Roman" w:eastAsia="仿宋_GB2312"/>
          <w:sz w:val="28"/>
          <w:szCs w:val="28"/>
          <w:highlight w:val="none"/>
        </w:rPr>
        <w:t>合肥</w:t>
      </w:r>
      <w:r>
        <w:rPr>
          <w:rFonts w:hint="eastAsia" w:ascii="仿宋_GB2312" w:hAnsi="Times New Roman" w:eastAsia="仿宋_GB2312"/>
          <w:sz w:val="28"/>
          <w:szCs w:val="28"/>
          <w:highlight w:val="none"/>
          <w:lang w:eastAsia="zh-CN"/>
        </w:rPr>
        <w:t>都市</w:t>
      </w:r>
      <w:r>
        <w:rPr>
          <w:rFonts w:hint="eastAsia" w:ascii="仿宋_GB2312" w:hAnsi="Times New Roman" w:eastAsia="仿宋_GB2312"/>
          <w:sz w:val="28"/>
          <w:szCs w:val="28"/>
          <w:highlight w:val="none"/>
        </w:rPr>
        <w:t>圈</w:t>
      </w:r>
      <w:r>
        <w:rPr>
          <w:rFonts w:hint="eastAsia" w:ascii="仿宋_GB2312" w:hAnsi="Times New Roman" w:eastAsia="仿宋_GB2312"/>
          <w:sz w:val="28"/>
          <w:szCs w:val="28"/>
          <w:highlight w:val="none"/>
          <w:lang w:eastAsia="zh-CN"/>
        </w:rPr>
        <w:t>，支撑全省数字创意产业发展的新增长极</w:t>
      </w:r>
      <w:r>
        <w:rPr>
          <w:rFonts w:hint="eastAsia" w:ascii="仿宋_GB2312" w:hAnsi="Times New Roman" w:eastAsia="仿宋_GB2312"/>
          <w:sz w:val="28"/>
          <w:szCs w:val="28"/>
          <w:highlight w:val="none"/>
        </w:rPr>
        <w:t>。</w:t>
      </w:r>
      <w:r>
        <w:rPr>
          <w:rFonts w:hint="eastAsia" w:ascii="仿宋" w:hAnsi="仿宋" w:eastAsia="仿宋" w:cs="仿宋"/>
          <w:b w:val="0"/>
          <w:bCs w:val="0"/>
          <w:color w:val="auto"/>
          <w:sz w:val="28"/>
          <w:szCs w:val="28"/>
          <w:highlight w:val="none"/>
          <w:u w:val="none"/>
          <w:lang w:val="en-US" w:eastAsia="zh-CN"/>
        </w:rPr>
        <w:t>把握“沪苏浙城市结对合作帮扶”和“革命老区重点城市对口合作”等重大机遇，发挥市数字创意与现代服务业产业链推进组职能作用，推进与上海市、松江区的对口合作与交流。</w:t>
      </w:r>
      <w:r>
        <w:rPr>
          <w:rFonts w:hint="eastAsia" w:ascii="仿宋_GB2312" w:hAnsi="Times New Roman" w:eastAsia="仿宋_GB2312"/>
          <w:sz w:val="28"/>
          <w:szCs w:val="28"/>
          <w:highlight w:val="none"/>
        </w:rPr>
        <w:t>设立“科技创新园”，进一步做活做实“科技飞地”，深化与合肥、湖北、“长三角”“珠三角”等科技水发展水平领先地区更高质量一体化发展深度融合示范区建设。</w:t>
      </w:r>
    </w:p>
    <w:p>
      <w:pPr>
        <w:spacing w:line="360" w:lineRule="auto"/>
        <w:ind w:firstLine="642" w:firstLineChars="200"/>
        <w:outlineLvl w:val="1"/>
        <w:rPr>
          <w:rFonts w:ascii="楷体_GB2312" w:eastAsia="楷体_GB2312" w:hAnsiTheme="majorHAnsi" w:cstheme="majorBidi"/>
          <w:b/>
          <w:sz w:val="32"/>
          <w:szCs w:val="32"/>
          <w:highlight w:val="none"/>
        </w:rPr>
      </w:pPr>
      <w:bookmarkStart w:id="44" w:name="_Toc13734"/>
      <w:r>
        <w:rPr>
          <w:rFonts w:hint="eastAsia" w:ascii="楷体_GB2312" w:eastAsia="楷体_GB2312" w:hAnsiTheme="majorHAnsi" w:cstheme="majorBidi"/>
          <w:b/>
          <w:sz w:val="32"/>
          <w:szCs w:val="32"/>
          <w:highlight w:val="none"/>
        </w:rPr>
        <w:fldChar w:fldCharType="begin"/>
      </w:r>
      <w:r>
        <w:rPr>
          <w:rFonts w:hint="eastAsia" w:ascii="楷体_GB2312" w:eastAsia="楷体_GB2312" w:hAnsiTheme="majorHAnsi" w:cstheme="majorBidi"/>
          <w:b/>
          <w:sz w:val="32"/>
          <w:szCs w:val="32"/>
          <w:highlight w:val="none"/>
        </w:rPr>
        <w:instrText xml:space="preserve"> HYPERLINK \l "_Toc31119" </w:instrText>
      </w:r>
      <w:r>
        <w:rPr>
          <w:rFonts w:hint="eastAsia" w:ascii="楷体_GB2312" w:eastAsia="楷体_GB2312" w:hAnsiTheme="majorHAnsi" w:cstheme="majorBidi"/>
          <w:b/>
          <w:sz w:val="32"/>
          <w:szCs w:val="32"/>
          <w:highlight w:val="none"/>
        </w:rPr>
        <w:fldChar w:fldCharType="separate"/>
      </w:r>
      <w:r>
        <w:rPr>
          <w:rFonts w:hint="eastAsia" w:ascii="楷体_GB2312" w:eastAsia="楷体_GB2312" w:hAnsiTheme="majorHAnsi" w:cstheme="majorBidi"/>
          <w:b/>
          <w:sz w:val="32"/>
          <w:szCs w:val="32"/>
          <w:highlight w:val="none"/>
        </w:rPr>
        <w:t>（四）开拓数字创意产业新市场</w:t>
      </w:r>
      <w:r>
        <w:rPr>
          <w:rFonts w:hint="eastAsia" w:ascii="楷体_GB2312" w:eastAsia="楷体_GB2312" w:hAnsiTheme="majorHAnsi" w:cstheme="majorBidi"/>
          <w:b/>
          <w:sz w:val="32"/>
          <w:szCs w:val="32"/>
          <w:highlight w:val="none"/>
        </w:rPr>
        <w:fldChar w:fldCharType="end"/>
      </w:r>
      <w:bookmarkEnd w:id="44"/>
    </w:p>
    <w:p>
      <w:pPr>
        <w:snapToGrid w:val="0"/>
        <w:spacing w:before="60" w:after="60"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适应新消费趋势，培育新消费市场，满足人民日益增长增长的多样化新需求。重点推动数字创意与工业制造、文化教育、媒体传播、地理信息、农业农村、健康服务及现代物流等各领域融合渗透，培育更多新产品、新服务、新业态。</w:t>
      </w:r>
    </w:p>
    <w:p>
      <w:pPr>
        <w:snapToGrid w:val="0"/>
        <w:spacing w:before="60" w:after="60" w:line="360" w:lineRule="auto"/>
        <w:ind w:firstLine="562" w:firstLineChars="200"/>
        <w:jc w:val="left"/>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1.积极发展兴趣电商</w:t>
      </w:r>
    </w:p>
    <w:p>
      <w:pPr>
        <w:snapToGrid w:val="0"/>
        <w:spacing w:before="60" w:after="60"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大力开展</w:t>
      </w:r>
      <w:r>
        <w:rPr>
          <w:rFonts w:ascii="仿宋_GB2312" w:hAnsi="Times New Roman" w:eastAsia="仿宋_GB2312"/>
          <w:sz w:val="28"/>
          <w:szCs w:val="28"/>
          <w:highlight w:val="none"/>
        </w:rPr>
        <w:t>电商人才</w:t>
      </w:r>
      <w:r>
        <w:rPr>
          <w:rFonts w:hint="eastAsia" w:ascii="仿宋_GB2312" w:hAnsi="Times New Roman" w:eastAsia="仿宋_GB2312"/>
          <w:sz w:val="28"/>
          <w:szCs w:val="28"/>
          <w:highlight w:val="none"/>
        </w:rPr>
        <w:t>培训活动</w:t>
      </w:r>
      <w:r>
        <w:rPr>
          <w:rFonts w:ascii="仿宋_GB2312" w:hAnsi="Times New Roman" w:eastAsia="仿宋_GB2312"/>
          <w:sz w:val="28"/>
          <w:szCs w:val="28"/>
          <w:highlight w:val="none"/>
        </w:rPr>
        <w:t>，为新农人和助农达人提供流量、特色活动资源等定向扶持，集中头部达人的力量推广地方重点农产品</w:t>
      </w:r>
      <w:r>
        <w:rPr>
          <w:rFonts w:hint="eastAsia" w:ascii="仿宋_GB2312" w:hAnsi="Times New Roman" w:eastAsia="仿宋_GB2312"/>
          <w:sz w:val="28"/>
          <w:szCs w:val="28"/>
          <w:highlight w:val="none"/>
        </w:rPr>
        <w:t>，引流兴趣消费。推动与电商平台合作，</w:t>
      </w:r>
      <w:r>
        <w:rPr>
          <w:rFonts w:ascii="仿宋_GB2312" w:hAnsi="Times New Roman" w:eastAsia="仿宋_GB2312"/>
          <w:sz w:val="28"/>
          <w:szCs w:val="28"/>
          <w:highlight w:val="none"/>
        </w:rPr>
        <w:t>为特色地方品牌投入补贴，</w:t>
      </w:r>
      <w:r>
        <w:rPr>
          <w:rFonts w:hint="eastAsia" w:ascii="仿宋_GB2312" w:hAnsi="Times New Roman" w:eastAsia="仿宋_GB2312"/>
          <w:sz w:val="28"/>
          <w:szCs w:val="28"/>
          <w:highlight w:val="none"/>
        </w:rPr>
        <w:t>平衡与优化厂家、</w:t>
      </w:r>
      <w:r>
        <w:rPr>
          <w:rFonts w:ascii="仿宋_GB2312" w:hAnsi="Times New Roman" w:eastAsia="仿宋_GB2312"/>
          <w:sz w:val="28"/>
          <w:szCs w:val="28"/>
          <w:highlight w:val="none"/>
        </w:rPr>
        <w:t>商家</w:t>
      </w:r>
      <w:r>
        <w:rPr>
          <w:rFonts w:hint="eastAsia" w:ascii="仿宋_GB2312" w:hAnsi="Times New Roman" w:eastAsia="仿宋_GB2312"/>
          <w:sz w:val="28"/>
          <w:szCs w:val="28"/>
          <w:highlight w:val="none"/>
        </w:rPr>
        <w:t>、用户三方利益，做优、最强兴趣电商产品。积极</w:t>
      </w:r>
      <w:r>
        <w:rPr>
          <w:rFonts w:ascii="仿宋_GB2312" w:hAnsi="Times New Roman" w:eastAsia="仿宋_GB2312"/>
          <w:sz w:val="28"/>
          <w:szCs w:val="28"/>
          <w:highlight w:val="none"/>
        </w:rPr>
        <w:t>挖掘并邀请</w:t>
      </w:r>
      <w:r>
        <w:rPr>
          <w:rFonts w:hint="eastAsia" w:ascii="仿宋_GB2312" w:hAnsi="Times New Roman" w:eastAsia="仿宋_GB2312"/>
          <w:sz w:val="28"/>
          <w:szCs w:val="28"/>
          <w:highlight w:val="none"/>
        </w:rPr>
        <w:t>六安市</w:t>
      </w:r>
      <w:r>
        <w:rPr>
          <w:rFonts w:ascii="仿宋_GB2312" w:hAnsi="Times New Roman" w:eastAsia="仿宋_GB2312"/>
          <w:sz w:val="28"/>
          <w:szCs w:val="28"/>
          <w:highlight w:val="none"/>
        </w:rPr>
        <w:t>食品、生鲜、文旅等地方优势产业品牌入驻，通过专场活动提升知名度</w:t>
      </w:r>
      <w:r>
        <w:rPr>
          <w:rFonts w:hint="eastAsia" w:ascii="仿宋_GB2312" w:hAnsi="Times New Roman" w:eastAsia="仿宋_GB2312"/>
          <w:sz w:val="28"/>
          <w:szCs w:val="28"/>
          <w:highlight w:val="none"/>
        </w:rPr>
        <w:t>，打造兴趣电商品牌</w:t>
      </w:r>
      <w:r>
        <w:rPr>
          <w:rFonts w:ascii="仿宋_GB2312" w:hAnsi="Times New Roman" w:eastAsia="仿宋_GB2312"/>
          <w:sz w:val="28"/>
          <w:szCs w:val="28"/>
          <w:highlight w:val="none"/>
        </w:rPr>
        <w:t>。</w:t>
      </w:r>
    </w:p>
    <w:p>
      <w:pPr>
        <w:snapToGrid w:val="0"/>
        <w:spacing w:before="60" w:after="60" w:line="360" w:lineRule="auto"/>
        <w:ind w:firstLine="562" w:firstLineChars="200"/>
        <w:jc w:val="left"/>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2.规范发展共享消费</w:t>
      </w:r>
    </w:p>
    <w:p>
      <w:pPr>
        <w:snapToGrid w:val="0"/>
        <w:spacing w:before="60" w:after="60" w:line="360" w:lineRule="auto"/>
        <w:ind w:firstLine="560" w:firstLineChars="200"/>
        <w:jc w:val="left"/>
        <w:rPr>
          <w:rFonts w:ascii="仿宋_GB2312" w:hAnsi="Times New Roman" w:eastAsia="仿宋_GB2312"/>
          <w:b/>
          <w:bCs/>
          <w:sz w:val="28"/>
          <w:szCs w:val="28"/>
          <w:highlight w:val="none"/>
        </w:rPr>
      </w:pPr>
      <w:r>
        <w:rPr>
          <w:rFonts w:hint="eastAsia" w:ascii="仿宋_GB2312" w:hAnsi="Times New Roman" w:eastAsia="仿宋_GB2312"/>
          <w:sz w:val="28"/>
          <w:szCs w:val="28"/>
          <w:highlight w:val="none"/>
        </w:rPr>
        <w:t>支持依托互联网的外卖配送、网约车、即时递送、住宿共享等新业态发展。创新无接触式消费模式，探索发展智慧街区、智慧超市、智慧商店、智慧餐厅等新零售业态。鼓励在写字楼、商场、车站、社区增设无人超市、智能售货机等新零售设施。</w:t>
      </w:r>
    </w:p>
    <w:p>
      <w:pPr>
        <w:snapToGrid w:val="0"/>
        <w:spacing w:before="60" w:after="60" w:line="360" w:lineRule="auto"/>
        <w:ind w:firstLine="562" w:firstLineChars="200"/>
        <w:jc w:val="left"/>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3.鼓励发展定制消费</w:t>
      </w:r>
    </w:p>
    <w:p>
      <w:pPr>
        <w:snapToGrid w:val="0"/>
        <w:spacing w:before="60" w:after="60" w:line="360" w:lineRule="auto"/>
        <w:ind w:firstLine="560" w:firstLineChars="200"/>
        <w:jc w:val="left"/>
        <w:rPr>
          <w:rFonts w:ascii="仿宋_GB2312" w:hAnsi="Times New Roman" w:eastAsia="仿宋_GB2312"/>
          <w:b/>
          <w:bCs/>
          <w:sz w:val="28"/>
          <w:szCs w:val="28"/>
          <w:highlight w:val="none"/>
        </w:rPr>
      </w:pPr>
      <w:r>
        <w:rPr>
          <w:rFonts w:hint="eastAsia" w:ascii="仿宋_GB2312" w:hAnsi="Times New Roman" w:eastAsia="仿宋_GB2312"/>
          <w:sz w:val="28"/>
          <w:szCs w:val="28"/>
          <w:highlight w:val="none"/>
        </w:rPr>
        <w:t>引导企业发展家庭服务定制、旅游定制、餐饮定制。鼓励景区景点、独山红街等文创园区、展览展会等根据独具特色的六安文化，打造数字化、实体化文创产品，运用短视频、直播、虚拟现实等技术，打造沉浸式全景在线产品。</w:t>
      </w:r>
    </w:p>
    <w:p>
      <w:pPr>
        <w:snapToGrid w:val="0"/>
        <w:spacing w:before="60" w:after="60" w:line="360" w:lineRule="auto"/>
        <w:ind w:firstLine="562" w:firstLineChars="200"/>
        <w:jc w:val="left"/>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4.合力发展数创品牌</w:t>
      </w:r>
    </w:p>
    <w:p>
      <w:pPr>
        <w:snapToGrid w:val="0"/>
        <w:spacing w:before="60" w:after="60"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加快数字创意产业品牌培育，运用数字技术，做强数字内容，打响服务品牌，打造围绕原创产品的产业生态圈。提升数字内容原创水平，鼓励宣扬主流文化、传统文化、地域文化的数字内容作品创作，加快塑造优质、典型数字内容IP，发展适应新媒体、新受众、新生态的数字内容产品，打造“产品+创意+服务”新模式。以原创数字内容打造品牌文化内涵，提升产品与服务附加值。</w:t>
      </w:r>
    </w:p>
    <w:p>
      <w:pPr>
        <w:spacing w:line="360" w:lineRule="auto"/>
        <w:ind w:firstLine="642" w:firstLineChars="200"/>
        <w:outlineLvl w:val="1"/>
        <w:rPr>
          <w:rFonts w:ascii="楷体_GB2312" w:eastAsia="楷体_GB2312" w:hAnsiTheme="majorHAnsi" w:cstheme="majorBidi"/>
          <w:b/>
          <w:sz w:val="32"/>
          <w:szCs w:val="32"/>
          <w:highlight w:val="none"/>
        </w:rPr>
      </w:pPr>
      <w:bookmarkStart w:id="45" w:name="_Toc22847"/>
      <w:r>
        <w:rPr>
          <w:rFonts w:hint="eastAsia" w:ascii="楷体_GB2312" w:eastAsia="楷体_GB2312" w:hAnsiTheme="majorHAnsi" w:cstheme="majorBidi"/>
          <w:b/>
          <w:sz w:val="32"/>
          <w:szCs w:val="32"/>
          <w:highlight w:val="none"/>
        </w:rPr>
        <w:t>（五）打造数字创意产业新示范</w:t>
      </w:r>
      <w:bookmarkEnd w:id="45"/>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培育多个辐射全省、面向全国的六安数字创意产业基地，打造六安新媒体创意产业基地、六安视谷数字装备示范区等数字创意产业示范领域，加强跟踪研究，形成一批有创新、接地气、可复制、可推广的创新成果和经验，打造全市数字创意产业新示范。</w:t>
      </w:r>
    </w:p>
    <w:p>
      <w:pPr>
        <w:snapToGrid w:val="0"/>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1.新一代信息基础设施建设示范</w:t>
      </w:r>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强化信息基础设施的空间与要素保障，重点推动5G基站和配套设施落地，有效整合已有站址资源和基础配套设施，鼓励探索利用路灯杆、监控杆、电力杆部署网络基础设施，推进各类杆塔资源的开放共享和统筹利用，提升设施资源利用效率。持续推进重点区域深度覆盖和各镇功能性覆盖，形成有规模效应的应用。到2025年，5G网络实现全市覆盖，市区、县城、开发区、主要景点等区域实现深度覆盖并规模商用；城镇家庭宽带接入能力达千兆，加快5G核心传输网改造升级，打造支撑5G基站大容量、高速率、低时延数据传输需求的全光通信网络。</w:t>
      </w:r>
    </w:p>
    <w:p>
      <w:pPr>
        <w:snapToGrid w:val="0"/>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2.数字创意产业区域合作示范</w:t>
      </w:r>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十四五”期间打造六安产业协作示范区，推动六安在生态、文化、产业、服务等多领域对接，依托六安市数字产业，结合全国、全省的短视频直播和科普教育研学等相关数字产业活动，加大安徽省市间及跨省异地区域数字产品供给和区域联动。依托江浙沪、合肥和武汉等重点区域，以产业转移和共建为重点，着力将六安市打造成为合肥产业拓展首选地和制造业的延伸区，积极发挥六安作为合肥市“后花园”优势，在舒城县、金安区、裕安区打造长三角主导产业“配套园”“产业转移承接园”，统筹推进数字基础设施建设，探索建设各类产业集群跨区域、跨平台协作机制，促进资源共享、错位互补、供需联动的区域数字化发展生态。</w:t>
      </w:r>
    </w:p>
    <w:p>
      <w:pPr>
        <w:snapToGrid w:val="0"/>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3.数字创意产业重点领域发展示范</w:t>
      </w:r>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聚焦战略前沿和制高点领域，立足重大技术突破和重大发展需求，增强产业链关键环节竞争力，完善重点产业供应链体系，加速产品和服务迭代。在舒城县以欧菲精卓显及上下游企业为基础，重点发展液晶显示、激光装备、光学装备、电子装备，发展数字光电显示集群，以胜利电子、英力电子等为基础重点发展智能终端、精密电子元器件等产品，以星玛新能源、绿沃新能源等企业为基础重点发展电驱变速箱、通用动力电池管理系统等新能源汽车关键电子产品，打造舒城数字数装备新示范；在舒城县围绕万佛湖旅游度假区、金寨县以天堂寨旅游度假区为核心、霍山县以陡沙河温泉小镇和佛子岭坝下休闲区为核心，结合网络营销与创建IP形象，打造大别山数字文旅新示范。加快锻造长板、补齐短板，培育一批具有国内竞争力的大企业和具有吸引力的数字创意产业项目，促进集群化发展，打造省级甚至国家级数字创意产业集群。</w:t>
      </w:r>
    </w:p>
    <w:p>
      <w:pPr>
        <w:pStyle w:val="2"/>
        <w:spacing w:line="360" w:lineRule="auto"/>
        <w:ind w:firstLine="602"/>
        <w:rPr>
          <w:color w:val="auto"/>
          <w:highlight w:val="none"/>
        </w:rPr>
      </w:pPr>
      <w:bookmarkStart w:id="46" w:name="_Toc281"/>
      <w:bookmarkStart w:id="47" w:name="_Toc27253"/>
      <w:bookmarkStart w:id="48" w:name="_Toc14873"/>
      <w:r>
        <w:rPr>
          <w:rFonts w:hint="eastAsia"/>
          <w:color w:val="auto"/>
          <w:highlight w:val="none"/>
        </w:rPr>
        <w:t>四、重点工程</w:t>
      </w:r>
      <w:bookmarkEnd w:id="46"/>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根据五大主要任务，顺应数字创意产业发展趋势，结合六安实际，在“十四五”期间重点推进以下</w:t>
      </w:r>
      <w:r>
        <w:rPr>
          <w:rFonts w:hint="eastAsia" w:ascii="仿宋_GB2312" w:hAnsi="Times New Roman" w:eastAsia="仿宋_GB2312"/>
          <w:sz w:val="28"/>
          <w:szCs w:val="28"/>
          <w:highlight w:val="none"/>
          <w:lang w:val="en-US" w:eastAsia="zh-CN"/>
        </w:rPr>
        <w:t>八</w:t>
      </w:r>
      <w:r>
        <w:rPr>
          <w:rFonts w:hint="eastAsia" w:ascii="仿宋_GB2312" w:hAnsi="Times New Roman" w:eastAsia="仿宋_GB2312"/>
          <w:sz w:val="28"/>
          <w:szCs w:val="28"/>
          <w:highlight w:val="none"/>
        </w:rPr>
        <w:t>大工程。</w:t>
      </w:r>
    </w:p>
    <w:p>
      <w:pPr>
        <w:pStyle w:val="3"/>
        <w:numPr>
          <w:ilvl w:val="0"/>
          <w:numId w:val="1"/>
        </w:numPr>
        <w:spacing w:line="360" w:lineRule="auto"/>
        <w:ind w:firstLine="643"/>
        <w:rPr>
          <w:rFonts w:hint="default" w:eastAsiaTheme="minorEastAsia"/>
          <w:highlight w:val="none"/>
          <w:lang w:val="en-US" w:eastAsia="zh-CN"/>
        </w:rPr>
      </w:pPr>
      <w:bookmarkStart w:id="49" w:name="_Toc19018"/>
      <w:r>
        <w:rPr>
          <w:rFonts w:hint="eastAsia"/>
          <w:highlight w:val="none"/>
        </w:rPr>
        <w:t>数字“五色”</w:t>
      </w:r>
      <w:r>
        <w:rPr>
          <w:rFonts w:hint="eastAsia"/>
          <w:highlight w:val="none"/>
          <w:lang w:eastAsia="zh-CN"/>
        </w:rPr>
        <w:t>品牌</w:t>
      </w:r>
      <w:r>
        <w:rPr>
          <w:rFonts w:hint="eastAsia"/>
          <w:highlight w:val="none"/>
        </w:rPr>
        <w:t>工程</w:t>
      </w:r>
      <w:bookmarkEnd w:id="49"/>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以六安</w:t>
      </w:r>
      <w:r>
        <w:rPr>
          <w:rFonts w:hint="eastAsia" w:ascii="仿宋_GB2312" w:hAnsi="Times New Roman" w:eastAsia="仿宋_GB2312"/>
          <w:sz w:val="28"/>
          <w:szCs w:val="28"/>
          <w:highlight w:val="none"/>
          <w:lang w:val="en-US" w:eastAsia="zh-CN"/>
        </w:rPr>
        <w:t>红色、绿色、古色、金色、白色等“五色”文化为</w:t>
      </w:r>
      <w:r>
        <w:rPr>
          <w:rFonts w:hint="eastAsia" w:ascii="仿宋_GB2312" w:hAnsi="Times New Roman" w:eastAsia="仿宋_GB2312"/>
          <w:sz w:val="28"/>
          <w:szCs w:val="28"/>
          <w:highlight w:val="none"/>
        </w:rPr>
        <w:t>总抓手，打造具有六安基因，六安特色的数字创意产业体系。开发六安丰富文化资源，形成一系列展现数字创意行业新特色、新竞争力的文旅产品。推动六安传统产业“五色”转型升级，为区域经济发展带来新增长点和着力点。</w:t>
      </w:r>
    </w:p>
    <w:p>
      <w:pPr>
        <w:snapToGrid w:val="0"/>
        <w:spacing w:line="360" w:lineRule="auto"/>
        <w:ind w:firstLine="562" w:firstLineChars="200"/>
        <w:rPr>
          <w:rFonts w:hint="eastAsia" w:ascii="仿宋_GB2312" w:hAnsi="Times New Roman" w:eastAsia="仿宋_GB2312"/>
          <w:b/>
          <w:bCs/>
          <w:color w:val="000000" w:themeColor="text1"/>
          <w:sz w:val="28"/>
          <w:szCs w:val="28"/>
          <w:highlight w:val="none"/>
          <w:lang w:val="en-US" w:eastAsia="zh-CN"/>
          <w14:textFill>
            <w14:solidFill>
              <w14:schemeClr w14:val="tx1"/>
            </w14:solidFill>
          </w14:textFill>
        </w:rPr>
      </w:pPr>
      <w:r>
        <w:rPr>
          <w:rFonts w:hint="eastAsia" w:ascii="仿宋_GB2312" w:hAnsi="Times New Roman" w:eastAsia="仿宋_GB2312"/>
          <w:b/>
          <w:bCs/>
          <w:color w:val="000000" w:themeColor="text1"/>
          <w:sz w:val="28"/>
          <w:szCs w:val="28"/>
          <w:highlight w:val="none"/>
          <w:lang w:val="en-US" w:eastAsia="zh-CN"/>
          <w14:textFill>
            <w14:solidFill>
              <w14:schemeClr w14:val="tx1"/>
            </w14:solidFill>
          </w14:textFill>
        </w:rPr>
        <w:t>1.革命老区红色牌</w:t>
      </w:r>
    </w:p>
    <w:p>
      <w:pPr>
        <w:snapToGrid w:val="0"/>
        <w:spacing w:line="360" w:lineRule="auto"/>
        <w:ind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推进大别山红色文化基因库、生物资源、地质资源等数字化建设与管理并转化为IP，转化成留存区域文化记忆的落地产品。以红色微电影产业为主体，集红色微电影拍摄制作、红色故事沉浸式体验、展会培训、旅游度假、商务会议、文化博览于一体的数字创意产业示范基地。</w:t>
      </w:r>
    </w:p>
    <w:p>
      <w:pPr>
        <w:snapToGrid w:val="0"/>
        <w:spacing w:line="360" w:lineRule="auto"/>
        <w:ind w:firstLine="562" w:firstLineChars="200"/>
        <w:rPr>
          <w:rFonts w:hint="eastAsia" w:ascii="仿宋_GB2312" w:hAnsi="Times New Roman" w:eastAsia="仿宋_GB2312"/>
          <w:b/>
          <w:bCs/>
          <w:color w:val="000000" w:themeColor="text1"/>
          <w:sz w:val="28"/>
          <w:szCs w:val="28"/>
          <w:highlight w:val="none"/>
          <w:lang w:val="en-US" w:eastAsia="zh-CN"/>
          <w14:textFill>
            <w14:solidFill>
              <w14:schemeClr w14:val="tx1"/>
            </w14:solidFill>
          </w14:textFill>
        </w:rPr>
      </w:pPr>
      <w:r>
        <w:rPr>
          <w:rFonts w:hint="eastAsia" w:ascii="仿宋_GB2312" w:hAnsi="Times New Roman" w:eastAsia="仿宋_GB2312"/>
          <w:b/>
          <w:bCs/>
          <w:color w:val="000000" w:themeColor="text1"/>
          <w:sz w:val="28"/>
          <w:szCs w:val="28"/>
          <w:highlight w:val="none"/>
          <w:lang w:val="en-US" w:eastAsia="zh-CN"/>
          <w14:textFill>
            <w14:solidFill>
              <w14:schemeClr w14:val="tx1"/>
            </w14:solidFill>
          </w14:textFill>
        </w:rPr>
        <w:t>2.优良生态绿色牌</w:t>
      </w:r>
    </w:p>
    <w:p>
      <w:pPr>
        <w:snapToGrid w:val="0"/>
        <w:spacing w:line="360" w:lineRule="auto"/>
        <w:ind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开发水库（梅山、佛子岭）数字工业遗产研学、佛子岭酿造数字工业研学。结合乡村美丽公路建设，推进九十里画廊、江淮果岭、大别山湿地、茶山竹海（六安茶谷）、西山药库、万佛湖、佛子岭水库、梅山水库、城西湖等旅游环线建设。连景连村，构建片区小环线对接干线，解决最后一公里。</w:t>
      </w:r>
    </w:p>
    <w:p>
      <w:pPr>
        <w:snapToGrid w:val="0"/>
        <w:spacing w:line="360" w:lineRule="auto"/>
        <w:ind w:firstLine="562" w:firstLineChars="200"/>
        <w:rPr>
          <w:rFonts w:hint="eastAsia" w:ascii="仿宋_GB2312" w:hAnsi="Times New Roman" w:eastAsia="仿宋_GB2312"/>
          <w:b/>
          <w:bCs/>
          <w:color w:val="000000" w:themeColor="text1"/>
          <w:sz w:val="28"/>
          <w:szCs w:val="28"/>
          <w:highlight w:val="none"/>
          <w:lang w:val="en-US" w:eastAsia="zh-CN"/>
          <w14:textFill>
            <w14:solidFill>
              <w14:schemeClr w14:val="tx1"/>
            </w14:solidFill>
          </w14:textFill>
        </w:rPr>
      </w:pPr>
      <w:r>
        <w:rPr>
          <w:rFonts w:hint="eastAsia" w:ascii="仿宋_GB2312" w:hAnsi="Times New Roman" w:eastAsia="仿宋_GB2312"/>
          <w:b/>
          <w:bCs/>
          <w:color w:val="000000" w:themeColor="text1"/>
          <w:sz w:val="28"/>
          <w:szCs w:val="28"/>
          <w:highlight w:val="none"/>
          <w:lang w:val="en-US" w:eastAsia="zh-CN"/>
          <w14:textFill>
            <w14:solidFill>
              <w14:schemeClr w14:val="tx1"/>
            </w14:solidFill>
          </w14:textFill>
        </w:rPr>
        <w:t>3.人文厚重古色牌</w:t>
      </w:r>
    </w:p>
    <w:p>
      <w:pPr>
        <w:snapToGrid w:val="0"/>
        <w:spacing w:line="360" w:lineRule="auto"/>
        <w:ind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制作六安市文物信息数字化地图，推进考古数字化建设，协同做好考古发掘等文化遗产资料数字化出版。提升文物保护工作科学化水平，促进田野成果向学术成果的有效转化。加强博物馆数字化建设，探索与观众互动新模式。充分利用博物馆展览联盟优势，丰富展陈内容，打造精品展示活动。</w:t>
      </w:r>
    </w:p>
    <w:p>
      <w:pPr>
        <w:snapToGrid w:val="0"/>
        <w:spacing w:line="360" w:lineRule="auto"/>
        <w:ind w:firstLine="562" w:firstLineChars="200"/>
        <w:rPr>
          <w:rFonts w:hint="eastAsia" w:ascii="仿宋_GB2312" w:hAnsi="Times New Roman" w:eastAsia="仿宋_GB2312"/>
          <w:b/>
          <w:bCs/>
          <w:color w:val="000000" w:themeColor="text1"/>
          <w:sz w:val="28"/>
          <w:szCs w:val="28"/>
          <w:highlight w:val="none"/>
          <w:lang w:val="en-US" w:eastAsia="zh-CN"/>
          <w14:textFill>
            <w14:solidFill>
              <w14:schemeClr w14:val="tx1"/>
            </w14:solidFill>
          </w14:textFill>
        </w:rPr>
      </w:pPr>
      <w:r>
        <w:rPr>
          <w:rFonts w:hint="eastAsia" w:ascii="仿宋_GB2312" w:hAnsi="Times New Roman" w:eastAsia="仿宋_GB2312"/>
          <w:b/>
          <w:bCs/>
          <w:color w:val="000000" w:themeColor="text1"/>
          <w:sz w:val="28"/>
          <w:szCs w:val="28"/>
          <w:highlight w:val="none"/>
          <w:lang w:val="en-US" w:eastAsia="zh-CN"/>
          <w14:textFill>
            <w14:solidFill>
              <w14:schemeClr w14:val="tx1"/>
            </w14:solidFill>
          </w14:textFill>
        </w:rPr>
        <w:t>4.丰富矿产金色牌</w:t>
      </w:r>
    </w:p>
    <w:p>
      <w:pPr>
        <w:snapToGrid w:val="0"/>
        <w:spacing w:line="360" w:lineRule="auto"/>
        <w:ind w:firstLine="560" w:firstLineChars="200"/>
        <w:rPr>
          <w:rFonts w:hint="eastAsia" w:ascii="仿宋_GB2312" w:hAnsi="Times New Roman" w:eastAsia="仿宋_GB2312"/>
          <w:sz w:val="28"/>
          <w:szCs w:val="28"/>
          <w:highlight w:val="none"/>
          <w:lang w:eastAsia="zh-CN"/>
        </w:rPr>
      </w:pPr>
      <w:r>
        <w:rPr>
          <w:rFonts w:hint="eastAsia" w:ascii="仿宋_GB2312" w:hAnsi="Times New Roman" w:eastAsia="仿宋_GB2312"/>
          <w:sz w:val="28"/>
          <w:szCs w:val="28"/>
          <w:highlight w:val="none"/>
        </w:rPr>
        <w:t>发展铁矿工业园数字文旅项目，加大三线工业遗产保护与利用，推开发动六安特色工业企业发挥产品生产、厂区风貌、工业历史、教育科普等方面的旅游功能，开展特色数字工业旅游，延伸产业链。开展工旅融合试点，打造一批富有创意并具有地域特色的数字工业旅游项目</w:t>
      </w:r>
      <w:r>
        <w:rPr>
          <w:rFonts w:hint="eastAsia" w:ascii="仿宋_GB2312" w:hAnsi="Times New Roman" w:eastAsia="仿宋_GB2312"/>
          <w:sz w:val="28"/>
          <w:szCs w:val="28"/>
          <w:highlight w:val="none"/>
          <w:lang w:eastAsia="zh-CN"/>
        </w:rPr>
        <w:t>。</w:t>
      </w:r>
    </w:p>
    <w:p>
      <w:pPr>
        <w:snapToGrid w:val="0"/>
        <w:spacing w:line="360" w:lineRule="auto"/>
        <w:ind w:firstLine="562" w:firstLineChars="200"/>
        <w:rPr>
          <w:rFonts w:hint="eastAsia" w:ascii="仿宋_GB2312" w:hAnsi="Times New Roman" w:eastAsia="仿宋_GB2312"/>
          <w:b/>
          <w:bCs/>
          <w:color w:val="000000" w:themeColor="text1"/>
          <w:sz w:val="28"/>
          <w:szCs w:val="28"/>
          <w:highlight w:val="none"/>
          <w:lang w:val="en-US" w:eastAsia="zh-CN"/>
          <w14:textFill>
            <w14:solidFill>
              <w14:schemeClr w14:val="tx1"/>
            </w14:solidFill>
          </w14:textFill>
        </w:rPr>
      </w:pPr>
      <w:r>
        <w:rPr>
          <w:rFonts w:hint="eastAsia" w:ascii="仿宋_GB2312" w:hAnsi="Times New Roman" w:eastAsia="仿宋_GB2312"/>
          <w:b/>
          <w:bCs/>
          <w:color w:val="000000" w:themeColor="text1"/>
          <w:sz w:val="28"/>
          <w:szCs w:val="28"/>
          <w:highlight w:val="none"/>
          <w:lang w:val="en-US" w:eastAsia="zh-CN"/>
          <w14:textFill>
            <w14:solidFill>
              <w14:schemeClr w14:val="tx1"/>
            </w14:solidFill>
          </w14:textFill>
        </w:rPr>
        <w:t>5.农副产品白色牌</w:t>
      </w:r>
    </w:p>
    <w:p>
      <w:pPr>
        <w:snapToGrid w:val="0"/>
        <w:spacing w:line="360" w:lineRule="auto"/>
        <w:ind w:firstLine="560" w:firstLineChars="200"/>
        <w:rPr>
          <w:rFonts w:hint="default" w:ascii="仿宋_GB2312" w:hAnsi="Times New Roman" w:eastAsia="仿宋_GB2312"/>
          <w:sz w:val="28"/>
          <w:szCs w:val="28"/>
          <w:highlight w:val="none"/>
          <w:lang w:val="en-US" w:eastAsia="zh-CN"/>
        </w:rPr>
      </w:pPr>
      <w:r>
        <w:rPr>
          <w:rFonts w:hint="eastAsia" w:ascii="仿宋_GB2312" w:hAnsi="Times New Roman" w:eastAsia="仿宋_GB2312"/>
          <w:sz w:val="28"/>
          <w:szCs w:val="28"/>
          <w:highlight w:val="none"/>
        </w:rPr>
        <w:t>重点打造六安瓜片、霍山黄芽、霍山石斛、皖西白鹅、叶集羊肉、白酒等基础产品及衍生开发，实行产品系列数字包装策划，全方位营销，提升六安旅游商品附加值。运用区块链等数字技术，打通农</w:t>
      </w:r>
      <w:r>
        <w:rPr>
          <w:rFonts w:hint="eastAsia" w:ascii="仿宋_GB2312" w:hAnsi="Times New Roman" w:eastAsia="仿宋_GB2312"/>
          <w:sz w:val="28"/>
          <w:szCs w:val="28"/>
          <w:highlight w:val="none"/>
          <w:lang w:val="en-US" w:eastAsia="zh-CN"/>
        </w:rPr>
        <w:t>副</w:t>
      </w:r>
      <w:r>
        <w:rPr>
          <w:rFonts w:hint="eastAsia" w:ascii="仿宋_GB2312" w:hAnsi="Times New Roman" w:eastAsia="仿宋_GB2312"/>
          <w:sz w:val="28"/>
          <w:szCs w:val="28"/>
          <w:highlight w:val="none"/>
        </w:rPr>
        <w:t>产品产业链全流程的质量安全监管环节，实现农产品生产加工流转全程透明可追溯。</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0" w:type="dxa"/>
            <w:gridSpan w:val="2"/>
          </w:tcPr>
          <w:p>
            <w:pPr>
              <w:jc w:val="center"/>
              <w:rPr>
                <w:rFonts w:hint="default" w:ascii="仿宋_GB2312" w:eastAsia="仿宋_GB2312"/>
                <w:b/>
                <w:color w:val="auto"/>
                <w:sz w:val="24"/>
                <w:szCs w:val="24"/>
                <w:highlight w:val="none"/>
                <w:lang w:val="en-US" w:eastAsia="zh-CN"/>
              </w:rPr>
            </w:pPr>
            <w:r>
              <w:rPr>
                <w:rFonts w:hint="eastAsia" w:ascii="仿宋_GB2312" w:hAnsi="Times New Roman" w:eastAsia="仿宋_GB2312"/>
                <w:b/>
                <w:bCs/>
                <w:color w:val="auto"/>
                <w:sz w:val="24"/>
                <w:szCs w:val="24"/>
                <w:highlight w:val="none"/>
              </w:rPr>
              <w:t>专栏1：</w:t>
            </w:r>
            <w:r>
              <w:rPr>
                <w:rFonts w:hint="eastAsia" w:ascii="仿宋_GB2312" w:hAnsi="Times New Roman" w:eastAsia="仿宋_GB2312"/>
                <w:b/>
                <w:bCs/>
                <w:color w:val="auto"/>
                <w:sz w:val="24"/>
                <w:szCs w:val="24"/>
                <w:highlight w:val="none"/>
                <w:lang w:val="en-US" w:eastAsia="zh-CN"/>
              </w:rPr>
              <w:t>数字“五色”工程重点项目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tcPr>
          <w:p>
            <w:pPr>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项目名称</w:t>
            </w:r>
          </w:p>
        </w:tc>
        <w:tc>
          <w:tcPr>
            <w:tcW w:w="6662" w:type="dxa"/>
          </w:tcPr>
          <w:p>
            <w:pPr>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项目内容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皋城往事：六安非遗文化产业园</w:t>
            </w:r>
          </w:p>
          <w:p>
            <w:pPr>
              <w:rPr>
                <w:rFonts w:ascii="仿宋_GB2312" w:eastAsia="仿宋_GB2312"/>
                <w:color w:val="FF0000"/>
                <w:sz w:val="24"/>
                <w:szCs w:val="24"/>
                <w:highlight w:val="none"/>
              </w:rPr>
            </w:pPr>
          </w:p>
        </w:tc>
        <w:tc>
          <w:tcPr>
            <w:tcW w:w="6662" w:type="dxa"/>
          </w:tcPr>
          <w:p>
            <w:pPr>
              <w:rPr>
                <w:rFonts w:ascii="仿宋_GB2312" w:eastAsia="仿宋_GB2312"/>
                <w:color w:val="FF0000"/>
                <w:sz w:val="24"/>
                <w:szCs w:val="24"/>
                <w:highlight w:val="none"/>
              </w:rPr>
            </w:pPr>
            <w:r>
              <w:rPr>
                <w:rFonts w:hint="eastAsia" w:ascii="仿宋_GB2312" w:eastAsia="仿宋_GB2312"/>
                <w:color w:val="000000" w:themeColor="text1"/>
                <w:sz w:val="24"/>
                <w:szCs w:val="24"/>
                <w:highlight w:val="none"/>
                <w:lang w:val="en-US" w:eastAsia="zh-CN"/>
                <w14:textFill>
                  <w14:solidFill>
                    <w14:schemeClr w14:val="tx1"/>
                  </w14:solidFill>
                </w14:textFill>
              </w:rPr>
              <w:t>六安市非遗文化产业园借助互联网，致力于打造一个充满活力的灵性空间和数字非遗创意文化场所。拟在传统非遗文化展示、非遗产品展销的基础上引进数字创意产业进行赋能，将数字创意产业中的“交互”“沉浸式体验”引入园区的建设当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jc w:val="center"/>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红色沉浸式演出(千里跃进大别山)</w:t>
            </w:r>
          </w:p>
        </w:tc>
        <w:tc>
          <w:tcPr>
            <w:tcW w:w="6662" w:type="dxa"/>
          </w:tcPr>
          <w:p>
            <w:pPr>
              <w:rPr>
                <w:rFonts w:hint="eastAsia" w:ascii="仿宋_GB2312" w:eastAsia="仿宋_GB2312"/>
                <w:color w:val="000000" w:themeColor="text1"/>
                <w:sz w:val="24"/>
                <w:szCs w:val="24"/>
                <w:highlight w:val="none"/>
                <w:lang w:val="en-US" w:eastAsia="zh-CN"/>
                <w14:textFill>
                  <w14:solidFill>
                    <w14:schemeClr w14:val="tx1"/>
                  </w14:solidFill>
                </w14:textFill>
              </w:rPr>
            </w:pPr>
            <w:r>
              <w:rPr>
                <w:rFonts w:hint="eastAsia" w:ascii="仿宋_GB2312" w:eastAsia="仿宋_GB2312"/>
                <w:color w:val="000000" w:themeColor="text1"/>
                <w:sz w:val="24"/>
                <w:szCs w:val="24"/>
                <w:highlight w:val="none"/>
                <w:lang w:val="en-US" w:eastAsia="zh-CN"/>
                <w14:textFill>
                  <w14:solidFill>
                    <w14:schemeClr w14:val="tx1"/>
                  </w14:solidFill>
                </w14:textFill>
              </w:rPr>
              <w:t>运用数字投影、VR、AR等表现手段，打造沉浸式红色主题演出表演，重绎刘邓大军千里跃进大别山，营造红色文化氛围。</w:t>
            </w:r>
          </w:p>
          <w:p>
            <w:pPr>
              <w:rPr>
                <w:rFonts w:hint="eastAsia" w:ascii="仿宋_GB2312" w:eastAsia="仿宋_GB2312"/>
                <w:color w:val="000000" w:themeColor="text1"/>
                <w:sz w:val="24"/>
                <w:szCs w:val="24"/>
                <w:highlight w:val="none"/>
                <w:lang w:val="en-US" w:eastAsia="zh-CN"/>
                <w14:textFill>
                  <w14:solidFill>
                    <w14:schemeClr w14:val="tx1"/>
                  </w14:solidFill>
                </w14:textFill>
              </w:rPr>
            </w:pPr>
            <w:r>
              <w:rPr>
                <w:rFonts w:hint="eastAsia" w:ascii="仿宋_GB2312" w:eastAsia="仿宋_GB2312"/>
                <w:color w:val="000000" w:themeColor="text1"/>
                <w:sz w:val="24"/>
                <w:szCs w:val="24"/>
                <w:highlight w:val="none"/>
                <w:lang w:val="en-US" w:eastAsia="zh-CN"/>
                <w14:textFill>
                  <w14:solidFill>
                    <w14:schemeClr w14:val="tx1"/>
                  </w14:solidFill>
                </w14:textFill>
              </w:rPr>
              <w:t>重点创作开发大别山红色文化，编排主题文化演出，提升红色旅游文化内涵。运用数字化技术，进行红色文物数字化保存，开发线上红色文物博览。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jc w:val="center"/>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大别山文学公园</w:t>
            </w:r>
          </w:p>
        </w:tc>
        <w:tc>
          <w:tcPr>
            <w:tcW w:w="6662" w:type="dxa"/>
          </w:tcPr>
          <w:p>
            <w:pPr>
              <w:rPr>
                <w:rFonts w:hint="eastAsia" w:ascii="仿宋_GB2312" w:eastAsia="仿宋_GB2312"/>
                <w:color w:val="000000" w:themeColor="text1"/>
                <w:sz w:val="24"/>
                <w:szCs w:val="24"/>
                <w:highlight w:val="none"/>
                <w:lang w:val="en-US" w:eastAsia="zh-CN"/>
                <w14:textFill>
                  <w14:solidFill>
                    <w14:schemeClr w14:val="tx1"/>
                  </w14:solidFill>
                </w14:textFill>
              </w:rPr>
            </w:pPr>
            <w:r>
              <w:rPr>
                <w:rFonts w:hint="eastAsia" w:ascii="仿宋_GB2312" w:eastAsia="仿宋_GB2312"/>
                <w:color w:val="000000" w:themeColor="text1"/>
                <w:sz w:val="24"/>
                <w:szCs w:val="24"/>
                <w:highlight w:val="none"/>
                <w:lang w:val="en-US" w:eastAsia="zh-CN"/>
                <w14:textFill>
                  <w14:solidFill>
                    <w14:schemeClr w14:val="tx1"/>
                  </w14:solidFill>
                </w14:textFill>
              </w:rPr>
              <w:t>在六安市叶集区东部生态新城未名湖湿地公园基础上，围绕公园“全域水系”理念，以“聚水·新生——会呼吸的生态公园”为主题，打造集城市居民生活、休闲、游览、锻炼、交往和文化活动开展和文化内容传播为一体的新型文化公园和功能多样的文化服务中心和具有较强竞争力的文化旅游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jc w:val="center"/>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抹茶小镇茶绎项目</w:t>
            </w:r>
          </w:p>
        </w:tc>
        <w:tc>
          <w:tcPr>
            <w:tcW w:w="6662" w:type="dxa"/>
          </w:tcPr>
          <w:p>
            <w:pPr>
              <w:rPr>
                <w:rFonts w:hint="eastAsia" w:ascii="仿宋_GB2312" w:eastAsia="仿宋_GB2312"/>
                <w:color w:val="000000" w:themeColor="text1"/>
                <w:sz w:val="24"/>
                <w:szCs w:val="24"/>
                <w:highlight w:val="none"/>
                <w:lang w:val="en-US" w:eastAsia="zh-CN"/>
                <w14:textFill>
                  <w14:solidFill>
                    <w14:schemeClr w14:val="tx1"/>
                  </w14:solidFill>
                </w14:textFill>
              </w:rPr>
            </w:pPr>
            <w:r>
              <w:rPr>
                <w:rFonts w:hint="eastAsia" w:ascii="仿宋_GB2312" w:eastAsia="仿宋_GB2312"/>
                <w:color w:val="000000" w:themeColor="text1"/>
                <w:sz w:val="24"/>
                <w:szCs w:val="24"/>
                <w:highlight w:val="none"/>
                <w:lang w:val="en-US" w:eastAsia="zh-CN"/>
                <w14:textFill>
                  <w14:solidFill>
                    <w14:schemeClr w14:val="tx1"/>
                  </w14:solidFill>
                </w14:textFill>
              </w:rPr>
              <w:t>抹茶小镇茶绎项目以抹茶小镇现有良好建设为基础，通过沉浸式实景演出、灯光秀、景区集体活动的方式为景区进行数字创意产业的赋能。以“茶”文化为主题，打造500km内唯一的茶文化特色主题公园。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jc w:val="center"/>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lang w:val="en-US" w:eastAsia="zh-CN"/>
                <w14:textFill>
                  <w14:solidFill>
                    <w14:schemeClr w14:val="tx1"/>
                  </w14:solidFill>
                </w14:textFill>
              </w:rPr>
              <w:t>创意1966梦工场</w:t>
            </w:r>
          </w:p>
        </w:tc>
        <w:tc>
          <w:tcPr>
            <w:tcW w:w="6662" w:type="dxa"/>
          </w:tcPr>
          <w:p>
            <w:pPr>
              <w:rPr>
                <w:rFonts w:hint="eastAsia" w:ascii="仿宋_GB2312" w:eastAsia="仿宋_GB2312"/>
                <w:color w:val="000000" w:themeColor="text1"/>
                <w:sz w:val="24"/>
                <w:szCs w:val="24"/>
                <w:highlight w:val="none"/>
                <w:lang w:val="en-US" w:eastAsia="zh-CN"/>
                <w14:textFill>
                  <w14:solidFill>
                    <w14:schemeClr w14:val="tx1"/>
                  </w14:solidFill>
                </w14:textFill>
              </w:rPr>
            </w:pPr>
            <w:r>
              <w:rPr>
                <w:rFonts w:hint="eastAsia" w:ascii="仿宋_GB2312" w:eastAsia="仿宋_GB2312"/>
                <w:color w:val="000000" w:themeColor="text1"/>
                <w:sz w:val="24"/>
                <w:szCs w:val="24"/>
                <w:highlight w:val="none"/>
                <w:lang w:val="en-US" w:eastAsia="zh-CN"/>
                <w14:textFill>
                  <w14:solidFill>
                    <w14:schemeClr w14:val="tx1"/>
                  </w14:solidFill>
                </w14:textFill>
              </w:rPr>
              <w:t>六安市创意1966梦工场，依托六安齿轮厂老工业厂房折射出的建筑魅力、城市气质、时代情怀等进行全方位改造，主要分为数字创意文化产业项目的开发及青年创客空间的建设。将齿轮厂的历史沉淀以数字化形式呈现，打造六安城市记忆与工业文化的标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jc w:val="center"/>
              <w:rPr>
                <w:rFonts w:hint="eastAsia" w:ascii="仿宋_GB2312" w:eastAsia="仿宋_GB2312"/>
                <w:color w:val="000000" w:themeColor="text1"/>
                <w:sz w:val="24"/>
                <w:szCs w:val="24"/>
                <w:highlight w:val="none"/>
                <w:lang w:val="en-US" w:eastAsia="zh-CN"/>
                <w14:textFill>
                  <w14:solidFill>
                    <w14:schemeClr w14:val="tx1"/>
                  </w14:solidFill>
                </w14:textFill>
              </w:rPr>
            </w:pPr>
            <w:r>
              <w:rPr>
                <w:rFonts w:hint="eastAsia" w:ascii="仿宋_GB2312" w:hAnsi="Times New Roman" w:eastAsia="仿宋_GB2312"/>
                <w:color w:val="auto"/>
                <w:sz w:val="24"/>
                <w:szCs w:val="24"/>
                <w:highlight w:val="none"/>
              </w:rPr>
              <w:t>三线记忆：霍山县三线工业遗产数字化保护与项目开发</w:t>
            </w:r>
          </w:p>
        </w:tc>
        <w:tc>
          <w:tcPr>
            <w:tcW w:w="6662" w:type="dxa"/>
          </w:tcPr>
          <w:p>
            <w:pPr>
              <w:rPr>
                <w:rFonts w:hint="eastAsia" w:ascii="仿宋_GB2312" w:eastAsia="仿宋_GB2312"/>
                <w:color w:val="000000" w:themeColor="text1"/>
                <w:sz w:val="24"/>
                <w:szCs w:val="24"/>
                <w:highlight w:val="none"/>
                <w:lang w:val="en-US" w:eastAsia="zh-CN"/>
                <w14:textFill>
                  <w14:solidFill>
                    <w14:schemeClr w14:val="tx1"/>
                  </w14:solidFill>
                </w14:textFill>
              </w:rPr>
            </w:pPr>
            <w:r>
              <w:rPr>
                <w:rFonts w:hint="eastAsia" w:ascii="仿宋_GB2312" w:eastAsia="仿宋_GB2312"/>
                <w:color w:val="000000" w:themeColor="text1"/>
                <w:sz w:val="24"/>
                <w:szCs w:val="24"/>
                <w:highlight w:val="none"/>
                <w:lang w:val="en-US" w:eastAsia="zh-CN"/>
                <w14:textFill>
                  <w14:solidFill>
                    <w14:schemeClr w14:val="tx1"/>
                  </w14:solidFill>
                </w14:textFill>
              </w:rPr>
              <w:t>以具有三线工业旅游开发价值的工业遗产、军工博物馆、文化纪念馆、山水风光为依托，创新三线工业旅游资源开发利用模式，通过开展三线工业遗产保护利用，推进小三线军工文化纪念馆数字化转型，激发三线工业遗产内生动力，创新消费品企业运营模式，开展“三线工业+科技+教育”融合等具体举措，打造皖西三线工业文旅项目标杆，带动周边旅游景点集聚发展，形成具有产业规模、集聚效应、品牌影响力、旅游吸引力的工业旅游发展区域。</w:t>
            </w:r>
          </w:p>
        </w:tc>
      </w:tr>
    </w:tbl>
    <w:p>
      <w:pPr>
        <w:snapToGrid w:val="0"/>
        <w:spacing w:line="360" w:lineRule="auto"/>
        <w:rPr>
          <w:rFonts w:hint="eastAsia" w:ascii="仿宋_GB2312" w:hAnsi="Times New Roman" w:eastAsia="仿宋_GB2312"/>
          <w:sz w:val="28"/>
          <w:szCs w:val="28"/>
          <w:highlight w:val="none"/>
        </w:rPr>
      </w:pPr>
    </w:p>
    <w:p>
      <w:pPr>
        <w:pStyle w:val="3"/>
        <w:spacing w:line="360" w:lineRule="auto"/>
        <w:ind w:firstLine="643"/>
        <w:rPr>
          <w:rFonts w:hint="eastAsia" w:eastAsia="楷体_GB2312"/>
          <w:highlight w:val="none"/>
          <w:lang w:eastAsia="zh-CN"/>
        </w:rPr>
      </w:pPr>
      <w:bookmarkStart w:id="50" w:name="_Toc624"/>
      <w:r>
        <w:rPr>
          <w:rFonts w:hint="eastAsia"/>
          <w:highlight w:val="none"/>
        </w:rPr>
        <w:t>（二）全产业链</w:t>
      </w:r>
      <w:r>
        <w:rPr>
          <w:rFonts w:hint="eastAsia"/>
          <w:highlight w:val="none"/>
          <w:lang w:eastAsia="zh-CN"/>
        </w:rPr>
        <w:t>铸造</w:t>
      </w:r>
      <w:r>
        <w:rPr>
          <w:rFonts w:hint="eastAsia"/>
          <w:highlight w:val="none"/>
        </w:rPr>
        <w:t>工程</w:t>
      </w:r>
      <w:bookmarkEnd w:id="50"/>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把握现代数字创意产业体系，促进内容产业与数字创意产业交互赋能，建构起数字创意产业高质量发展的“四梁八柱”。强化数字视听，装备制造等产业节点技术研发，推动软件与产业互联网开发，加强互联网和移动互联网、5G通信网络的建设、推广与应用，解决产业发展中最关键的人力资源和资本投入问题以及知识产权保护问题，链接先进科技企业，激发产业各环节上企业的创新活力。</w:t>
      </w:r>
    </w:p>
    <w:p>
      <w:pPr>
        <w:tabs>
          <w:tab w:val="left" w:pos="312"/>
        </w:tabs>
        <w:snapToGrid w:val="0"/>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1.促进数字创意产业链上游发展</w:t>
      </w:r>
    </w:p>
    <w:p>
      <w:pPr>
        <w:tabs>
          <w:tab w:val="left" w:pos="312"/>
        </w:tabs>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积极融入合肥都市圈，加快合六武新走廊建设，与合肥已有产业进行错位发展。加快形成以技术设备供应和软件开发为核心的产业体系。通过建设数字创意技术产业园、打造数字创意技术基地、建设文化数字内容资源共享平台、提高数字创意技术人才培养质量等手段，合力打造六安数字创意产业体系，建设智能机器人产业园、数字产业研究基地等项目，推动数字创意产业高品质、精细化升级，推动传统产业专业化发展和价值链高端延伸。</w:t>
      </w:r>
    </w:p>
    <w:p>
      <w:pPr>
        <w:snapToGrid w:val="0"/>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2.促进数字创意产业链中游发展</w:t>
      </w:r>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依托政产学研孵化核心区，加强动漫、影视、游戏、网络文学、虚拟现实（VR）、在线教育、创意设计的开发与创新，加强对我市包括</w:t>
      </w:r>
      <w:r>
        <w:rPr>
          <w:rFonts w:hint="eastAsia" w:ascii="仿宋_GB2312" w:hAnsi="Times New Roman" w:eastAsia="仿宋_GB2312"/>
          <w:sz w:val="28"/>
          <w:szCs w:val="28"/>
          <w:highlight w:val="none"/>
          <w:lang w:val="en-US" w:eastAsia="zh-CN"/>
        </w:rPr>
        <w:t>红</w:t>
      </w:r>
      <w:r>
        <w:rPr>
          <w:rFonts w:hint="eastAsia" w:ascii="仿宋_GB2312" w:hAnsi="Times New Roman" w:eastAsia="仿宋_GB2312"/>
          <w:sz w:val="28"/>
          <w:szCs w:val="28"/>
          <w:highlight w:val="none"/>
        </w:rPr>
        <w:t>色、绿色、</w:t>
      </w:r>
      <w:r>
        <w:rPr>
          <w:rFonts w:hint="eastAsia" w:ascii="仿宋_GB2312" w:hAnsi="Times New Roman" w:eastAsia="仿宋_GB2312"/>
          <w:sz w:val="28"/>
          <w:szCs w:val="28"/>
          <w:highlight w:val="none"/>
          <w:lang w:val="en-US" w:eastAsia="zh-CN"/>
        </w:rPr>
        <w:t>古</w:t>
      </w:r>
      <w:r>
        <w:rPr>
          <w:rFonts w:hint="eastAsia" w:ascii="仿宋_GB2312" w:hAnsi="Times New Roman" w:eastAsia="仿宋_GB2312"/>
          <w:sz w:val="28"/>
          <w:szCs w:val="28"/>
          <w:highlight w:val="none"/>
        </w:rPr>
        <w:t>色、</w:t>
      </w:r>
      <w:r>
        <w:rPr>
          <w:rFonts w:hint="eastAsia" w:ascii="仿宋_GB2312" w:hAnsi="Times New Roman" w:eastAsia="仿宋_GB2312"/>
          <w:sz w:val="28"/>
          <w:szCs w:val="28"/>
          <w:highlight w:val="none"/>
          <w:lang w:val="en-US" w:eastAsia="zh-CN"/>
        </w:rPr>
        <w:t>金色、</w:t>
      </w:r>
      <w:r>
        <w:rPr>
          <w:rFonts w:hint="eastAsia" w:ascii="仿宋_GB2312" w:hAnsi="Times New Roman" w:eastAsia="仿宋_GB2312"/>
          <w:sz w:val="28"/>
          <w:szCs w:val="28"/>
          <w:highlight w:val="none"/>
        </w:rPr>
        <w:t>白色在内的“五色”资源的挖掘，打造一批具有地方特色的产业园区和基地。</w:t>
      </w:r>
    </w:p>
    <w:p>
      <w:pPr>
        <w:snapToGrid w:val="0"/>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3.促进数字创意产业链下游发展</w:t>
      </w:r>
    </w:p>
    <w:p>
      <w:pPr>
        <w:snapToGrid w:val="0"/>
        <w:spacing w:line="360" w:lineRule="auto"/>
        <w:ind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促进数字创意产业与文化产业融合发展，发掘红色文化、皋陶文化、淠史杭精神，融合淮河文化、皖江文化，加大对主题乐园、内容衍生品和在线服务的开发，形成具有一定影响力的地区文化服务高地。加快知识产权、数字创意法律、数字创意金融、数字创意信息、数字创意营销、数字创意产品研发设计等生产性服务行业发展。</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0" w:type="dxa"/>
            <w:gridSpan w:val="2"/>
          </w:tcPr>
          <w:p>
            <w:pPr>
              <w:jc w:val="center"/>
              <w:rPr>
                <w:rFonts w:hint="default" w:ascii="仿宋_GB2312" w:eastAsia="仿宋_GB2312"/>
                <w:b/>
                <w:color w:val="000000" w:themeColor="text1"/>
                <w:sz w:val="24"/>
                <w:szCs w:val="24"/>
                <w:highlight w:val="none"/>
                <w:lang w:val="en-US" w:eastAsia="zh-CN"/>
                <w14:textFill>
                  <w14:solidFill>
                    <w14:schemeClr w14:val="tx1"/>
                  </w14:solidFill>
                </w14:textFill>
              </w:rPr>
            </w:pPr>
            <w:r>
              <w:rPr>
                <w:rFonts w:hint="eastAsia" w:ascii="仿宋_GB2312" w:hAnsi="Times New Roman" w:eastAsia="仿宋_GB2312"/>
                <w:b/>
                <w:bCs/>
                <w:color w:val="000000" w:themeColor="text1"/>
                <w:sz w:val="24"/>
                <w:szCs w:val="24"/>
                <w:highlight w:val="none"/>
                <w14:textFill>
                  <w14:solidFill>
                    <w14:schemeClr w14:val="tx1"/>
                  </w14:solidFill>
                </w14:textFill>
              </w:rPr>
              <w:t>专栏</w:t>
            </w:r>
            <w:r>
              <w:rPr>
                <w:rFonts w:hint="eastAsia" w:ascii="仿宋_GB2312" w:hAnsi="Times New Roman" w:eastAsia="仿宋_GB2312"/>
                <w:b/>
                <w:bCs/>
                <w:color w:val="000000" w:themeColor="text1"/>
                <w:sz w:val="24"/>
                <w:szCs w:val="24"/>
                <w:highlight w:val="none"/>
                <w:lang w:val="en-US" w:eastAsia="zh-CN"/>
                <w14:textFill>
                  <w14:solidFill>
                    <w14:schemeClr w14:val="tx1"/>
                  </w14:solidFill>
                </w14:textFill>
              </w:rPr>
              <w:t>2</w:t>
            </w:r>
            <w:r>
              <w:rPr>
                <w:rFonts w:hint="eastAsia" w:ascii="仿宋_GB2312" w:hAnsi="Times New Roman" w:eastAsia="仿宋_GB2312"/>
                <w:b/>
                <w:bCs/>
                <w:color w:val="000000" w:themeColor="text1"/>
                <w:sz w:val="24"/>
                <w:szCs w:val="24"/>
                <w:highlight w:val="none"/>
                <w14:textFill>
                  <w14:solidFill>
                    <w14:schemeClr w14:val="tx1"/>
                  </w14:solidFill>
                </w14:textFill>
              </w:rPr>
              <w:t>：</w:t>
            </w:r>
            <w:r>
              <w:rPr>
                <w:rFonts w:hint="eastAsia" w:ascii="仿宋_GB2312" w:hAnsi="Times New Roman" w:eastAsia="仿宋_GB2312"/>
                <w:b/>
                <w:bCs/>
                <w:color w:val="000000" w:themeColor="text1"/>
                <w:sz w:val="24"/>
                <w:szCs w:val="24"/>
                <w:highlight w:val="none"/>
                <w:lang w:val="en-US" w:eastAsia="zh-CN"/>
                <w14:textFill>
                  <w14:solidFill>
                    <w14:schemeClr w14:val="tx1"/>
                  </w14:solidFill>
                </w14:textFill>
              </w:rPr>
              <w:t>全产业链驱动工程重点项目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tcPr>
          <w:p>
            <w:pPr>
              <w:jc w:val="center"/>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项目名称</w:t>
            </w:r>
          </w:p>
        </w:tc>
        <w:tc>
          <w:tcPr>
            <w:tcW w:w="6662" w:type="dxa"/>
          </w:tcPr>
          <w:p>
            <w:pPr>
              <w:jc w:val="center"/>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项目内容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jc w:val="center"/>
              <w:rPr>
                <w:rFonts w:hint="eastAsia" w:ascii="仿宋_GB2312" w:eastAsia="仿宋_GB2312"/>
                <w:color w:val="000000" w:themeColor="text1"/>
                <w:sz w:val="24"/>
                <w:szCs w:val="24"/>
                <w:highlight w:val="none"/>
                <w:lang w:val="en-US" w:eastAsia="zh-CN"/>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六安视谷（舒城数字装备示范区）</w:t>
            </w:r>
          </w:p>
        </w:tc>
        <w:tc>
          <w:tcPr>
            <w:tcW w:w="6662" w:type="dxa"/>
          </w:tcPr>
          <w:p>
            <w:pPr>
              <w:rPr>
                <w:rFonts w:hint="eastAsia" w:ascii="仿宋_GB2312" w:hAnsi="宋体" w:eastAsia="仿宋_GB2312"/>
                <w:color w:val="000000" w:themeColor="text1"/>
                <w:sz w:val="24"/>
                <w:szCs w:val="24"/>
                <w:highlight w:val="none"/>
                <w:lang w:val="en-US" w:eastAsia="zh-CN"/>
                <w14:textFill>
                  <w14:solidFill>
                    <w14:schemeClr w14:val="tx1"/>
                  </w14:solidFill>
                </w14:textFill>
              </w:rPr>
            </w:pPr>
            <w:r>
              <w:rPr>
                <w:rFonts w:hint="eastAsia" w:ascii="仿宋_GB2312" w:hAnsi="Times New Roman" w:eastAsia="仿宋_GB2312"/>
                <w:color w:val="000000" w:themeColor="text1"/>
                <w:sz w:val="24"/>
                <w:szCs w:val="24"/>
                <w:highlight w:val="none"/>
                <w14:textFill>
                  <w14:solidFill>
                    <w14:schemeClr w14:val="tx1"/>
                  </w14:solidFill>
                </w14:textFill>
              </w:rPr>
              <w:t>本项目旨在舒城县建设六安数字装备示范区，借助现有的光电显示产业集群、智能制造装备产业集群建设成六安数字装备产业园。通过对产业链的横向拓宽和纵向挖深，成为合肥打造“全球显示之都”、环合肥都市圈新型显示产业生态圈的重要一极；长三角电子竞技装备的研发生产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jc w:val="center"/>
              <w:rPr>
                <w:rFonts w:hint="eastAsia"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金寨数字装备示范区</w:t>
            </w:r>
          </w:p>
        </w:tc>
        <w:tc>
          <w:tcPr>
            <w:tcW w:w="6662" w:type="dxa"/>
          </w:tcPr>
          <w:p>
            <w:pPr>
              <w:rPr>
                <w:rFonts w:hint="eastAsia" w:ascii="仿宋_GB2312" w:hAnsi="Times New Roman" w:eastAsia="仿宋_GB2312"/>
                <w:color w:val="000000" w:themeColor="text1"/>
                <w:sz w:val="24"/>
                <w:szCs w:val="24"/>
                <w:highlight w:val="none"/>
                <w14:textFill>
                  <w14:solidFill>
                    <w14:schemeClr w14:val="tx1"/>
                  </w14:solidFill>
                </w14:textFill>
              </w:rPr>
            </w:pPr>
            <w:r>
              <w:rPr>
                <w:rFonts w:hint="eastAsia" w:ascii="仿宋_GB2312" w:hAnsi="Times New Roman" w:eastAsia="仿宋_GB2312"/>
                <w:color w:val="000000" w:themeColor="text1"/>
                <w:sz w:val="24"/>
                <w:szCs w:val="24"/>
                <w:highlight w:val="none"/>
                <w14:textFill>
                  <w14:solidFill>
                    <w14:schemeClr w14:val="tx1"/>
                  </w14:solidFill>
                </w14:textFill>
              </w:rPr>
              <w:t>依托金寨县现代产业园，吸纳各类数字创意技术设备制造企业，打造智能化数字产品研发、制造、销售和服务的大型产业示范园区，全力打造金寨地标式数字创意产业园区。</w:t>
            </w:r>
          </w:p>
        </w:tc>
      </w:tr>
    </w:tbl>
    <w:p>
      <w:pPr>
        <w:snapToGrid w:val="0"/>
        <w:spacing w:line="360" w:lineRule="auto"/>
        <w:ind w:firstLine="560" w:firstLineChars="200"/>
        <w:rPr>
          <w:rFonts w:hint="eastAsia" w:ascii="仿宋_GB2312" w:hAnsi="Times New Roman" w:eastAsia="仿宋_GB2312"/>
          <w:sz w:val="28"/>
          <w:szCs w:val="28"/>
          <w:highlight w:val="none"/>
        </w:rPr>
      </w:pPr>
    </w:p>
    <w:p>
      <w:pPr>
        <w:pStyle w:val="3"/>
        <w:spacing w:line="360" w:lineRule="auto"/>
        <w:ind w:firstLine="0" w:firstLineChars="0"/>
        <w:rPr>
          <w:highlight w:val="none"/>
        </w:rPr>
      </w:pPr>
      <w:bookmarkStart w:id="51" w:name="_Toc23808"/>
      <w:r>
        <w:rPr>
          <w:rFonts w:hint="eastAsia"/>
          <w:highlight w:val="none"/>
        </w:rPr>
        <w:t>（三）数字文旅工程</w:t>
      </w:r>
      <w:bookmarkEnd w:id="51"/>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构建以数字技术为支撑的智慧文化和旅游服务体系，进一步增强文化和旅游产品技术含量，推动5G、大数据、云计算、人工智能等在文化和旅游领域应用，构建信息化服务、信息化管理、智慧化营销、信息化产品体系，提高服务质量和管理效率。</w:t>
      </w:r>
    </w:p>
    <w:p>
      <w:pPr>
        <w:snapToGrid w:val="0"/>
        <w:spacing w:line="360" w:lineRule="auto"/>
        <w:ind w:firstLine="562" w:firstLineChars="200"/>
        <w:rPr>
          <w:rFonts w:hint="eastAsia"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1.建立信息化文旅服务体系</w:t>
      </w:r>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提升“六安文旅”智慧公共服务平台服务功能，促进六安文化和旅游数字化提升、高质量发展。通过数字化平台整合资讯信息，以移动端助手和平台管家形式完善线上线下服务，实现“智慧赋能，畅游六安”。构建全域旅游智慧化支撑体系。推动建立信息集成系统，支持景区提供电子地图、线路推荐、语音导览等智慧化服务；推动景区WiFi全覆盖建设，对景区门票闸机系统、PMS预定管理系统、财务进销存系统、客源管理系统及服务中台进行全面升级，支持重点景区开展智慧景区示范点建设。</w:t>
      </w:r>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构建“咨询中心+咨询台+自助终端”的全域化旅游咨询服务体系，支持开发系列公众号、小程序等，为游客提供高质量信息服务。丰富智慧文化服务。推进文化资源数字采集工作，探索物联感知、AR/VR、三维全息影像等新技术应用。推广图书馆线上阅读、文化馆网络艺术慕课、非遗线上展示等公共文化云服务，推动云培训、云讲座、云阅读等智慧服务，探索建立智慧市民文化点送平台，促进文化供需对接，探索将乡镇文化站纳入“文化云”体系。完善社区文化O2O平台，实现线上线下联动服务，丰富社区公共文化服务方式。</w:t>
      </w:r>
    </w:p>
    <w:p>
      <w:pPr>
        <w:snapToGrid w:val="0"/>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2.构建文旅信息化管理体系</w:t>
      </w:r>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构建文化和旅游数字化管理体系，依托六安新型智慧城市（城市大脑）建设，加强文化和旅游数据资源体系建设，结合“六安文旅”“皖事通”APP预约预订数据，实现对多元化数据的汇聚、存储、管理、运用。建立健全数据开放和共享机制，推进市县区旅游大数据统一、衔接和共享。优化智慧文旅监管服务，不断提升文化旅游行业监测、风险防范和应急处置能力，推进“互联网+”文化旅游市场监督管理和促进行动，推广文化旅游移动执法，加强大数据监管。推动有关文化旅游场所视频监控接入“雪亮工程”，加强对景区高风险项目和公众聚集区域部位的视频监控监管，不断增设和完善景区高风险项目和重点区域的视频监控基础设备设施，接入文化和旅游智慧应用管理平台，实现景区监控资源、视频平台资源等高效融合和统一管理调度；推进智慧网络广电监测平台建设，强化应急广播项目建设，进行二次补点工作，提升广电安全监管智能化水平。</w:t>
      </w:r>
    </w:p>
    <w:p>
      <w:pPr>
        <w:snapToGrid w:val="0"/>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3.推动数字文旅产品智慧升级</w:t>
      </w:r>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实施公共文化数字化建设工程，推动六安市“三馆一站”数字化建设，加强公共文化机构和综合性文化服务中心的数字文化设施设备建设运营与维护，推动公共文化服务机构馆藏产品数字化。完善“六安文化云”文化数字资源库、馆校资源共享平台，地方文献信息资源库，建设六安市群众文化艺术资源数据库、文化遗产数字资源库等，实现公共信息资源通用共享和社会化开发利用。统筹推进城乡公共文化数字化重点工程建设，把服务城乡基层特别是农村作为着力点，缩小城乡公共文化服务之间的数字鸿沟。</w:t>
      </w:r>
    </w:p>
    <w:p>
      <w:pPr>
        <w:snapToGrid w:val="0"/>
        <w:spacing w:line="360" w:lineRule="auto"/>
        <w:ind w:firstLine="560" w:firstLineChars="200"/>
        <w:rPr>
          <w:rFonts w:hint="eastAsia" w:ascii="仿宋_GB2312" w:hAnsi="仿宋_GB2312" w:eastAsia="仿宋_GB2312" w:cs="仿宋_GB2312"/>
          <w:bCs/>
          <w:sz w:val="28"/>
          <w:szCs w:val="28"/>
          <w:highlight w:val="none"/>
        </w:rPr>
      </w:pPr>
      <w:r>
        <w:rPr>
          <w:rFonts w:hint="eastAsia" w:ascii="仿宋_GB2312" w:hAnsi="Times New Roman" w:eastAsia="仿宋_GB2312"/>
          <w:sz w:val="28"/>
          <w:szCs w:val="28"/>
          <w:highlight w:val="none"/>
        </w:rPr>
        <w:t>积极发展基于5G、超高清、增强现实、虚拟现实、人工智能等技术的新一代沉浸式体验型文化和旅游消费内容，打造5G+VR全景直播、AR慧眼、AI旅游服务、无人机、无人驾驶、全息投影、水幕投影等。将5G新基建应用于博物馆、图书馆、红色旅游，探索在集散中心、汽车站、火车站、商业街区等公共服务场所设立“5G+”旅游体验项目，将文化旅游资源开发为虚拟产品，实现活化利用。加速有线电视网络数字化、双向化改造，提高有线电视网络乡村通达率和高清用户占比，加快推进中央及地方广播电视节目无线数字化覆盖，采取有线网络、地面无线、直播卫星、IPTV等多种方式，提高城乡广播电视传输覆盖率。推进地面数字电视广播覆盖网建设，完成700兆赫频率迁移工作。提升农村地区宽带用户接入速率和普及水平，降低农村信</w:t>
      </w:r>
      <w:r>
        <w:rPr>
          <w:rFonts w:hint="eastAsia" w:ascii="仿宋_GB2312" w:hAnsi="仿宋_GB2312" w:eastAsia="仿宋_GB2312" w:cs="仿宋_GB2312"/>
          <w:bCs/>
          <w:sz w:val="28"/>
          <w:szCs w:val="28"/>
          <w:highlight w:val="none"/>
        </w:rPr>
        <w:t>息网络使用成本。</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0" w:type="dxa"/>
            <w:gridSpan w:val="2"/>
          </w:tcPr>
          <w:p>
            <w:pPr>
              <w:jc w:val="center"/>
              <w:rPr>
                <w:rFonts w:hint="default" w:ascii="仿宋_GB2312" w:eastAsia="仿宋_GB2312"/>
                <w:b/>
                <w:color w:val="auto"/>
                <w:sz w:val="24"/>
                <w:szCs w:val="24"/>
                <w:highlight w:val="none"/>
                <w:lang w:val="en-US" w:eastAsia="zh-CN"/>
              </w:rPr>
            </w:pPr>
            <w:r>
              <w:rPr>
                <w:rFonts w:hint="eastAsia" w:ascii="仿宋_GB2312" w:hAnsi="Times New Roman" w:eastAsia="仿宋_GB2312"/>
                <w:b/>
                <w:bCs/>
                <w:color w:val="auto"/>
                <w:sz w:val="24"/>
                <w:szCs w:val="24"/>
                <w:highlight w:val="none"/>
              </w:rPr>
              <w:t>专栏</w:t>
            </w:r>
            <w:r>
              <w:rPr>
                <w:rFonts w:hint="eastAsia" w:ascii="仿宋_GB2312" w:hAnsi="Times New Roman" w:eastAsia="仿宋_GB2312"/>
                <w:b/>
                <w:bCs/>
                <w:color w:val="auto"/>
                <w:sz w:val="24"/>
                <w:szCs w:val="24"/>
                <w:highlight w:val="none"/>
                <w:lang w:val="en-US" w:eastAsia="zh-CN"/>
              </w:rPr>
              <w:t>3</w:t>
            </w:r>
            <w:r>
              <w:rPr>
                <w:rFonts w:hint="eastAsia" w:ascii="仿宋_GB2312" w:hAnsi="Times New Roman" w:eastAsia="仿宋_GB2312"/>
                <w:b/>
                <w:bCs/>
                <w:color w:val="auto"/>
                <w:sz w:val="24"/>
                <w:szCs w:val="24"/>
                <w:highlight w:val="none"/>
              </w:rPr>
              <w:t>：</w:t>
            </w:r>
            <w:r>
              <w:rPr>
                <w:rFonts w:hint="eastAsia" w:ascii="仿宋_GB2312" w:hAnsi="Times New Roman" w:eastAsia="仿宋_GB2312"/>
                <w:b/>
                <w:bCs/>
                <w:color w:val="auto"/>
                <w:sz w:val="24"/>
                <w:szCs w:val="24"/>
                <w:highlight w:val="none"/>
                <w:lang w:val="en-US" w:eastAsia="zh-CN"/>
              </w:rPr>
              <w:t>数字文旅工程重点项目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tcPr>
          <w:p>
            <w:pPr>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项目名称</w:t>
            </w:r>
          </w:p>
        </w:tc>
        <w:tc>
          <w:tcPr>
            <w:tcW w:w="6662" w:type="dxa"/>
          </w:tcPr>
          <w:p>
            <w:pPr>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项目内容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jc w:val="center"/>
              <w:rPr>
                <w:rFonts w:ascii="仿宋_GB2312" w:eastAsia="仿宋_GB2312"/>
                <w:color w:val="auto"/>
                <w:sz w:val="24"/>
                <w:szCs w:val="24"/>
                <w:highlight w:val="none"/>
              </w:rPr>
            </w:pPr>
            <w:r>
              <w:rPr>
                <w:rFonts w:hint="eastAsia" w:ascii="仿宋_GB2312" w:hAnsi="Times New Roman" w:eastAsia="仿宋_GB2312"/>
                <w:color w:val="auto"/>
                <w:sz w:val="24"/>
                <w:szCs w:val="24"/>
                <w:highlight w:val="none"/>
              </w:rPr>
              <w:t>大别山数字文旅服务中心</w:t>
            </w:r>
          </w:p>
        </w:tc>
        <w:tc>
          <w:tcPr>
            <w:tcW w:w="6662" w:type="dxa"/>
          </w:tcPr>
          <w:p>
            <w:pPr>
              <w:rPr>
                <w:rFonts w:ascii="仿宋_GB2312" w:hAnsi="宋体" w:eastAsia="仿宋_GB2312"/>
                <w:color w:val="auto"/>
                <w:sz w:val="24"/>
                <w:szCs w:val="24"/>
                <w:highlight w:val="none"/>
              </w:rPr>
            </w:pPr>
            <w:r>
              <w:rPr>
                <w:rFonts w:hint="eastAsia" w:ascii="仿宋_GB2312" w:hAnsi="Times New Roman" w:eastAsia="仿宋_GB2312"/>
                <w:color w:val="auto"/>
                <w:sz w:val="24"/>
                <w:szCs w:val="24"/>
                <w:highlight w:val="none"/>
              </w:rPr>
              <w:t>大别山数字文旅服务中心规划建设以环境引人的旅游度假型和宜居体验型环境型航空小镇。项目以航空体验游为主题，引入“航空迪斯尼”概念，建设具有现代科技感的“航空迪士尼”乐园；以数字服务中心为特色，打造极具六安人文历史的沉浸式数字文旅主题乐园以及线上线下融合发展的云上剧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418" w:type="dxa"/>
            <w:vAlign w:val="center"/>
          </w:tcPr>
          <w:p>
            <w:pPr>
              <w:jc w:val="center"/>
              <w:rPr>
                <w:rFonts w:hint="eastAsia" w:ascii="仿宋_GB2312" w:hAnsi="Times New Roman" w:eastAsia="仿宋_GB2312"/>
                <w:color w:val="auto"/>
                <w:sz w:val="24"/>
                <w:szCs w:val="24"/>
                <w:highlight w:val="none"/>
                <w:lang w:val="en-US" w:eastAsia="zh-CN"/>
              </w:rPr>
            </w:pPr>
            <w:r>
              <w:rPr>
                <w:rFonts w:hint="eastAsia" w:ascii="仿宋_GB2312" w:hAnsi="Times New Roman" w:eastAsia="仿宋_GB2312"/>
                <w:color w:val="auto"/>
                <w:sz w:val="24"/>
                <w:szCs w:val="24"/>
                <w:highlight w:val="none"/>
              </w:rPr>
              <w:t>中国婚尚文旅创意产业集聚区</w:t>
            </w:r>
          </w:p>
        </w:tc>
        <w:tc>
          <w:tcPr>
            <w:tcW w:w="6662" w:type="dxa"/>
          </w:tcPr>
          <w:p>
            <w:pPr>
              <w:rPr>
                <w:rFonts w:hint="eastAsia"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立足六安市本地现有的特色婚纱小镇、婚纱产业园、婚庆服务市场，以产业链为先导，在婚礼服务、婚纱摄像、婚纱礼服生产、婚宴服务四大行业龙头企业带动下，融合时尚婚庆消费、时尚文化传播，逐步形成集婚纱生产、婚纱摄影、婚俗文化为一体，以结婚消费产品和服务为核心的产业集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jc w:val="center"/>
              <w:rPr>
                <w:rFonts w:hint="eastAsia"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皖西地学数字创意公园</w:t>
            </w:r>
          </w:p>
        </w:tc>
        <w:tc>
          <w:tcPr>
            <w:tcW w:w="6662" w:type="dxa"/>
          </w:tcPr>
          <w:p>
            <w:pPr>
              <w:rPr>
                <w:rFonts w:hint="eastAsia"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依托金安区皖西大裂谷国家地质公园、东石笋国家4A级旅游景区等，围绕地理文化创意产品开发、展示和交易，打造地理空间文化创意设计产业链；围绕地学体验打造主题公园，整合微电影DIY、虚拟与现实体验、文化博览、会议培训、文化娱乐等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jc w:val="center"/>
              <w:rPr>
                <w:rFonts w:hint="eastAsia"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钢铁是怎样炼成的：霍邱县工业旅游集聚区</w:t>
            </w:r>
          </w:p>
        </w:tc>
        <w:tc>
          <w:tcPr>
            <w:tcW w:w="6662" w:type="dxa"/>
          </w:tcPr>
          <w:p>
            <w:pPr>
              <w:rPr>
                <w:rFonts w:hint="eastAsia"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开展“工业+旅游”，以工拓游，以游促工，推进工业和旅游业跨界融合，打造霍邱工业旅游品牌。以六安钢铁工业旅游项目为依托，政府在做好配套基本设施建设的同时，将周边工业企业融合发展，形成工业旅游集聚效应，在工业旅游产品方面积极开拓思路，努力创新，不断升级打造旅游线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jc w:val="center"/>
              <w:rPr>
                <w:rFonts w:hint="eastAsia"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状元镇数字文旅项目</w:t>
            </w:r>
          </w:p>
        </w:tc>
        <w:tc>
          <w:tcPr>
            <w:tcW w:w="6662" w:type="dxa"/>
          </w:tcPr>
          <w:p>
            <w:pPr>
              <w:rPr>
                <w:rFonts w:hint="eastAsia"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以毛坦厂明清老街为基础，通过招商项目，整合毛坦厂老街现有旅游资源，以科举文化为主题进行开发利用，打造以观光游览为主的历史文化旅游街区。</w:t>
            </w:r>
          </w:p>
        </w:tc>
      </w:tr>
    </w:tbl>
    <w:p>
      <w:pPr>
        <w:snapToGrid w:val="0"/>
        <w:spacing w:line="360" w:lineRule="auto"/>
        <w:ind w:firstLine="560" w:firstLineChars="200"/>
        <w:rPr>
          <w:rFonts w:hint="eastAsia" w:ascii="仿宋_GB2312" w:hAnsi="仿宋_GB2312" w:eastAsia="仿宋_GB2312" w:cs="仿宋_GB2312"/>
          <w:bCs/>
          <w:sz w:val="28"/>
          <w:szCs w:val="28"/>
          <w:highlight w:val="none"/>
        </w:rPr>
      </w:pPr>
    </w:p>
    <w:p>
      <w:pPr>
        <w:pStyle w:val="3"/>
        <w:spacing w:line="360" w:lineRule="auto"/>
        <w:ind w:firstLine="643"/>
        <w:rPr>
          <w:highlight w:val="none"/>
        </w:rPr>
      </w:pPr>
      <w:bookmarkStart w:id="52" w:name="_Toc18873"/>
      <w:r>
        <w:rPr>
          <w:rFonts w:hint="eastAsia"/>
          <w:highlight w:val="none"/>
        </w:rPr>
        <w:t>（四）“智改数转”工程</w:t>
      </w:r>
      <w:bookmarkEnd w:id="52"/>
    </w:p>
    <w:p>
      <w:pPr>
        <w:snapToGrid w:val="0"/>
        <w:spacing w:line="360" w:lineRule="auto"/>
        <w:ind w:firstLine="560" w:firstLineChars="200"/>
        <w:rPr>
          <w:rFonts w:hint="eastAsia" w:ascii="仿宋_GB2312" w:hAnsi="Times New Roman" w:eastAsia="仿宋_GB2312"/>
          <w:color w:val="auto"/>
          <w:sz w:val="28"/>
          <w:szCs w:val="28"/>
          <w:highlight w:val="none"/>
          <w:lang w:eastAsia="zh-CN"/>
        </w:rPr>
      </w:pPr>
      <w:r>
        <w:rPr>
          <w:rFonts w:hint="eastAsia" w:ascii="仿宋_GB2312" w:hAnsi="Times New Roman" w:eastAsia="仿宋_GB2312"/>
          <w:color w:val="auto"/>
          <w:sz w:val="28"/>
          <w:szCs w:val="28"/>
          <w:highlight w:val="none"/>
        </w:rPr>
        <w:t>引导新一代信息技术企业拓展企业数字化转型、行业系统解决方案等业务，加快人工智能、5G 等在制造、服务企业的创新应用</w:t>
      </w:r>
      <w:r>
        <w:rPr>
          <w:rFonts w:hint="eastAsia" w:ascii="仿宋_GB2312" w:hAnsi="Times New Roman" w:eastAsia="仿宋_GB2312"/>
          <w:color w:val="auto"/>
          <w:sz w:val="28"/>
          <w:szCs w:val="28"/>
          <w:highlight w:val="none"/>
          <w:lang w:eastAsia="zh-CN"/>
        </w:rPr>
        <w:t>。</w:t>
      </w:r>
      <w:r>
        <w:rPr>
          <w:rFonts w:hint="eastAsia" w:ascii="仿宋_GB2312" w:hAnsi="Times New Roman" w:eastAsia="仿宋_GB2312"/>
          <w:color w:val="auto"/>
          <w:sz w:val="28"/>
          <w:szCs w:val="28"/>
          <w:highlight w:val="none"/>
        </w:rPr>
        <w:t>以高 端化、智能化、信息化、自动化、绿色化、创新化“六化” 为重点方向，鼓励有实力的企业集中攻 关关键技术，加强技术改造与创新，实现生产技术、设备自主化。</w:t>
      </w:r>
    </w:p>
    <w:p>
      <w:pPr>
        <w:snapToGrid w:val="0"/>
        <w:spacing w:line="360" w:lineRule="auto"/>
        <w:ind w:firstLine="562" w:firstLineChars="200"/>
        <w:rPr>
          <w:rFonts w:ascii="仿宋_GB2312" w:hAnsi="Times New Roman" w:eastAsia="仿宋_GB2312"/>
          <w:b/>
          <w:bCs/>
          <w:color w:val="auto"/>
          <w:sz w:val="28"/>
          <w:szCs w:val="28"/>
          <w:highlight w:val="none"/>
        </w:rPr>
      </w:pPr>
      <w:r>
        <w:rPr>
          <w:rFonts w:hint="eastAsia" w:ascii="仿宋_GB2312" w:hAnsi="Times New Roman" w:eastAsia="仿宋_GB2312"/>
          <w:b/>
          <w:bCs/>
          <w:color w:val="auto"/>
          <w:sz w:val="28"/>
          <w:szCs w:val="28"/>
          <w:highlight w:val="none"/>
        </w:rPr>
        <w:t>1.</w:t>
      </w:r>
      <w:r>
        <w:rPr>
          <w:rFonts w:hint="eastAsia" w:ascii="仿宋_GB2312" w:hAnsi="Times New Roman" w:eastAsia="仿宋_GB2312"/>
          <w:b/>
          <w:bCs/>
          <w:color w:val="auto"/>
          <w:sz w:val="28"/>
          <w:szCs w:val="28"/>
          <w:highlight w:val="none"/>
          <w:lang w:val="en-US" w:eastAsia="zh-CN"/>
        </w:rPr>
        <w:t>智能制造产品</w:t>
      </w:r>
      <w:r>
        <w:rPr>
          <w:rFonts w:hint="eastAsia" w:ascii="仿宋_GB2312" w:hAnsi="Times New Roman" w:eastAsia="仿宋_GB2312"/>
          <w:b/>
          <w:bCs/>
          <w:color w:val="auto"/>
          <w:sz w:val="28"/>
          <w:szCs w:val="28"/>
          <w:highlight w:val="none"/>
        </w:rPr>
        <w:t>升级</w:t>
      </w:r>
    </w:p>
    <w:p>
      <w:pPr>
        <w:snapToGrid w:val="0"/>
        <w:spacing w:line="360" w:lineRule="auto"/>
        <w:ind w:firstLine="560" w:firstLineChars="200"/>
        <w:rPr>
          <w:rFonts w:hint="eastAsia"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rPr>
        <w:t>推动大数据和人工智能等新一代信息技术与伊索电器等企业的深度融合，突破人脸识别、动作跟踪、语音识别、环境动态感知等技术在传统家电产品中的应用部署；建立健全六安智能家电产业园，重点引进科技研发能力强、产品附加价值高、市场竞争优势大的智能家电模组模块生产企业，完善智能感知、识别和交互的产品体系，实现智能家用产业上下游企业集聚。</w:t>
      </w:r>
    </w:p>
    <w:p>
      <w:pPr>
        <w:snapToGrid w:val="0"/>
        <w:spacing w:line="360" w:lineRule="auto"/>
        <w:ind w:firstLine="560" w:firstLineChars="200"/>
        <w:rPr>
          <w:rFonts w:hint="eastAsia" w:ascii="仿宋_GB2312" w:hAnsi="Times New Roman" w:eastAsia="仿宋_GB2312"/>
          <w:color w:val="auto"/>
          <w:sz w:val="28"/>
          <w:szCs w:val="28"/>
          <w:highlight w:val="none"/>
        </w:rPr>
      </w:pPr>
      <w:r>
        <w:rPr>
          <w:rFonts w:hint="eastAsia" w:ascii="仿宋_GB2312" w:hAnsi="Times New Roman" w:eastAsia="仿宋_GB2312"/>
          <w:color w:val="auto"/>
          <w:sz w:val="28"/>
          <w:szCs w:val="28"/>
          <w:highlight w:val="none"/>
          <w:lang w:val="en-US" w:eastAsia="zh-CN"/>
        </w:rPr>
        <w:t>依托精卓光显、伽马莱恩等企业，</w:t>
      </w:r>
      <w:r>
        <w:rPr>
          <w:rFonts w:hint="eastAsia" w:ascii="仿宋_GB2312" w:hAnsi="Times New Roman" w:eastAsia="仿宋_GB2312"/>
          <w:color w:val="auto"/>
          <w:sz w:val="28"/>
          <w:szCs w:val="28"/>
          <w:highlight w:val="none"/>
        </w:rPr>
        <w:t>重点发展六轴以上工业机器人及减速器、驱动电机等关键核心部件，大力推进制造领域“机器换人”步伐，积极引进伺服电机、减速机、控制器和传感器等领域核心零部件以及智能机器人整机制造产业，探索发展涉及高压接触感知、焊缝坡口宽度电弧跟踪等关键技术的弧焊机器人，提升六安市装备制造产业生产效率，促进企业技改进程。</w:t>
      </w:r>
    </w:p>
    <w:p>
      <w:pPr>
        <w:snapToGrid w:val="0"/>
        <w:spacing w:line="360" w:lineRule="auto"/>
        <w:ind w:firstLine="562" w:firstLineChars="200"/>
        <w:rPr>
          <w:rFonts w:hint="eastAsia" w:ascii="仿宋_GB2312" w:hAnsi="Times New Roman" w:eastAsia="仿宋_GB2312"/>
          <w:b/>
          <w:bCs/>
          <w:color w:val="auto"/>
          <w:sz w:val="28"/>
          <w:szCs w:val="28"/>
          <w:highlight w:val="none"/>
          <w:lang w:val="en-US" w:eastAsia="zh-CN"/>
        </w:rPr>
      </w:pPr>
      <w:r>
        <w:rPr>
          <w:rFonts w:hint="eastAsia" w:ascii="仿宋_GB2312" w:hAnsi="Times New Roman" w:eastAsia="仿宋_GB2312"/>
          <w:b/>
          <w:bCs/>
          <w:color w:val="auto"/>
          <w:sz w:val="28"/>
          <w:szCs w:val="28"/>
          <w:highlight w:val="none"/>
          <w:lang w:val="en-US" w:eastAsia="zh-CN"/>
        </w:rPr>
        <w:t>2.数字赋能深度融合</w:t>
      </w:r>
    </w:p>
    <w:p>
      <w:pPr>
        <w:snapToGrid w:val="0"/>
        <w:spacing w:line="360" w:lineRule="auto"/>
        <w:ind w:firstLine="560" w:firstLineChars="200"/>
        <w:rPr>
          <w:rFonts w:hint="eastAsia" w:ascii="仿宋_GB2312" w:hAnsi="Times New Roman" w:eastAsia="仿宋_GB2312"/>
          <w:color w:val="auto"/>
          <w:sz w:val="28"/>
          <w:szCs w:val="28"/>
          <w:highlight w:val="none"/>
          <w:lang w:val="en-US" w:eastAsia="zh-CN"/>
        </w:rPr>
      </w:pPr>
      <w:r>
        <w:rPr>
          <w:rFonts w:hint="eastAsia" w:ascii="仿宋_GB2312" w:hAnsi="Times New Roman" w:eastAsia="仿宋_GB2312"/>
          <w:color w:val="auto"/>
          <w:sz w:val="28"/>
          <w:szCs w:val="28"/>
          <w:highlight w:val="none"/>
        </w:rPr>
        <w:t>大力推进 5G、云计算、大数据、人工智能、互联网等新一代信息技术与制造业深度融合，广泛开展“智能工厂”“数字车间”等建设活动，引导企业“上云用数赋智”。深入贯彻落实《六安市5G产业发展规划》，推进“5G+工业互联网”行动</w:t>
      </w:r>
      <w:r>
        <w:rPr>
          <w:rFonts w:hint="eastAsia" w:ascii="仿宋_GB2312" w:hAnsi="Times New Roman" w:eastAsia="仿宋_GB2312"/>
          <w:color w:val="auto"/>
          <w:sz w:val="28"/>
          <w:szCs w:val="28"/>
          <w:highlight w:val="none"/>
          <w:lang w:eastAsia="zh-CN"/>
        </w:rPr>
        <w:t>。</w:t>
      </w:r>
      <w:r>
        <w:rPr>
          <w:rFonts w:hint="eastAsia" w:ascii="仿宋_GB2312" w:hAnsi="Times New Roman" w:eastAsia="仿宋_GB2312"/>
          <w:color w:val="auto"/>
          <w:sz w:val="28"/>
          <w:szCs w:val="28"/>
          <w:highlight w:val="none"/>
        </w:rPr>
        <w:t>提升企业信息化水平，重点提升中小企业信息化建设水平，引导、支持企业引入企业资源管理（ERP）、车间生产管理（MES）及产品生命周期管理（PLM）等系统，促进产品研发设计、流程控制、企业管理、市场营销等环节数字化、网络化、智能化和管理现代化，提升企业生产效率和竞争力。</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0" w:type="dxa"/>
            <w:gridSpan w:val="2"/>
          </w:tcPr>
          <w:p>
            <w:pPr>
              <w:jc w:val="center"/>
              <w:rPr>
                <w:rFonts w:hint="default" w:ascii="仿宋_GB2312" w:eastAsia="仿宋_GB2312"/>
                <w:b/>
                <w:color w:val="auto"/>
                <w:sz w:val="24"/>
                <w:szCs w:val="24"/>
                <w:highlight w:val="none"/>
                <w:lang w:val="en-US" w:eastAsia="zh-CN"/>
              </w:rPr>
            </w:pPr>
            <w:r>
              <w:rPr>
                <w:rFonts w:hint="eastAsia" w:ascii="仿宋_GB2312" w:hAnsi="Times New Roman" w:eastAsia="仿宋_GB2312"/>
                <w:b/>
                <w:bCs/>
                <w:color w:val="auto"/>
                <w:sz w:val="24"/>
                <w:szCs w:val="24"/>
                <w:highlight w:val="none"/>
              </w:rPr>
              <w:t>专栏</w:t>
            </w:r>
            <w:r>
              <w:rPr>
                <w:rFonts w:hint="eastAsia" w:ascii="仿宋_GB2312" w:hAnsi="Times New Roman" w:eastAsia="仿宋_GB2312"/>
                <w:b/>
                <w:bCs/>
                <w:color w:val="auto"/>
                <w:sz w:val="24"/>
                <w:szCs w:val="24"/>
                <w:highlight w:val="none"/>
                <w:lang w:val="en-US" w:eastAsia="zh-CN"/>
              </w:rPr>
              <w:t>4：“智改数转”工程重点项目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tcPr>
          <w:p>
            <w:pPr>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项目名称</w:t>
            </w:r>
          </w:p>
        </w:tc>
        <w:tc>
          <w:tcPr>
            <w:tcW w:w="6662" w:type="dxa"/>
          </w:tcPr>
          <w:p>
            <w:pPr>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项目内容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jc w:val="center"/>
              <w:rPr>
                <w:rFonts w:ascii="仿宋_GB2312" w:eastAsia="仿宋_GB2312"/>
                <w:color w:val="auto"/>
                <w:sz w:val="24"/>
                <w:szCs w:val="24"/>
                <w:highlight w:val="none"/>
              </w:rPr>
            </w:pPr>
            <w:r>
              <w:rPr>
                <w:rFonts w:hint="eastAsia" w:ascii="仿宋_GB2312" w:hAnsi="Times New Roman" w:eastAsia="仿宋_GB2312"/>
                <w:color w:val="auto"/>
                <w:sz w:val="24"/>
                <w:szCs w:val="24"/>
                <w:highlight w:val="none"/>
              </w:rPr>
              <w:t>中国中部智能家居产业园</w:t>
            </w:r>
          </w:p>
        </w:tc>
        <w:tc>
          <w:tcPr>
            <w:tcW w:w="6662" w:type="dxa"/>
          </w:tcPr>
          <w:p>
            <w:pPr>
              <w:rPr>
                <w:rFonts w:ascii="仿宋_GB2312" w:hAnsi="宋体" w:eastAsia="仿宋_GB2312"/>
                <w:color w:val="auto"/>
                <w:sz w:val="24"/>
                <w:szCs w:val="24"/>
                <w:highlight w:val="none"/>
              </w:rPr>
            </w:pPr>
            <w:r>
              <w:rPr>
                <w:rFonts w:hint="eastAsia" w:ascii="仿宋_GB2312" w:hAnsi="Times New Roman" w:eastAsia="仿宋_GB2312"/>
                <w:color w:val="auto"/>
                <w:sz w:val="24"/>
                <w:szCs w:val="24"/>
                <w:highlight w:val="none"/>
              </w:rPr>
              <w:t>依托六安市叶集家居产业基础，高标准规划中国中部智能家居产业园，加速家居企业转型升级步伐，大力发展智能家居、创意家居等产业。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418" w:type="dxa"/>
            <w:vAlign w:val="center"/>
          </w:tcPr>
          <w:p>
            <w:pPr>
              <w:jc w:val="center"/>
              <w:rPr>
                <w:rFonts w:hint="eastAsia"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六安智能家电产业园</w:t>
            </w:r>
          </w:p>
        </w:tc>
        <w:tc>
          <w:tcPr>
            <w:tcW w:w="6662" w:type="dxa"/>
          </w:tcPr>
          <w:p>
            <w:pPr>
              <w:rPr>
                <w:rFonts w:hint="eastAsia"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计划依托安徽索伊集团，打造智能化数字厨电、家用冰箱冷柜、商用冷链等产品研发、制造、销售和服务的大型产业园区。通过互联、物联信息的共享，让智能设备联同协作工作。</w:t>
            </w:r>
          </w:p>
        </w:tc>
      </w:tr>
    </w:tbl>
    <w:p>
      <w:pPr>
        <w:snapToGrid w:val="0"/>
        <w:spacing w:line="360" w:lineRule="auto"/>
        <w:ind w:firstLine="560" w:firstLineChars="200"/>
        <w:rPr>
          <w:rFonts w:hint="eastAsia" w:ascii="仿宋_GB2312" w:hAnsi="Times New Roman" w:eastAsia="仿宋_GB2312"/>
          <w:sz w:val="28"/>
          <w:szCs w:val="28"/>
          <w:highlight w:val="none"/>
        </w:rPr>
      </w:pPr>
    </w:p>
    <w:p>
      <w:pPr>
        <w:pStyle w:val="3"/>
        <w:spacing w:line="360" w:lineRule="auto"/>
        <w:ind w:firstLine="643"/>
        <w:rPr>
          <w:rFonts w:hint="eastAsia" w:eastAsia="楷体_GB2312"/>
          <w:highlight w:val="none"/>
          <w:lang w:eastAsia="zh-CN"/>
        </w:rPr>
      </w:pPr>
      <w:bookmarkStart w:id="53" w:name="_Toc28107"/>
      <w:bookmarkStart w:id="54" w:name="_Toc15878"/>
      <w:r>
        <w:rPr>
          <w:rFonts w:hint="eastAsia"/>
          <w:highlight w:val="none"/>
        </w:rPr>
        <w:t>（五）</w:t>
      </w:r>
      <w:bookmarkEnd w:id="53"/>
      <w:r>
        <w:rPr>
          <w:rFonts w:hint="eastAsia"/>
          <w:highlight w:val="none"/>
          <w:lang w:eastAsia="zh-CN"/>
        </w:rPr>
        <w:t>特色电商</w:t>
      </w:r>
      <w:r>
        <w:rPr>
          <w:rFonts w:hint="eastAsia"/>
          <w:highlight w:val="none"/>
        </w:rPr>
        <w:t>工程</w:t>
      </w:r>
      <w:bookmarkEnd w:id="54"/>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以示范创建为引领，绿色生态为原则，乡村振兴为目标，在金安区、裕安区设立电子商务产业园。加强与国内知名电商平台合作，积极创建国家级和省级电子商务示范园区、电子商务示范企业及农村电商示范镇、示范村，支持县区申建省级跨境电商产业园，打造特色电商示范核心区。</w:t>
      </w:r>
    </w:p>
    <w:p>
      <w:pPr>
        <w:widowControl/>
        <w:spacing w:line="360" w:lineRule="auto"/>
        <w:ind w:firstLine="560" w:firstLineChars="200"/>
        <w:jc w:val="left"/>
        <w:rPr>
          <w:rFonts w:ascii="仿宋_GB2312" w:hAnsi="Times New Roman" w:eastAsia="仿宋_GB2312"/>
          <w:sz w:val="28"/>
          <w:szCs w:val="28"/>
          <w:highlight w:val="none"/>
        </w:rPr>
      </w:pPr>
      <w:r>
        <w:rPr>
          <w:rFonts w:hint="eastAsia" w:ascii="仿宋_GB2312" w:hAnsi="Times New Roman" w:eastAsia="仿宋_GB2312"/>
          <w:sz w:val="28"/>
          <w:szCs w:val="28"/>
          <w:highlight w:val="none"/>
        </w:rPr>
        <w:t>积极推动六安市优势农业资源、特色产业与电子商务融合发展，重点培育婚纱服装、童车童床、茶油茶叶、剐水毛竹、石斛</w:t>
      </w:r>
      <w:r>
        <w:rPr>
          <w:rFonts w:hint="eastAsia" w:ascii="仿宋_GB2312" w:hAnsi="Times New Roman" w:eastAsia="仿宋_GB2312"/>
          <w:sz w:val="28"/>
          <w:szCs w:val="28"/>
          <w:highlight w:val="none"/>
          <w:lang w:eastAsia="zh-CN"/>
        </w:rPr>
        <w:t>、</w:t>
      </w:r>
      <w:r>
        <w:rPr>
          <w:rFonts w:hint="eastAsia" w:ascii="仿宋_GB2312" w:hAnsi="Times New Roman" w:eastAsia="仿宋_GB2312"/>
          <w:sz w:val="28"/>
          <w:szCs w:val="28"/>
          <w:highlight w:val="none"/>
        </w:rPr>
        <w:t>艾草、杂粮等特色电商产业集群。拓展特色电子商务发展空间，加快建设完善舒城电子商务服务中心、叶集智慧商贸综合物流港、金寨天堂镇旅游电商小镇等。发展建设电商专业村、特色电商街区，积极推广网络营销培训，开展直播带货等新型销售模式，鼓励实体商业开展电子商务、社交营销开启“云逛街”等。</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0" w:type="dxa"/>
            <w:gridSpan w:val="2"/>
          </w:tcPr>
          <w:p>
            <w:pPr>
              <w:jc w:val="center"/>
              <w:rPr>
                <w:rFonts w:hint="default" w:ascii="仿宋_GB2312" w:eastAsia="仿宋_GB2312"/>
                <w:b/>
                <w:color w:val="auto"/>
                <w:sz w:val="24"/>
                <w:szCs w:val="24"/>
                <w:highlight w:val="none"/>
                <w:lang w:val="en-US" w:eastAsia="zh-CN"/>
              </w:rPr>
            </w:pPr>
            <w:r>
              <w:rPr>
                <w:rFonts w:hint="eastAsia" w:ascii="仿宋_GB2312" w:hAnsi="Times New Roman" w:eastAsia="仿宋_GB2312"/>
                <w:b/>
                <w:bCs/>
                <w:color w:val="auto"/>
                <w:sz w:val="24"/>
                <w:szCs w:val="24"/>
                <w:highlight w:val="none"/>
              </w:rPr>
              <w:t>专栏</w:t>
            </w:r>
            <w:r>
              <w:rPr>
                <w:rFonts w:hint="eastAsia" w:ascii="仿宋_GB2312" w:hAnsi="Times New Roman" w:eastAsia="仿宋_GB2312"/>
                <w:b/>
                <w:bCs/>
                <w:color w:val="auto"/>
                <w:sz w:val="24"/>
                <w:szCs w:val="24"/>
                <w:highlight w:val="none"/>
                <w:lang w:val="en-US" w:eastAsia="zh-CN"/>
              </w:rPr>
              <w:t>5：特色电商工程重点项目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tcPr>
          <w:p>
            <w:pPr>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项目名称</w:t>
            </w:r>
          </w:p>
        </w:tc>
        <w:tc>
          <w:tcPr>
            <w:tcW w:w="6662" w:type="dxa"/>
          </w:tcPr>
          <w:p>
            <w:pPr>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项目内容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jc w:val="center"/>
              <w:rPr>
                <w:rFonts w:hint="default" w:ascii="仿宋_GB2312" w:eastAsia="仿宋_GB2312"/>
                <w:color w:val="auto"/>
                <w:sz w:val="24"/>
                <w:szCs w:val="24"/>
                <w:highlight w:val="none"/>
                <w:lang w:val="en-US" w:eastAsia="zh-CN"/>
              </w:rPr>
            </w:pPr>
            <w:r>
              <w:rPr>
                <w:rFonts w:hint="eastAsia" w:ascii="仿宋_GB2312" w:hAnsi="Times New Roman" w:eastAsia="仿宋_GB2312"/>
                <w:color w:val="auto"/>
                <w:sz w:val="24"/>
                <w:szCs w:val="24"/>
                <w:highlight w:val="none"/>
                <w:lang w:eastAsia="zh-CN"/>
              </w:rPr>
              <w:t>六安特色电商产业园</w:t>
            </w:r>
          </w:p>
        </w:tc>
        <w:tc>
          <w:tcPr>
            <w:tcW w:w="6662" w:type="dxa"/>
          </w:tcPr>
          <w:p>
            <w:pPr>
              <w:rPr>
                <w:rFonts w:hint="default" w:ascii="仿宋_GB2312" w:hAnsi="宋体" w:eastAsia="仿宋_GB2312"/>
                <w:color w:val="auto"/>
                <w:sz w:val="24"/>
                <w:szCs w:val="24"/>
                <w:highlight w:val="none"/>
                <w:lang w:val="en-US" w:eastAsia="zh-CN"/>
              </w:rPr>
            </w:pPr>
            <w:r>
              <w:rPr>
                <w:rFonts w:hint="eastAsia" w:ascii="仿宋_GB2312" w:hAnsi="Times New Roman" w:eastAsia="仿宋_GB2312"/>
                <w:color w:val="auto"/>
                <w:sz w:val="24"/>
                <w:szCs w:val="24"/>
                <w:highlight w:val="none"/>
                <w:lang w:eastAsia="zh-CN"/>
              </w:rPr>
              <w:t>六安特色电商产业园通过整合资源，利用信息化手段实现园区运营、物流交通、电商企业，重点推动六安特色农副产品电商产业发展，通过农副产品集中化电商运营打造六安特色农副产品IP。通过政策推动、项目拉动、旅游带动，推动六安特色电商产业园区转型升级为安徽省级特色电商综合试验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418" w:type="dxa"/>
            <w:vAlign w:val="center"/>
          </w:tcPr>
          <w:p>
            <w:pPr>
              <w:jc w:val="center"/>
              <w:rPr>
                <w:rFonts w:hint="eastAsia" w:ascii="仿宋_GB2312" w:hAnsi="Times New Roman" w:eastAsia="仿宋_GB2312"/>
                <w:color w:val="auto"/>
                <w:sz w:val="24"/>
                <w:szCs w:val="24"/>
                <w:highlight w:val="none"/>
                <w:lang w:eastAsia="zh-CN"/>
              </w:rPr>
            </w:pPr>
            <w:r>
              <w:rPr>
                <w:rFonts w:hint="eastAsia" w:ascii="仿宋_GB2312" w:eastAsia="仿宋_GB2312"/>
                <w:color w:val="000000" w:themeColor="text1"/>
                <w:sz w:val="24"/>
                <w:szCs w:val="24"/>
                <w:highlight w:val="none"/>
                <w14:textFill>
                  <w14:solidFill>
                    <w14:schemeClr w14:val="tx1"/>
                  </w14:solidFill>
                </w14:textFill>
              </w:rPr>
              <w:t>六安新媒体创意产业基地</w:t>
            </w:r>
          </w:p>
        </w:tc>
        <w:tc>
          <w:tcPr>
            <w:tcW w:w="6662" w:type="dxa"/>
            <w:vAlign w:val="top"/>
          </w:tcPr>
          <w:p>
            <w:pPr>
              <w:rPr>
                <w:rFonts w:hint="eastAsia" w:ascii="仿宋_GB2312" w:hAnsi="Times New Roman" w:eastAsia="仿宋_GB2312"/>
                <w:color w:val="auto"/>
                <w:sz w:val="24"/>
                <w:szCs w:val="24"/>
                <w:highlight w:val="none"/>
                <w:lang w:eastAsia="zh-CN"/>
              </w:rPr>
            </w:pPr>
            <w:r>
              <w:rPr>
                <w:rFonts w:hint="eastAsia" w:ascii="仿宋_GB2312" w:hAnsi="Times New Roman" w:eastAsia="仿宋_GB2312"/>
                <w:color w:val="000000" w:themeColor="text1"/>
                <w:sz w:val="24"/>
                <w:szCs w:val="24"/>
                <w:highlight w:val="none"/>
                <w14:textFill>
                  <w14:solidFill>
                    <w14:schemeClr w14:val="tx1"/>
                  </w14:solidFill>
                </w14:textFill>
              </w:rPr>
              <w:t>新媒体创意产业基地是以头部主播为核心，集平台、主播、供应链、供应链金融、企业品牌、快递物流、大数据运营、孵化培训等为一体的专业直播电商基地。</w:t>
            </w:r>
          </w:p>
        </w:tc>
      </w:tr>
    </w:tbl>
    <w:p>
      <w:pPr>
        <w:snapToGrid w:val="0"/>
        <w:spacing w:line="360" w:lineRule="auto"/>
        <w:ind w:firstLine="560" w:firstLineChars="200"/>
        <w:rPr>
          <w:rFonts w:hint="eastAsia" w:ascii="仿宋_GB2312" w:hAnsi="Times New Roman" w:eastAsia="仿宋_GB2312"/>
          <w:sz w:val="28"/>
          <w:szCs w:val="28"/>
          <w:highlight w:val="none"/>
        </w:rPr>
      </w:pPr>
    </w:p>
    <w:p>
      <w:pPr>
        <w:pStyle w:val="3"/>
        <w:spacing w:line="360" w:lineRule="auto"/>
        <w:ind w:firstLine="643"/>
        <w:rPr>
          <w:highlight w:val="none"/>
        </w:rPr>
      </w:pPr>
      <w:bookmarkStart w:id="55" w:name="_Toc22157"/>
      <w:bookmarkStart w:id="56" w:name="_Toc8089"/>
      <w:bookmarkStart w:id="57" w:name="_Toc25256"/>
      <w:r>
        <w:rPr>
          <w:rFonts w:hint="eastAsia"/>
          <w:highlight w:val="none"/>
        </w:rPr>
        <w:t>（六）数创人才</w:t>
      </w:r>
      <w:bookmarkEnd w:id="55"/>
      <w:bookmarkEnd w:id="56"/>
      <w:r>
        <w:rPr>
          <w:rFonts w:hint="eastAsia"/>
          <w:highlight w:val="none"/>
          <w:lang w:eastAsia="zh-CN"/>
        </w:rPr>
        <w:t>引育</w:t>
      </w:r>
      <w:r>
        <w:rPr>
          <w:rFonts w:hint="eastAsia"/>
          <w:highlight w:val="none"/>
        </w:rPr>
        <w:t>工程</w:t>
      </w:r>
      <w:bookmarkEnd w:id="57"/>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推动“政、产、学、研、用、创”融合发展，重点建设“杜鹃花计划”人才项目，引进一批数字创意产业优秀人才，带动区域数字创意产业规范化发展，为行业注入内生动力。同时依托本地高校资源，完善人才培育孵化机制，形成长期有效的人才培育机制，引育一批具有六安精神、六安特色的行业高素质数字创意产业人才。</w:t>
      </w:r>
    </w:p>
    <w:p>
      <w:pPr>
        <w:snapToGrid w:val="0"/>
        <w:spacing w:line="360" w:lineRule="auto"/>
        <w:ind w:firstLine="562" w:firstLineChars="200"/>
        <w:rPr>
          <w:rFonts w:hint="eastAsia" w:ascii="仿宋_GB2312" w:hAnsi="Times New Roman" w:eastAsia="仿宋_GB2312"/>
          <w:b/>
          <w:bCs/>
          <w:sz w:val="28"/>
          <w:szCs w:val="28"/>
          <w:highlight w:val="none"/>
        </w:rPr>
      </w:pPr>
      <w:r>
        <w:rPr>
          <w:rFonts w:hint="eastAsia" w:ascii="仿宋_GB2312" w:hAnsi="Times New Roman" w:eastAsia="仿宋_GB2312"/>
          <w:b/>
          <w:bCs/>
          <w:sz w:val="28"/>
          <w:szCs w:val="28"/>
          <w:highlight w:val="none"/>
          <w:lang w:val="en-US" w:eastAsia="zh-CN"/>
        </w:rPr>
        <w:t>1.</w:t>
      </w:r>
      <w:r>
        <w:rPr>
          <w:rFonts w:hint="eastAsia" w:ascii="仿宋_GB2312" w:hAnsi="Times New Roman" w:eastAsia="仿宋_GB2312"/>
          <w:b/>
          <w:bCs/>
          <w:sz w:val="28"/>
          <w:szCs w:val="28"/>
          <w:highlight w:val="none"/>
        </w:rPr>
        <w:t>实施数字创意产业精英人才引进</w:t>
      </w:r>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计划加大精英人才引进及培养力度，吸引国内外优秀的数字创意产业领域人才和团队落地六安市人才孵化区。建设融通政府、企业、社会组织、专业人才信息资源的综合性服务平台，打造高层次人才的招引窗口。</w:t>
      </w:r>
    </w:p>
    <w:p>
      <w:pPr>
        <w:snapToGrid w:val="0"/>
        <w:spacing w:line="360" w:lineRule="auto"/>
        <w:ind w:firstLine="562" w:firstLineChars="200"/>
        <w:rPr>
          <w:rFonts w:hint="eastAsia" w:ascii="仿宋_GB2312" w:hAnsi="Times New Roman" w:eastAsia="仿宋_GB2312"/>
          <w:b/>
          <w:bCs/>
          <w:sz w:val="28"/>
          <w:szCs w:val="28"/>
          <w:highlight w:val="none"/>
        </w:rPr>
      </w:pPr>
      <w:r>
        <w:rPr>
          <w:rFonts w:hint="eastAsia" w:ascii="仿宋_GB2312" w:hAnsi="Times New Roman" w:eastAsia="仿宋_GB2312"/>
          <w:b/>
          <w:bCs/>
          <w:sz w:val="28"/>
          <w:szCs w:val="28"/>
          <w:highlight w:val="none"/>
          <w:lang w:val="en-US" w:eastAsia="zh-CN"/>
        </w:rPr>
        <w:t>2.</w:t>
      </w:r>
      <w:r>
        <w:rPr>
          <w:rFonts w:hint="eastAsia" w:ascii="仿宋_GB2312" w:hAnsi="Times New Roman" w:eastAsia="仿宋_GB2312"/>
          <w:b/>
          <w:bCs/>
          <w:sz w:val="28"/>
          <w:szCs w:val="28"/>
          <w:highlight w:val="none"/>
        </w:rPr>
        <w:t>营造本地数字创意人才孵化氛围</w:t>
      </w:r>
    </w:p>
    <w:p>
      <w:pPr>
        <w:snapToGrid w:val="0"/>
        <w:spacing w:line="360" w:lineRule="auto"/>
        <w:ind w:firstLine="560" w:firstLineChars="200"/>
        <w:rPr>
          <w:rFonts w:hint="eastAsia" w:ascii="仿宋_GB2312" w:hAnsi="Times New Roman" w:eastAsia="仿宋_GB2312"/>
          <w:sz w:val="28"/>
          <w:szCs w:val="28"/>
          <w:highlight w:val="none"/>
        </w:rPr>
      </w:pPr>
      <w:r>
        <w:rPr>
          <w:rFonts w:hint="eastAsia" w:ascii="仿宋_GB2312" w:hAnsi="Times New Roman" w:eastAsia="仿宋_GB2312"/>
          <w:sz w:val="28"/>
          <w:szCs w:val="28"/>
          <w:highlight w:val="none"/>
        </w:rPr>
        <w:t>依托六安本地高校资源，鼓励本地高校培养的数字经济人才留在六安发展。鼓励企业与高校联合制定企业大学计划，建设联合学院、联合实验室、联合项目、假期集训营、实习基地、创新赛事等人才培养内容。加大数字应用型人才培养力度，鼓励行业龙头企业建设数字人才实训基地。</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0" w:type="dxa"/>
            <w:gridSpan w:val="2"/>
          </w:tcPr>
          <w:p>
            <w:pPr>
              <w:jc w:val="center"/>
              <w:rPr>
                <w:rFonts w:hint="default" w:ascii="仿宋_GB2312" w:eastAsia="仿宋_GB2312"/>
                <w:b/>
                <w:color w:val="auto"/>
                <w:sz w:val="24"/>
                <w:szCs w:val="24"/>
                <w:highlight w:val="none"/>
                <w:lang w:val="en-US" w:eastAsia="zh-CN"/>
              </w:rPr>
            </w:pPr>
            <w:r>
              <w:rPr>
                <w:rFonts w:hint="eastAsia" w:ascii="仿宋_GB2312" w:hAnsi="Times New Roman" w:eastAsia="仿宋_GB2312"/>
                <w:b/>
                <w:bCs/>
                <w:color w:val="auto"/>
                <w:sz w:val="24"/>
                <w:szCs w:val="24"/>
                <w:highlight w:val="none"/>
              </w:rPr>
              <w:t>专栏</w:t>
            </w:r>
            <w:r>
              <w:rPr>
                <w:rFonts w:hint="eastAsia" w:ascii="仿宋_GB2312" w:hAnsi="Times New Roman" w:eastAsia="仿宋_GB2312"/>
                <w:b/>
                <w:bCs/>
                <w:color w:val="auto"/>
                <w:sz w:val="24"/>
                <w:szCs w:val="24"/>
                <w:highlight w:val="none"/>
                <w:lang w:val="en-US" w:eastAsia="zh-CN"/>
              </w:rPr>
              <w:t>6：数创人才工程重点项目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tcPr>
          <w:p>
            <w:pPr>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项目名称</w:t>
            </w:r>
          </w:p>
        </w:tc>
        <w:tc>
          <w:tcPr>
            <w:tcW w:w="6662" w:type="dxa"/>
          </w:tcPr>
          <w:p>
            <w:pPr>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项目内容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jc w:val="center"/>
              <w:rPr>
                <w:rFonts w:hint="eastAsia" w:ascii="仿宋_GB2312" w:eastAsia="仿宋_GB2312"/>
                <w:color w:val="auto"/>
                <w:sz w:val="24"/>
                <w:szCs w:val="24"/>
                <w:highlight w:val="none"/>
                <w:lang w:eastAsia="zh-CN"/>
              </w:rPr>
            </w:pPr>
            <w:r>
              <w:rPr>
                <w:rFonts w:hint="eastAsia" w:ascii="仿宋_GB2312" w:hAnsi="Times New Roman" w:eastAsia="仿宋_GB2312"/>
                <w:color w:val="auto"/>
                <w:sz w:val="24"/>
                <w:szCs w:val="24"/>
                <w:highlight w:val="none"/>
                <w:lang w:eastAsia="zh-CN"/>
              </w:rPr>
              <w:t>“杜鹃花”人才计划</w:t>
            </w:r>
          </w:p>
        </w:tc>
        <w:tc>
          <w:tcPr>
            <w:tcW w:w="6662" w:type="dxa"/>
          </w:tcPr>
          <w:p>
            <w:pPr>
              <w:rPr>
                <w:rFonts w:hint="eastAsia" w:ascii="仿宋_GB2312" w:hAnsi="宋体" w:eastAsia="仿宋_GB2312"/>
                <w:color w:val="auto"/>
                <w:sz w:val="24"/>
                <w:szCs w:val="24"/>
                <w:highlight w:val="none"/>
                <w:lang w:eastAsia="zh-CN"/>
              </w:rPr>
            </w:pPr>
            <w:r>
              <w:rPr>
                <w:rFonts w:hint="eastAsia" w:ascii="仿宋_GB2312" w:hAnsi="Times New Roman" w:eastAsia="仿宋_GB2312"/>
                <w:color w:val="auto"/>
                <w:sz w:val="24"/>
                <w:szCs w:val="24"/>
                <w:highlight w:val="none"/>
                <w:lang w:eastAsia="zh-CN"/>
              </w:rPr>
              <w:t>抢抓数字创意产业发展重大机遇，深入实施人才优先发展主战略，全面落实“双招双引”工程，六安计划“十四五”期间，推行“杜鹃花人才计划”,加快推进六安数字创意产业高质量发展，实施更具区域竞争力的人才引进行动，计划招引顶尖人才10名左右、省级以上领军人才20名左右、高层次产业人才5000名、技能人才及乡村振兴人才等基础人才10万名左右，吸引六安籍优秀人才返六创业发展。依托本地高校资源，培育数字创意人才，打造一批具有六安精神，六安特色的行业高素质数字创意产业人才。</w:t>
            </w:r>
          </w:p>
        </w:tc>
      </w:tr>
    </w:tbl>
    <w:p>
      <w:pPr>
        <w:snapToGrid w:val="0"/>
        <w:spacing w:line="360" w:lineRule="auto"/>
        <w:rPr>
          <w:rFonts w:hint="eastAsia" w:ascii="仿宋_GB2312" w:hAnsi="Times New Roman" w:eastAsia="仿宋_GB2312"/>
          <w:sz w:val="28"/>
          <w:szCs w:val="28"/>
          <w:highlight w:val="none"/>
        </w:rPr>
      </w:pPr>
    </w:p>
    <w:p>
      <w:pPr>
        <w:pStyle w:val="3"/>
        <w:spacing w:line="360" w:lineRule="auto"/>
        <w:ind w:firstLine="643"/>
        <w:rPr>
          <w:highlight w:val="none"/>
        </w:rPr>
      </w:pPr>
      <w:bookmarkStart w:id="58" w:name="_Toc7507"/>
      <w:r>
        <w:rPr>
          <w:rFonts w:hint="eastAsia"/>
          <w:highlight w:val="none"/>
        </w:rPr>
        <w:t>（</w:t>
      </w:r>
      <w:r>
        <w:rPr>
          <w:rFonts w:hint="eastAsia"/>
          <w:highlight w:val="none"/>
          <w:lang w:val="en-US" w:eastAsia="zh-CN"/>
        </w:rPr>
        <w:t>七</w:t>
      </w:r>
      <w:r>
        <w:rPr>
          <w:rFonts w:hint="eastAsia"/>
          <w:highlight w:val="none"/>
        </w:rPr>
        <w:t>）智慧康养工程</w:t>
      </w:r>
      <w:bookmarkEnd w:id="58"/>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积极应用数字创意产业推动第三产业服务升级，重点发展“银发”经济，形成康养数字化、疗养数字化、网络化和智能化，驱动传统康养产业加速转型，打造透明式云参观、云体验、云消费，加速医疗、健康、保险、康复、养老、科研等细分赛道交叉融合，营造数字健康产业链、数据链、价值链、人才链、生态链。</w:t>
      </w:r>
    </w:p>
    <w:p>
      <w:pPr>
        <w:snapToGrid w:val="0"/>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1.推进健康医疗大数据应用</w:t>
      </w:r>
    </w:p>
    <w:p>
      <w:pPr>
        <w:snapToGrid w:val="0"/>
        <w:spacing w:line="360" w:lineRule="auto"/>
        <w:ind w:firstLine="560" w:firstLineChars="200"/>
        <w:rPr>
          <w:rFonts w:hint="eastAsia" w:ascii="仿宋_GB2312" w:hAnsi="Times New Roman" w:eastAsia="仿宋_GB2312"/>
          <w:sz w:val="28"/>
          <w:szCs w:val="28"/>
          <w:highlight w:val="none"/>
          <w:lang w:eastAsia="zh-CN"/>
        </w:rPr>
      </w:pPr>
      <w:r>
        <w:rPr>
          <w:rFonts w:hint="eastAsia" w:ascii="仿宋_GB2312" w:hAnsi="Times New Roman" w:eastAsia="仿宋_GB2312"/>
          <w:sz w:val="28"/>
          <w:szCs w:val="28"/>
          <w:highlight w:val="none"/>
        </w:rPr>
        <w:t>利用大数据技术，加快区域人口健康、生物医药、公共卫生、电子病历等健康医疗数据汇聚整合，形成全市公共卫生监测网络。拓展大数据技术在医疗质量管理、辅助诊疗、远程医疗、健康管理、药品研发、医疗费用改革、流行性疾病防控预警、计划生育和医疗保险等方面的应用。</w:t>
      </w:r>
    </w:p>
    <w:p>
      <w:pPr>
        <w:snapToGrid w:val="0"/>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2.推进数字医院建设</w:t>
      </w:r>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运用移动互联网、物联网、大数据和人工智能等技术，提升医院智能化建设水平。开展医疗、护理、管理、后勤、科研和教学等领域的智能化应用，提高医疗质量、保障患者安全，增强就医体验，提升医院精细化和科学化管理水平。</w:t>
      </w:r>
    </w:p>
    <w:p>
      <w:pPr>
        <w:snapToGrid w:val="0"/>
        <w:spacing w:line="360" w:lineRule="auto"/>
        <w:ind w:firstLine="562" w:firstLineChars="200"/>
        <w:rPr>
          <w:rFonts w:ascii="仿宋_GB2312" w:hAnsi="Times New Roman" w:eastAsia="仿宋_GB2312"/>
          <w:b/>
          <w:bCs/>
          <w:sz w:val="28"/>
          <w:szCs w:val="28"/>
          <w:highlight w:val="none"/>
        </w:rPr>
      </w:pPr>
      <w:r>
        <w:rPr>
          <w:rFonts w:hint="eastAsia" w:ascii="仿宋_GB2312" w:hAnsi="Times New Roman" w:eastAsia="仿宋_GB2312"/>
          <w:b/>
          <w:bCs/>
          <w:sz w:val="28"/>
          <w:szCs w:val="28"/>
          <w:highlight w:val="none"/>
        </w:rPr>
        <w:t>3.研发个人健康智能服务</w:t>
      </w:r>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积极开发智能监护设备、可穿戴设备等智能硬件，通过设备间的互联互通，自动采集分析居民营养、体征、疾病等健康数据，集成一系列健康大数据惠民服务应用，实现主动健康服务和风险防控，强化个人健康管理。</w:t>
      </w:r>
    </w:p>
    <w:p>
      <w:pPr>
        <w:spacing w:line="360" w:lineRule="auto"/>
        <w:ind w:firstLine="562" w:firstLineChars="200"/>
        <w:outlineLvl w:val="1"/>
        <w:rPr>
          <w:rFonts w:ascii="仿宋_GB2312" w:hAnsi="Times New Roman" w:eastAsia="仿宋_GB2312"/>
          <w:b/>
          <w:bCs/>
          <w:sz w:val="28"/>
          <w:szCs w:val="28"/>
          <w:highlight w:val="none"/>
        </w:rPr>
      </w:pPr>
      <w:bookmarkStart w:id="59" w:name="_Toc11273"/>
      <w:r>
        <w:rPr>
          <w:rFonts w:hint="eastAsia" w:ascii="仿宋_GB2312" w:hAnsi="Times New Roman" w:eastAsia="仿宋_GB2312"/>
          <w:b/>
          <w:bCs/>
          <w:sz w:val="28"/>
          <w:szCs w:val="28"/>
          <w:highlight w:val="none"/>
        </w:rPr>
        <w:t>4.探索数字化养老服务模式</w:t>
      </w:r>
      <w:bookmarkEnd w:id="59"/>
    </w:p>
    <w:p>
      <w:pPr>
        <w:spacing w:line="360" w:lineRule="auto"/>
        <w:ind w:firstLine="560" w:firstLineChars="200"/>
        <w:outlineLvl w:val="1"/>
        <w:rPr>
          <w:rFonts w:hint="eastAsia" w:ascii="仿宋_GB2312" w:hAnsi="Times New Roman" w:eastAsia="仿宋_GB2312"/>
          <w:sz w:val="28"/>
          <w:szCs w:val="28"/>
          <w:highlight w:val="none"/>
        </w:rPr>
      </w:pPr>
      <w:bookmarkStart w:id="60" w:name="_Toc23156"/>
      <w:r>
        <w:rPr>
          <w:rFonts w:hint="eastAsia" w:ascii="仿宋_GB2312" w:hAnsi="Times New Roman" w:eastAsia="仿宋_GB2312"/>
          <w:sz w:val="28"/>
          <w:szCs w:val="28"/>
          <w:highlight w:val="none"/>
        </w:rPr>
        <w:t>运用互联网、大数据、云计算、物联网等现代信息技术和人工智能产品，广泛应用于机构养老、社区养老、居家养老、医养结合等养老服务领域，促进传统养老服务向信息化、数字化转型。支持市级养老服务云平台建设，打通各类养老服务信息孤岛和数据壁垒，形成市级养老服务大数据中心。推动养老服务与医疗服务、文旅服务、家政餐饮服务等互联互通和资源共享，为老人提供“一站式”养老大数据信息服务。支持各类养老服务市场主体，开发和应用信息化、智能化、智慧化、数字化养老产品和服务。鼓励企业依托“平台+产业+社会化”的产业数字化模式，打造养老服务新模式和新业态，围绕养老数字基础设施、养老数据中心、养老产业地图及辅助决策平台建设，为养老产业提供“一站式”大数据信息服务。</w:t>
      </w:r>
      <w:bookmarkEnd w:id="60"/>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0" w:type="dxa"/>
            <w:gridSpan w:val="2"/>
          </w:tcPr>
          <w:p>
            <w:pPr>
              <w:jc w:val="center"/>
              <w:rPr>
                <w:rFonts w:hint="default" w:ascii="仿宋_GB2312" w:eastAsia="仿宋_GB2312"/>
                <w:b/>
                <w:color w:val="auto"/>
                <w:sz w:val="24"/>
                <w:szCs w:val="24"/>
                <w:highlight w:val="none"/>
                <w:lang w:val="en-US" w:eastAsia="zh-CN"/>
              </w:rPr>
            </w:pPr>
            <w:r>
              <w:rPr>
                <w:rFonts w:hint="eastAsia" w:ascii="仿宋_GB2312" w:hAnsi="Times New Roman" w:eastAsia="仿宋_GB2312"/>
                <w:b/>
                <w:bCs/>
                <w:color w:val="auto"/>
                <w:sz w:val="24"/>
                <w:szCs w:val="24"/>
                <w:highlight w:val="none"/>
              </w:rPr>
              <w:t>专栏</w:t>
            </w:r>
            <w:r>
              <w:rPr>
                <w:rFonts w:hint="eastAsia" w:ascii="仿宋_GB2312" w:hAnsi="Times New Roman" w:eastAsia="仿宋_GB2312"/>
                <w:b/>
                <w:bCs/>
                <w:color w:val="auto"/>
                <w:sz w:val="24"/>
                <w:szCs w:val="24"/>
                <w:highlight w:val="none"/>
                <w:lang w:val="en-US" w:eastAsia="zh-CN"/>
              </w:rPr>
              <w:t>8：智慧康养工程重点项目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tcPr>
          <w:p>
            <w:pPr>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项目名称</w:t>
            </w:r>
          </w:p>
        </w:tc>
        <w:tc>
          <w:tcPr>
            <w:tcW w:w="6662" w:type="dxa"/>
          </w:tcPr>
          <w:p>
            <w:pPr>
              <w:jc w:val="center"/>
              <w:rPr>
                <w:rFonts w:ascii="仿宋_GB2312" w:eastAsia="仿宋_GB2312"/>
                <w:color w:val="auto"/>
                <w:sz w:val="24"/>
                <w:szCs w:val="24"/>
                <w:highlight w:val="none"/>
              </w:rPr>
            </w:pPr>
            <w:r>
              <w:rPr>
                <w:rFonts w:hint="eastAsia" w:ascii="仿宋_GB2312" w:eastAsia="仿宋_GB2312"/>
                <w:color w:val="auto"/>
                <w:sz w:val="24"/>
                <w:szCs w:val="24"/>
                <w:highlight w:val="none"/>
              </w:rPr>
              <w:t>项目内容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jc w:val="center"/>
              <w:rPr>
                <w:rFonts w:hint="default" w:ascii="仿宋_GB2312" w:eastAsia="仿宋_GB2312"/>
                <w:color w:val="auto"/>
                <w:sz w:val="24"/>
                <w:szCs w:val="24"/>
                <w:highlight w:val="none"/>
                <w:lang w:val="en-US" w:eastAsia="zh-CN"/>
              </w:rPr>
            </w:pPr>
            <w:r>
              <w:rPr>
                <w:rFonts w:hint="eastAsia" w:ascii="仿宋_GB2312" w:hAnsi="Times New Roman" w:eastAsia="仿宋_GB2312"/>
                <w:color w:val="auto"/>
                <w:sz w:val="24"/>
                <w:szCs w:val="24"/>
                <w:highlight w:val="none"/>
                <w:lang w:eastAsia="zh-CN"/>
              </w:rPr>
              <w:t>六安数字健康产业示范区</w:t>
            </w:r>
          </w:p>
        </w:tc>
        <w:tc>
          <w:tcPr>
            <w:tcW w:w="6662" w:type="dxa"/>
          </w:tcPr>
          <w:p>
            <w:pPr>
              <w:rPr>
                <w:rFonts w:hint="eastAsia" w:ascii="仿宋_GB2312" w:hAnsi="Times New Roman" w:eastAsia="仿宋_GB2312"/>
                <w:color w:val="auto"/>
                <w:sz w:val="24"/>
                <w:szCs w:val="24"/>
                <w:highlight w:val="none"/>
                <w:lang w:eastAsia="zh-CN"/>
              </w:rPr>
            </w:pPr>
            <w:r>
              <w:rPr>
                <w:rFonts w:hint="eastAsia" w:ascii="仿宋_GB2312" w:eastAsia="仿宋_GB2312"/>
                <w:color w:val="auto"/>
                <w:sz w:val="24"/>
                <w:szCs w:val="24"/>
                <w:highlight w:val="none"/>
                <w:lang w:eastAsia="zh-CN"/>
              </w:rPr>
              <w:t>依托“西山药库”吸引在康养产业、医疗旅游、营养保健产品研发制造、高端医疗器械研发制造、生物医药研究等方面的知名企业入驻，将康养数字化、疗养数字化、网络化和智能化，驱动传统康养产业加速转型，不断催生新技术、塑造新业态、培育新生态、创造新价值。</w:t>
            </w:r>
          </w:p>
        </w:tc>
      </w:tr>
    </w:tbl>
    <w:p>
      <w:pPr>
        <w:spacing w:line="360" w:lineRule="auto"/>
        <w:ind w:firstLine="560" w:firstLineChars="200"/>
        <w:outlineLvl w:val="1"/>
        <w:rPr>
          <w:rFonts w:hint="eastAsia" w:ascii="仿宋_GB2312" w:hAnsi="Times New Roman" w:eastAsia="仿宋_GB2312"/>
          <w:sz w:val="28"/>
          <w:szCs w:val="28"/>
          <w:highlight w:val="none"/>
        </w:rPr>
      </w:pPr>
    </w:p>
    <w:p>
      <w:pPr>
        <w:pStyle w:val="3"/>
        <w:spacing w:line="360" w:lineRule="auto"/>
        <w:ind w:firstLine="643"/>
        <w:rPr>
          <w:highlight w:val="none"/>
        </w:rPr>
      </w:pPr>
      <w:bookmarkStart w:id="61" w:name="_Toc15225"/>
      <w:r>
        <w:rPr>
          <w:rFonts w:hint="eastAsia"/>
          <w:highlight w:val="none"/>
        </w:rPr>
        <w:t>（</w:t>
      </w:r>
      <w:r>
        <w:rPr>
          <w:rFonts w:hint="eastAsia"/>
          <w:highlight w:val="none"/>
          <w:lang w:val="en-US" w:eastAsia="zh-CN"/>
        </w:rPr>
        <w:t>八</w:t>
      </w:r>
      <w:r>
        <w:rPr>
          <w:rFonts w:hint="eastAsia"/>
          <w:highlight w:val="none"/>
        </w:rPr>
        <w:t>）数字</w:t>
      </w:r>
      <w:r>
        <w:rPr>
          <w:rFonts w:hint="eastAsia"/>
          <w:highlight w:val="none"/>
          <w:lang w:val="en-US" w:eastAsia="zh-CN"/>
        </w:rPr>
        <w:t>印刷</w:t>
      </w:r>
      <w:r>
        <w:rPr>
          <w:rFonts w:hint="eastAsia"/>
          <w:highlight w:val="none"/>
        </w:rPr>
        <w:t>工程</w:t>
      </w:r>
      <w:bookmarkEnd w:id="61"/>
    </w:p>
    <w:p>
      <w:pPr>
        <w:pStyle w:val="26"/>
        <w:adjustRightInd w:val="0"/>
        <w:snapToGrid w:val="0"/>
        <w:spacing w:line="360" w:lineRule="auto"/>
        <w:ind w:firstLine="560" w:firstLineChars="200"/>
        <w:rPr>
          <w:rFonts w:ascii="仿宋_GB2312" w:eastAsia="仿宋_GB2312" w:cstheme="minorBidi"/>
          <w:sz w:val="28"/>
          <w:szCs w:val="28"/>
          <w:highlight w:val="none"/>
        </w:rPr>
      </w:pPr>
      <w:bookmarkStart w:id="62" w:name="_Toc13116"/>
      <w:r>
        <w:rPr>
          <w:rFonts w:hint="eastAsia" w:ascii="仿宋_GB2312" w:eastAsia="仿宋_GB2312" w:cstheme="minorBidi"/>
          <w:sz w:val="28"/>
          <w:szCs w:val="28"/>
          <w:highlight w:val="none"/>
        </w:rPr>
        <w:t>运用数字技术赋能传统印刷出版行业转型升级。以计算机技术、通讯技术、网络技术、流媒体技术、存储技术、显示技术等高新技术为基础，运用设计规划和计算机进行艺术设计，融合超越传统出版内容，发展数字</w:t>
      </w:r>
      <w:r>
        <w:rPr>
          <w:rFonts w:hint="eastAsia" w:ascii="仿宋_GB2312" w:eastAsia="仿宋_GB2312" w:cstheme="minorBidi"/>
          <w:sz w:val="28"/>
          <w:szCs w:val="28"/>
          <w:highlight w:val="none"/>
          <w:lang w:val="en-US" w:eastAsia="zh-CN"/>
        </w:rPr>
        <w:t>印刷</w:t>
      </w:r>
      <w:r>
        <w:rPr>
          <w:rFonts w:hint="eastAsia" w:ascii="仿宋_GB2312" w:eastAsia="仿宋_GB2312" w:cstheme="minorBidi"/>
          <w:sz w:val="28"/>
          <w:szCs w:val="28"/>
          <w:highlight w:val="none"/>
        </w:rPr>
        <w:t>的新业态。依托现有产业基础，进行人才引进，技术创新，数字化升级，打造六安数字</w:t>
      </w:r>
      <w:r>
        <w:rPr>
          <w:rFonts w:hint="eastAsia" w:ascii="仿宋_GB2312" w:eastAsia="仿宋_GB2312" w:cstheme="minorBidi"/>
          <w:sz w:val="28"/>
          <w:szCs w:val="28"/>
          <w:highlight w:val="none"/>
          <w:lang w:val="en-US" w:eastAsia="zh-CN"/>
        </w:rPr>
        <w:t>印刷</w:t>
      </w:r>
      <w:r>
        <w:rPr>
          <w:rFonts w:hint="eastAsia" w:ascii="仿宋_GB2312" w:eastAsia="仿宋_GB2312" w:cstheme="minorBidi"/>
          <w:sz w:val="28"/>
          <w:szCs w:val="28"/>
          <w:highlight w:val="none"/>
        </w:rPr>
        <w:t>产业聚集区。</w:t>
      </w:r>
    </w:p>
    <w:p>
      <w:pPr>
        <w:spacing w:line="360" w:lineRule="auto"/>
        <w:ind w:firstLine="562" w:firstLineChars="200"/>
        <w:outlineLvl w:val="1"/>
        <w:rPr>
          <w:rFonts w:ascii="仿宋_GB2312" w:hAnsi="Times New Roman" w:eastAsia="仿宋_GB2312"/>
          <w:b/>
          <w:bCs/>
          <w:sz w:val="28"/>
          <w:szCs w:val="28"/>
          <w:highlight w:val="none"/>
        </w:rPr>
      </w:pPr>
      <w:bookmarkStart w:id="63" w:name="_Toc8139"/>
      <w:r>
        <w:rPr>
          <w:rFonts w:hint="eastAsia" w:ascii="仿宋_GB2312" w:hAnsi="Times New Roman" w:eastAsia="仿宋_GB2312"/>
          <w:b/>
          <w:bCs/>
          <w:sz w:val="28"/>
          <w:szCs w:val="28"/>
          <w:highlight w:val="none"/>
        </w:rPr>
        <w:t>1.强化数字</w:t>
      </w:r>
      <w:r>
        <w:rPr>
          <w:rFonts w:hint="eastAsia" w:ascii="仿宋_GB2312" w:hAnsi="Times New Roman" w:eastAsia="仿宋_GB2312"/>
          <w:b/>
          <w:bCs/>
          <w:sz w:val="28"/>
          <w:szCs w:val="28"/>
          <w:highlight w:val="none"/>
          <w:lang w:val="en-US" w:eastAsia="zh-CN"/>
        </w:rPr>
        <w:t>印刷</w:t>
      </w:r>
      <w:r>
        <w:rPr>
          <w:rFonts w:hint="eastAsia" w:ascii="仿宋_GB2312" w:hAnsi="Times New Roman" w:eastAsia="仿宋_GB2312"/>
          <w:b/>
          <w:bCs/>
          <w:sz w:val="28"/>
          <w:szCs w:val="28"/>
          <w:highlight w:val="none"/>
        </w:rPr>
        <w:t>技术创新</w:t>
      </w:r>
      <w:bookmarkEnd w:id="63"/>
    </w:p>
    <w:p>
      <w:pPr>
        <w:spacing w:line="360" w:lineRule="auto"/>
        <w:ind w:firstLine="560" w:firstLineChars="200"/>
        <w:outlineLvl w:val="1"/>
        <w:rPr>
          <w:rFonts w:ascii="仿宋_GB2312" w:hAnsi="Times New Roman" w:eastAsia="仿宋_GB2312"/>
          <w:sz w:val="28"/>
          <w:szCs w:val="28"/>
          <w:highlight w:val="none"/>
        </w:rPr>
      </w:pPr>
      <w:bookmarkStart w:id="64" w:name="_Toc14373"/>
      <w:r>
        <w:rPr>
          <w:rFonts w:hint="eastAsia" w:ascii="仿宋_GB2312" w:hAnsi="Times New Roman" w:eastAsia="仿宋_GB2312"/>
          <w:sz w:val="28"/>
          <w:szCs w:val="28"/>
          <w:highlight w:val="none"/>
        </w:rPr>
        <w:t>增强技术标准意识，把握技术标准体系，推动市场主体掌握产业链所涉基础技术、技术应用、出版流程、发行营销、数据采集分析等各项技术标准；加快数字孪生、大数据、人工智能、5G、区块链、VR/AR、边缘计算、云计算、试验验证、物联网、仿真技术等新一代信息技术与先进</w:t>
      </w:r>
      <w:r>
        <w:rPr>
          <w:rFonts w:hint="eastAsia" w:ascii="仿宋_GB2312" w:hAnsi="Times New Roman" w:eastAsia="仿宋_GB2312"/>
          <w:sz w:val="28"/>
          <w:szCs w:val="28"/>
          <w:highlight w:val="none"/>
          <w:lang w:val="en-US" w:eastAsia="zh-CN"/>
        </w:rPr>
        <w:t>印刷</w:t>
      </w:r>
      <w:r>
        <w:rPr>
          <w:rFonts w:hint="eastAsia" w:ascii="仿宋_GB2312" w:hAnsi="Times New Roman" w:eastAsia="仿宋_GB2312"/>
          <w:sz w:val="28"/>
          <w:szCs w:val="28"/>
          <w:highlight w:val="none"/>
        </w:rPr>
        <w:t>技术的深度融合；组建“政产学研用”协同创新共同体，打造协同创新平台。</w:t>
      </w:r>
      <w:bookmarkEnd w:id="64"/>
    </w:p>
    <w:p>
      <w:pPr>
        <w:spacing w:line="360" w:lineRule="auto"/>
        <w:ind w:firstLine="562" w:firstLineChars="200"/>
        <w:outlineLvl w:val="1"/>
        <w:rPr>
          <w:rFonts w:ascii="仿宋_GB2312" w:hAnsi="Times New Roman" w:eastAsia="仿宋_GB2312"/>
          <w:b/>
          <w:bCs/>
          <w:sz w:val="28"/>
          <w:szCs w:val="28"/>
          <w:highlight w:val="none"/>
        </w:rPr>
      </w:pPr>
      <w:bookmarkStart w:id="65" w:name="_Toc19672"/>
      <w:r>
        <w:rPr>
          <w:rFonts w:hint="eastAsia" w:ascii="仿宋_GB2312" w:hAnsi="Times New Roman" w:eastAsia="仿宋_GB2312"/>
          <w:b/>
          <w:bCs/>
          <w:sz w:val="28"/>
          <w:szCs w:val="28"/>
          <w:highlight w:val="none"/>
        </w:rPr>
        <w:t>2.推进数字</w:t>
      </w:r>
      <w:r>
        <w:rPr>
          <w:rFonts w:hint="eastAsia" w:ascii="仿宋_GB2312" w:hAnsi="Times New Roman" w:eastAsia="仿宋_GB2312"/>
          <w:b/>
          <w:bCs/>
          <w:sz w:val="28"/>
          <w:szCs w:val="28"/>
          <w:highlight w:val="none"/>
          <w:lang w:val="en-US" w:eastAsia="zh-CN"/>
        </w:rPr>
        <w:t>印刷</w:t>
      </w:r>
      <w:r>
        <w:rPr>
          <w:rFonts w:hint="eastAsia" w:ascii="仿宋_GB2312" w:hAnsi="Times New Roman" w:eastAsia="仿宋_GB2312"/>
          <w:b/>
          <w:bCs/>
          <w:sz w:val="28"/>
          <w:szCs w:val="28"/>
          <w:highlight w:val="none"/>
        </w:rPr>
        <w:t>组织创新</w:t>
      </w:r>
      <w:bookmarkEnd w:id="65"/>
    </w:p>
    <w:p>
      <w:pPr>
        <w:spacing w:line="360" w:lineRule="auto"/>
        <w:ind w:firstLine="560" w:firstLineChars="200"/>
        <w:outlineLvl w:val="1"/>
        <w:rPr>
          <w:rFonts w:eastAsia="仿宋_GB2312"/>
          <w:sz w:val="28"/>
          <w:szCs w:val="28"/>
          <w:highlight w:val="none"/>
        </w:rPr>
      </w:pPr>
      <w:bookmarkStart w:id="66" w:name="_Toc11373"/>
      <w:r>
        <w:rPr>
          <w:rFonts w:hint="eastAsia" w:ascii="仿宋_GB2312" w:hAnsi="Times New Roman" w:eastAsia="仿宋_GB2312"/>
          <w:sz w:val="28"/>
          <w:szCs w:val="28"/>
          <w:highlight w:val="none"/>
        </w:rPr>
        <w:t>鼓励数字内容提供商、技术提供商、平台提供商、运营提供商、终端提供商等参与主体，以资源为纽带，以技术为支持，以管理为手段，以市场为基础，以共享收益为机制，以产业链、价值链、创新链和服务链为纽带，创新产业模式，构建互利共生的产业形态；明晰数字</w:t>
      </w:r>
      <w:r>
        <w:rPr>
          <w:rFonts w:hint="eastAsia" w:ascii="仿宋_GB2312" w:hAnsi="Times New Roman" w:eastAsia="仿宋_GB2312"/>
          <w:sz w:val="28"/>
          <w:szCs w:val="28"/>
          <w:highlight w:val="none"/>
          <w:lang w:val="en-US" w:eastAsia="zh-CN"/>
        </w:rPr>
        <w:t>印刷</w:t>
      </w:r>
      <w:r>
        <w:rPr>
          <w:rFonts w:hint="eastAsia" w:ascii="仿宋_GB2312" w:hAnsi="Times New Roman" w:eastAsia="仿宋_GB2312"/>
          <w:sz w:val="28"/>
          <w:szCs w:val="28"/>
          <w:highlight w:val="none"/>
        </w:rPr>
        <w:t>产业链结构，把握全产业链发展路径、关键环节和升级方向；发挥龙头企业作用，实施“龙头+配套”“基地+基金”的战略，实现产业链联盟化发展；</w:t>
      </w:r>
      <w:r>
        <w:rPr>
          <w:rFonts w:hint="eastAsia" w:eastAsia="仿宋_GB2312"/>
          <w:sz w:val="28"/>
          <w:szCs w:val="28"/>
          <w:highlight w:val="none"/>
        </w:rPr>
        <w:t>发挥数字</w:t>
      </w:r>
      <w:r>
        <w:rPr>
          <w:rFonts w:hint="eastAsia" w:eastAsia="仿宋_GB2312"/>
          <w:sz w:val="28"/>
          <w:szCs w:val="28"/>
          <w:highlight w:val="none"/>
          <w:lang w:val="en-US" w:eastAsia="zh-CN"/>
        </w:rPr>
        <w:t>印刷</w:t>
      </w:r>
      <w:r>
        <w:rPr>
          <w:rFonts w:hint="eastAsia" w:eastAsia="仿宋_GB2312"/>
          <w:sz w:val="28"/>
          <w:szCs w:val="28"/>
          <w:highlight w:val="none"/>
        </w:rPr>
        <w:t>产业基地（园区）规模经济和范围经济效应，形成空间集聚发展态势。</w:t>
      </w:r>
      <w:bookmarkEnd w:id="66"/>
    </w:p>
    <w:p>
      <w:pPr>
        <w:spacing w:line="360" w:lineRule="auto"/>
        <w:ind w:firstLine="562" w:firstLineChars="200"/>
        <w:outlineLvl w:val="1"/>
        <w:rPr>
          <w:rFonts w:ascii="仿宋_GB2312" w:hAnsi="Times New Roman" w:eastAsia="仿宋_GB2312"/>
          <w:b/>
          <w:bCs/>
          <w:sz w:val="28"/>
          <w:szCs w:val="28"/>
          <w:highlight w:val="none"/>
        </w:rPr>
      </w:pPr>
      <w:bookmarkStart w:id="67" w:name="_Toc20438"/>
      <w:r>
        <w:rPr>
          <w:rFonts w:hint="eastAsia" w:ascii="仿宋_GB2312" w:hAnsi="Times New Roman" w:eastAsia="仿宋_GB2312"/>
          <w:b/>
          <w:bCs/>
          <w:sz w:val="28"/>
          <w:szCs w:val="28"/>
          <w:highlight w:val="none"/>
        </w:rPr>
        <w:t>3.营造数字出</w:t>
      </w:r>
      <w:r>
        <w:rPr>
          <w:rFonts w:hint="eastAsia" w:ascii="仿宋_GB2312" w:hAnsi="Times New Roman" w:eastAsia="仿宋_GB2312"/>
          <w:b/>
          <w:bCs/>
          <w:sz w:val="28"/>
          <w:szCs w:val="28"/>
          <w:highlight w:val="none"/>
          <w:lang w:val="en-US" w:eastAsia="zh-CN"/>
        </w:rPr>
        <w:t>印刷</w:t>
      </w:r>
      <w:r>
        <w:rPr>
          <w:rFonts w:hint="eastAsia" w:ascii="仿宋_GB2312" w:hAnsi="Times New Roman" w:eastAsia="仿宋_GB2312"/>
          <w:b/>
          <w:bCs/>
          <w:sz w:val="28"/>
          <w:szCs w:val="28"/>
          <w:highlight w:val="none"/>
        </w:rPr>
        <w:t>新生态</w:t>
      </w:r>
      <w:bookmarkEnd w:id="67"/>
    </w:p>
    <w:p>
      <w:pPr>
        <w:spacing w:line="360" w:lineRule="auto"/>
        <w:ind w:firstLine="560" w:firstLineChars="200"/>
        <w:outlineLvl w:val="1"/>
        <w:rPr>
          <w:rFonts w:hint="eastAsia" w:eastAsia="仿宋_GB2312"/>
          <w:sz w:val="28"/>
          <w:szCs w:val="28"/>
          <w:highlight w:val="none"/>
        </w:rPr>
      </w:pPr>
      <w:bookmarkStart w:id="68" w:name="_Toc3473"/>
      <w:r>
        <w:rPr>
          <w:rFonts w:eastAsia="仿宋_GB2312"/>
          <w:sz w:val="28"/>
          <w:szCs w:val="28"/>
          <w:highlight w:val="none"/>
        </w:rPr>
        <w:t>着力破除体制机制障碍，</w:t>
      </w:r>
      <w:r>
        <w:rPr>
          <w:rFonts w:hint="eastAsia" w:eastAsia="仿宋_GB2312"/>
          <w:sz w:val="28"/>
          <w:szCs w:val="28"/>
          <w:highlight w:val="none"/>
        </w:rPr>
        <w:t>加快体制机制创新，</w:t>
      </w:r>
      <w:r>
        <w:rPr>
          <w:rFonts w:eastAsia="仿宋_GB2312"/>
          <w:sz w:val="28"/>
          <w:szCs w:val="28"/>
          <w:highlight w:val="none"/>
        </w:rPr>
        <w:t>充分激发各类主体</w:t>
      </w:r>
      <w:r>
        <w:rPr>
          <w:rFonts w:hint="eastAsia" w:eastAsia="仿宋_GB2312"/>
          <w:sz w:val="28"/>
          <w:szCs w:val="28"/>
          <w:highlight w:val="none"/>
        </w:rPr>
        <w:t>的</w:t>
      </w:r>
      <w:r>
        <w:rPr>
          <w:rFonts w:eastAsia="仿宋_GB2312"/>
          <w:sz w:val="28"/>
          <w:szCs w:val="28"/>
          <w:highlight w:val="none"/>
        </w:rPr>
        <w:t>创新活力</w:t>
      </w:r>
      <w:r>
        <w:rPr>
          <w:rFonts w:hint="eastAsia" w:eastAsia="仿宋_GB2312"/>
          <w:sz w:val="28"/>
          <w:szCs w:val="28"/>
          <w:highlight w:val="none"/>
        </w:rPr>
        <w:t>；促进数字</w:t>
      </w:r>
      <w:r>
        <w:rPr>
          <w:rFonts w:hint="eastAsia" w:eastAsia="仿宋_GB2312"/>
          <w:sz w:val="28"/>
          <w:szCs w:val="28"/>
          <w:highlight w:val="none"/>
          <w:lang w:val="en-US" w:eastAsia="zh-CN"/>
        </w:rPr>
        <w:t>印刷</w:t>
      </w:r>
      <w:r>
        <w:rPr>
          <w:rFonts w:hint="eastAsia" w:eastAsia="仿宋_GB2312"/>
          <w:sz w:val="28"/>
          <w:szCs w:val="28"/>
          <w:highlight w:val="none"/>
        </w:rPr>
        <w:t>人才、技术、资本等要素的交换互动，激发创新因素，营造动态、开放和循环的宏观环境；发挥市场主体的中介组织作用，搭建各类创新资源流转平台，实现创新资源高效流转，促进创新资源广泛利用，挖掘创新资源潜在价值；深化行政审批制度改革，建立更加开放透明的市场准入管理模式，构建“服务精准化、管理规范化、政务信息化”三位一体的政务服务体系，打造一流营商环境。</w:t>
      </w:r>
      <w:bookmarkEnd w:id="62"/>
      <w:bookmarkEnd w:id="68"/>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0" w:type="dxa"/>
            <w:gridSpan w:val="2"/>
          </w:tcPr>
          <w:p>
            <w:pPr>
              <w:jc w:val="center"/>
              <w:rPr>
                <w:rFonts w:hint="default" w:ascii="仿宋_GB2312" w:eastAsia="仿宋_GB2312"/>
                <w:b/>
                <w:color w:val="000000" w:themeColor="text1"/>
                <w:sz w:val="24"/>
                <w:szCs w:val="24"/>
                <w:highlight w:val="none"/>
                <w:lang w:val="en-US" w:eastAsia="zh-CN"/>
                <w14:textFill>
                  <w14:solidFill>
                    <w14:schemeClr w14:val="tx1"/>
                  </w14:solidFill>
                </w14:textFill>
              </w:rPr>
            </w:pPr>
            <w:r>
              <w:rPr>
                <w:rFonts w:hint="eastAsia" w:ascii="仿宋_GB2312" w:hAnsi="Times New Roman" w:eastAsia="仿宋_GB2312"/>
                <w:b/>
                <w:bCs/>
                <w:color w:val="000000" w:themeColor="text1"/>
                <w:sz w:val="24"/>
                <w:szCs w:val="24"/>
                <w:highlight w:val="none"/>
                <w14:textFill>
                  <w14:solidFill>
                    <w14:schemeClr w14:val="tx1"/>
                  </w14:solidFill>
                </w14:textFill>
              </w:rPr>
              <w:t>专栏</w:t>
            </w:r>
            <w:r>
              <w:rPr>
                <w:rFonts w:hint="eastAsia" w:ascii="仿宋_GB2312" w:hAnsi="Times New Roman" w:eastAsia="仿宋_GB2312"/>
                <w:b/>
                <w:bCs/>
                <w:color w:val="000000" w:themeColor="text1"/>
                <w:sz w:val="24"/>
                <w:szCs w:val="24"/>
                <w:highlight w:val="none"/>
                <w:lang w:val="en-US" w:eastAsia="zh-CN"/>
                <w14:textFill>
                  <w14:solidFill>
                    <w14:schemeClr w14:val="tx1"/>
                  </w14:solidFill>
                </w14:textFill>
              </w:rPr>
              <w:t>8：数字印刷工程重点项目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tcPr>
          <w:p>
            <w:pPr>
              <w:jc w:val="center"/>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项目名称</w:t>
            </w:r>
          </w:p>
        </w:tc>
        <w:tc>
          <w:tcPr>
            <w:tcW w:w="6662" w:type="dxa"/>
          </w:tcPr>
          <w:p>
            <w:pPr>
              <w:jc w:val="center"/>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项目内容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jc w:val="center"/>
              <w:rPr>
                <w:rFonts w:hint="default" w:ascii="仿宋_GB2312" w:eastAsia="仿宋_GB2312"/>
                <w:color w:val="000000" w:themeColor="text1"/>
                <w:sz w:val="24"/>
                <w:szCs w:val="24"/>
                <w:highlight w:val="none"/>
                <w:lang w:val="en-US" w:eastAsia="zh-CN"/>
                <w14:textFill>
                  <w14:solidFill>
                    <w14:schemeClr w14:val="tx1"/>
                  </w14:solidFill>
                </w14:textFill>
              </w:rPr>
            </w:pPr>
            <w:r>
              <w:rPr>
                <w:rFonts w:hint="eastAsia" w:ascii="仿宋_GB2312" w:eastAsia="仿宋_GB2312"/>
                <w:color w:val="000000" w:themeColor="text1"/>
                <w:sz w:val="24"/>
                <w:szCs w:val="24"/>
                <w:highlight w:val="none"/>
                <w:lang w:eastAsia="zh-CN"/>
                <w14:textFill>
                  <w14:solidFill>
                    <w14:schemeClr w14:val="tx1"/>
                  </w14:solidFill>
                </w14:textFill>
              </w:rPr>
              <w:t>六安数字印刷产业聚集区</w:t>
            </w:r>
          </w:p>
        </w:tc>
        <w:tc>
          <w:tcPr>
            <w:tcW w:w="6662" w:type="dxa"/>
          </w:tcPr>
          <w:p>
            <w:pPr>
              <w:rPr>
                <w:rFonts w:hint="eastAsia" w:ascii="仿宋_GB2312" w:hAnsi="Times New Roman" w:eastAsia="仿宋_GB2312"/>
                <w:color w:val="000000" w:themeColor="text1"/>
                <w:sz w:val="24"/>
                <w:szCs w:val="24"/>
                <w:highlight w:val="none"/>
                <w:lang w:eastAsia="zh-CN"/>
                <w14:textFill>
                  <w14:solidFill>
                    <w14:schemeClr w14:val="tx1"/>
                  </w14:solidFill>
                </w14:textFill>
              </w:rPr>
            </w:pPr>
            <w:r>
              <w:rPr>
                <w:rFonts w:hint="eastAsia" w:ascii="仿宋_GB2312" w:eastAsia="仿宋_GB2312"/>
                <w:color w:val="000000" w:themeColor="text1"/>
                <w:sz w:val="24"/>
                <w:szCs w:val="24"/>
                <w:highlight w:val="none"/>
                <w:lang w:eastAsia="zh-CN"/>
                <w14:textFill>
                  <w14:solidFill>
                    <w14:schemeClr w14:val="tx1"/>
                  </w14:solidFill>
                </w14:textFill>
              </w:rPr>
              <w:t>旨在利用互联网来实现企业自身构建网络营销、信息化的管理和运营；利用先进的网络技术和独特的设计软件，架构含创意、设计、数字印刷、产品开发、个性装订、包装设计制作等多方面交流合作的网络平台，让数字印刷和电子商务有效结合，引领印刷行业走向新台阶。</w:t>
            </w:r>
          </w:p>
        </w:tc>
      </w:tr>
    </w:tbl>
    <w:p>
      <w:pPr>
        <w:spacing w:line="360" w:lineRule="auto"/>
        <w:ind w:firstLine="560" w:firstLineChars="200"/>
        <w:outlineLvl w:val="1"/>
        <w:rPr>
          <w:rFonts w:hint="eastAsia" w:eastAsia="仿宋_GB2312"/>
          <w:sz w:val="28"/>
          <w:szCs w:val="28"/>
          <w:highlight w:val="none"/>
        </w:rPr>
      </w:pPr>
    </w:p>
    <w:p>
      <w:pPr>
        <w:pStyle w:val="3"/>
        <w:spacing w:line="360" w:lineRule="auto"/>
        <w:ind w:firstLine="643"/>
        <w:rPr>
          <w:highlight w:val="none"/>
        </w:rPr>
      </w:pPr>
      <w:bookmarkStart w:id="69" w:name="_Toc20783"/>
      <w:r>
        <w:rPr>
          <w:rFonts w:hint="eastAsia"/>
          <w:highlight w:val="none"/>
        </w:rPr>
        <w:t>（</w:t>
      </w:r>
      <w:r>
        <w:rPr>
          <w:rFonts w:hint="eastAsia"/>
          <w:highlight w:val="none"/>
          <w:lang w:val="en-US" w:eastAsia="zh-CN"/>
        </w:rPr>
        <w:t>九</w:t>
      </w:r>
      <w:r>
        <w:rPr>
          <w:rFonts w:hint="eastAsia"/>
          <w:highlight w:val="none"/>
        </w:rPr>
        <w:t>）元宇宙数字体验工程</w:t>
      </w:r>
      <w:bookmarkEnd w:id="69"/>
    </w:p>
    <w:p>
      <w:pPr>
        <w:spacing w:line="360" w:lineRule="auto"/>
        <w:ind w:firstLine="560" w:firstLineChars="200"/>
        <w:outlineLvl w:val="1"/>
        <w:rPr>
          <w:rFonts w:eastAsia="仿宋_GB2312"/>
          <w:sz w:val="28"/>
          <w:szCs w:val="28"/>
          <w:highlight w:val="none"/>
        </w:rPr>
      </w:pPr>
      <w:bookmarkStart w:id="70" w:name="_Toc29141"/>
      <w:r>
        <w:rPr>
          <w:rFonts w:hint="eastAsia" w:eastAsia="仿宋_GB2312"/>
          <w:sz w:val="28"/>
          <w:szCs w:val="28"/>
          <w:highlight w:val="none"/>
        </w:rPr>
        <w:t>抓住元宇宙相关概念产业发展机遇，营造数字创意时代敢于创新，敢为人先的行业氛围，重点建设相关旅游景区项目，形成区域旅游闪光点，提升旅游综合竞争力。以元宇宙建设丰富城市内涵为目标，争做区域元宇宙建设时代排头兵。</w:t>
      </w:r>
      <w:bookmarkEnd w:id="70"/>
    </w:p>
    <w:p>
      <w:pPr>
        <w:spacing w:line="360" w:lineRule="auto"/>
        <w:ind w:firstLine="562" w:firstLineChars="200"/>
        <w:outlineLvl w:val="1"/>
        <w:rPr>
          <w:rFonts w:eastAsia="仿宋_GB2312"/>
          <w:b/>
          <w:bCs/>
          <w:sz w:val="28"/>
          <w:szCs w:val="28"/>
          <w:highlight w:val="none"/>
        </w:rPr>
      </w:pPr>
      <w:bookmarkStart w:id="71" w:name="_Toc26514"/>
      <w:r>
        <w:rPr>
          <w:rFonts w:hint="eastAsia" w:eastAsia="仿宋_GB2312"/>
          <w:b/>
          <w:bCs/>
          <w:sz w:val="28"/>
          <w:szCs w:val="28"/>
          <w:highlight w:val="none"/>
        </w:rPr>
        <w:t>1.加强元宇宙知识普及</w:t>
      </w:r>
      <w:bookmarkEnd w:id="71"/>
    </w:p>
    <w:p>
      <w:pPr>
        <w:spacing w:line="360" w:lineRule="auto"/>
        <w:ind w:firstLine="560" w:firstLineChars="200"/>
        <w:outlineLvl w:val="1"/>
        <w:rPr>
          <w:rFonts w:eastAsia="仿宋_GB2312"/>
          <w:sz w:val="28"/>
          <w:szCs w:val="28"/>
          <w:highlight w:val="none"/>
        </w:rPr>
      </w:pPr>
      <w:bookmarkStart w:id="72" w:name="_Toc28865"/>
      <w:r>
        <w:rPr>
          <w:rFonts w:hint="eastAsia" w:eastAsia="仿宋_GB2312"/>
          <w:sz w:val="28"/>
          <w:szCs w:val="28"/>
          <w:highlight w:val="none"/>
        </w:rPr>
        <w:t>大力开展元宇宙相关知识教育普及活动，提升数字创意产业从业人员综合素质，营造创新，进步，发展的行业学习氛围，紧扣行业时代发展热点，加速区域相关产业建设发展。</w:t>
      </w:r>
      <w:bookmarkEnd w:id="72"/>
    </w:p>
    <w:p>
      <w:pPr>
        <w:spacing w:line="360" w:lineRule="auto"/>
        <w:ind w:firstLine="562" w:firstLineChars="200"/>
        <w:outlineLvl w:val="1"/>
        <w:rPr>
          <w:rFonts w:eastAsia="仿宋_GB2312"/>
          <w:b/>
          <w:bCs/>
          <w:sz w:val="28"/>
          <w:szCs w:val="28"/>
          <w:highlight w:val="none"/>
        </w:rPr>
      </w:pPr>
      <w:bookmarkStart w:id="73" w:name="_Toc429"/>
      <w:r>
        <w:rPr>
          <w:rFonts w:hint="eastAsia" w:eastAsia="仿宋_GB2312"/>
          <w:b/>
          <w:bCs/>
          <w:sz w:val="28"/>
          <w:szCs w:val="28"/>
          <w:highlight w:val="none"/>
        </w:rPr>
        <w:t>2.推进元宇宙相关旅游建设</w:t>
      </w:r>
      <w:bookmarkEnd w:id="73"/>
    </w:p>
    <w:p>
      <w:pPr>
        <w:spacing w:line="360" w:lineRule="auto"/>
        <w:ind w:firstLine="560" w:firstLineChars="200"/>
        <w:outlineLvl w:val="1"/>
        <w:rPr>
          <w:rFonts w:eastAsia="仿宋_GB2312"/>
          <w:sz w:val="28"/>
          <w:szCs w:val="28"/>
          <w:highlight w:val="none"/>
        </w:rPr>
      </w:pPr>
      <w:bookmarkStart w:id="74" w:name="_Toc18026"/>
      <w:r>
        <w:rPr>
          <w:rFonts w:hint="eastAsia" w:eastAsia="仿宋_GB2312"/>
          <w:sz w:val="28"/>
          <w:szCs w:val="28"/>
          <w:highlight w:val="none"/>
        </w:rPr>
        <w:t>重点建设相关旅游度假区项目，以元宇宙概念为核心，为区域旅游开发新的增长点，吸引本地和外来旅游人群。打造科技旅游标杆项目，实现室内外互动，虚拟现实互动的目标。开发度假区虚拟游览观光体验，做到真正的线上线下双联动，虚实融合的旅游项目建设。抓住元宇宙发展契机，提升六安市城市知名度，争做区域相关旅游开发项目先导者。</w:t>
      </w:r>
      <w:bookmarkEnd w:id="74"/>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8"/>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080" w:type="dxa"/>
            <w:gridSpan w:val="2"/>
          </w:tcPr>
          <w:p>
            <w:pPr>
              <w:jc w:val="center"/>
              <w:rPr>
                <w:rFonts w:hint="default" w:ascii="仿宋_GB2312" w:eastAsia="仿宋_GB2312"/>
                <w:b/>
                <w:color w:val="000000" w:themeColor="text1"/>
                <w:sz w:val="24"/>
                <w:szCs w:val="24"/>
                <w:highlight w:val="none"/>
                <w:lang w:val="en-US" w:eastAsia="zh-CN"/>
                <w14:textFill>
                  <w14:solidFill>
                    <w14:schemeClr w14:val="tx1"/>
                  </w14:solidFill>
                </w14:textFill>
              </w:rPr>
            </w:pPr>
            <w:r>
              <w:rPr>
                <w:rFonts w:hint="eastAsia" w:ascii="仿宋_GB2312" w:hAnsi="Times New Roman" w:eastAsia="仿宋_GB2312"/>
                <w:b/>
                <w:bCs/>
                <w:color w:val="000000" w:themeColor="text1"/>
                <w:sz w:val="24"/>
                <w:szCs w:val="24"/>
                <w:highlight w:val="none"/>
                <w14:textFill>
                  <w14:solidFill>
                    <w14:schemeClr w14:val="tx1"/>
                  </w14:solidFill>
                </w14:textFill>
              </w:rPr>
              <w:t>专栏</w:t>
            </w:r>
            <w:r>
              <w:rPr>
                <w:rFonts w:hint="eastAsia" w:ascii="仿宋_GB2312" w:hAnsi="Times New Roman" w:eastAsia="仿宋_GB2312"/>
                <w:b/>
                <w:bCs/>
                <w:color w:val="000000" w:themeColor="text1"/>
                <w:sz w:val="24"/>
                <w:szCs w:val="24"/>
                <w:highlight w:val="none"/>
                <w:lang w:val="en-US" w:eastAsia="zh-CN"/>
                <w14:textFill>
                  <w14:solidFill>
                    <w14:schemeClr w14:val="tx1"/>
                  </w14:solidFill>
                </w14:textFill>
              </w:rPr>
              <w:t>9：元宇宙数字体验工程重点项目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tcPr>
          <w:p>
            <w:pPr>
              <w:jc w:val="center"/>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项目名称</w:t>
            </w:r>
          </w:p>
        </w:tc>
        <w:tc>
          <w:tcPr>
            <w:tcW w:w="6662" w:type="dxa"/>
          </w:tcPr>
          <w:p>
            <w:pPr>
              <w:jc w:val="center"/>
              <w:rPr>
                <w:rFonts w:ascii="仿宋_GB2312" w:eastAsia="仿宋_GB2312"/>
                <w:color w:val="000000" w:themeColor="text1"/>
                <w:sz w:val="24"/>
                <w:szCs w:val="24"/>
                <w:highlight w:val="none"/>
                <w14:textFill>
                  <w14:solidFill>
                    <w14:schemeClr w14:val="tx1"/>
                  </w14:solidFill>
                </w14:textFill>
              </w:rPr>
            </w:pPr>
            <w:r>
              <w:rPr>
                <w:rFonts w:hint="eastAsia" w:ascii="仿宋_GB2312" w:eastAsia="仿宋_GB2312"/>
                <w:color w:val="000000" w:themeColor="text1"/>
                <w:sz w:val="24"/>
                <w:szCs w:val="24"/>
                <w:highlight w:val="none"/>
                <w14:textFill>
                  <w14:solidFill>
                    <w14:schemeClr w14:val="tx1"/>
                  </w14:solidFill>
                </w14:textFill>
              </w:rPr>
              <w:t>项目内容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vAlign w:val="center"/>
          </w:tcPr>
          <w:p>
            <w:pPr>
              <w:rPr>
                <w:rFonts w:hint="eastAsia" w:ascii="仿宋_GB2312" w:eastAsia="仿宋_GB2312"/>
                <w:color w:val="000000" w:themeColor="text1"/>
                <w:sz w:val="24"/>
                <w:szCs w:val="24"/>
                <w:highlight w:val="none"/>
                <w:lang w:eastAsia="zh-CN"/>
                <w14:textFill>
                  <w14:solidFill>
                    <w14:schemeClr w14:val="tx1"/>
                  </w14:solidFill>
                </w14:textFill>
              </w:rPr>
            </w:pPr>
            <w:r>
              <w:rPr>
                <w:rFonts w:hint="eastAsia" w:ascii="仿宋_GB2312" w:eastAsia="仿宋_GB2312"/>
                <w:color w:val="000000" w:themeColor="text1"/>
                <w:sz w:val="24"/>
                <w:szCs w:val="24"/>
                <w:highlight w:val="none"/>
                <w:lang w:eastAsia="zh-CN"/>
                <w14:textFill>
                  <w14:solidFill>
                    <w14:schemeClr w14:val="tx1"/>
                  </w14:solidFill>
                </w14:textFill>
              </w:rPr>
              <w:t>六安元宇宙体验中心</w:t>
            </w:r>
          </w:p>
        </w:tc>
        <w:tc>
          <w:tcPr>
            <w:tcW w:w="6662" w:type="dxa"/>
          </w:tcPr>
          <w:p>
            <w:pPr>
              <w:rPr>
                <w:rFonts w:hint="eastAsia" w:ascii="仿宋_GB2312" w:eastAsia="仿宋_GB2312"/>
                <w:color w:val="000000" w:themeColor="text1"/>
                <w:sz w:val="24"/>
                <w:szCs w:val="24"/>
                <w:highlight w:val="none"/>
                <w:lang w:eastAsia="zh-CN"/>
                <w14:textFill>
                  <w14:solidFill>
                    <w14:schemeClr w14:val="tx1"/>
                  </w14:solidFill>
                </w14:textFill>
              </w:rPr>
            </w:pPr>
            <w:r>
              <w:rPr>
                <w:rFonts w:hint="eastAsia" w:ascii="仿宋_GB2312" w:eastAsia="仿宋_GB2312"/>
                <w:color w:val="000000" w:themeColor="text1"/>
                <w:sz w:val="24"/>
                <w:szCs w:val="24"/>
                <w:highlight w:val="none"/>
                <w:lang w:eastAsia="zh-CN"/>
                <w14:textFill>
                  <w14:solidFill>
                    <w14:schemeClr w14:val="tx1"/>
                  </w14:solidFill>
                </w14:textFill>
              </w:rPr>
              <w:t>以大别山（六安）悠然南山旅游度假区为载体，以元宇宙概念，未来科技城市风貌为主题，打造位居全国先锋梯队的元宇宙体验中心。</w:t>
            </w:r>
          </w:p>
        </w:tc>
      </w:tr>
    </w:tbl>
    <w:p>
      <w:pPr>
        <w:pStyle w:val="2"/>
        <w:spacing w:line="360" w:lineRule="auto"/>
        <w:ind w:firstLine="602"/>
        <w:rPr>
          <w:rFonts w:hint="eastAsia"/>
          <w:color w:val="auto"/>
          <w:highlight w:val="none"/>
        </w:rPr>
      </w:pPr>
    </w:p>
    <w:p>
      <w:pPr>
        <w:pStyle w:val="2"/>
        <w:spacing w:line="360" w:lineRule="auto"/>
        <w:ind w:firstLine="602"/>
        <w:rPr>
          <w:color w:val="auto"/>
          <w:highlight w:val="none"/>
        </w:rPr>
      </w:pPr>
      <w:bookmarkStart w:id="75" w:name="_Toc23266"/>
      <w:r>
        <w:rPr>
          <w:rFonts w:hint="eastAsia"/>
          <w:color w:val="auto"/>
          <w:highlight w:val="none"/>
        </w:rPr>
        <w:t>五、保障措施</w:t>
      </w:r>
      <w:bookmarkEnd w:id="47"/>
      <w:bookmarkEnd w:id="48"/>
      <w:bookmarkEnd w:id="75"/>
    </w:p>
    <w:p>
      <w:pPr>
        <w:pStyle w:val="3"/>
        <w:spacing w:line="360" w:lineRule="auto"/>
        <w:ind w:firstLine="643"/>
        <w:rPr>
          <w:rFonts w:hint="eastAsia" w:eastAsia="楷体_GB2312"/>
          <w:highlight w:val="none"/>
          <w:lang w:eastAsia="zh-CN"/>
        </w:rPr>
      </w:pPr>
      <w:bookmarkStart w:id="76" w:name="_Toc16661"/>
      <w:bookmarkStart w:id="77" w:name="_Toc27865"/>
      <w:bookmarkStart w:id="78" w:name="_Toc23007"/>
      <w:r>
        <w:rPr>
          <w:rFonts w:hint="eastAsia"/>
          <w:highlight w:val="none"/>
        </w:rPr>
        <w:t>（一）</w:t>
      </w:r>
      <w:bookmarkEnd w:id="76"/>
      <w:bookmarkEnd w:id="77"/>
      <w:r>
        <w:rPr>
          <w:rFonts w:hint="eastAsia"/>
          <w:highlight w:val="none"/>
        </w:rPr>
        <w:t>加强组织领导</w:t>
      </w:r>
      <w:bookmarkEnd w:id="78"/>
    </w:p>
    <w:p>
      <w:pPr>
        <w:snapToGrid w:val="0"/>
        <w:spacing w:line="360" w:lineRule="auto"/>
        <w:ind w:firstLine="560" w:firstLineChars="200"/>
        <w:rPr>
          <w:rFonts w:ascii="仿宋_GB2312" w:hAnsi="Times New Roman" w:eastAsia="仿宋_GB2312"/>
          <w:sz w:val="28"/>
          <w:szCs w:val="28"/>
          <w:highlight w:val="none"/>
        </w:rPr>
      </w:pPr>
      <w:bookmarkStart w:id="79" w:name="_Toc26828"/>
      <w:r>
        <w:rPr>
          <w:rFonts w:hint="eastAsia" w:ascii="仿宋_GB2312" w:hAnsi="Times New Roman" w:eastAsia="仿宋_GB2312"/>
          <w:sz w:val="28"/>
          <w:szCs w:val="28"/>
          <w:highlight w:val="none"/>
        </w:rPr>
        <w:t>加强对规划实施的统筹指导，落实推进数字创意产业发展的责任主体，统筹协调政府相关职能部门，</w:t>
      </w:r>
      <w:r>
        <w:rPr>
          <w:rFonts w:hint="eastAsia" w:ascii="仿宋_GB2312" w:hAnsi="Times New Roman" w:eastAsia="仿宋_GB2312"/>
          <w:sz w:val="28"/>
          <w:szCs w:val="28"/>
          <w:highlight w:val="none"/>
          <w:lang w:eastAsia="zh-CN"/>
        </w:rPr>
        <w:t>强化数字创意产业链长制，统筹</w:t>
      </w:r>
      <w:r>
        <w:rPr>
          <w:rFonts w:hint="eastAsia" w:ascii="仿宋_GB2312" w:hAnsi="Times New Roman" w:eastAsia="仿宋_GB2312"/>
          <w:sz w:val="28"/>
          <w:szCs w:val="28"/>
          <w:highlight w:val="none"/>
        </w:rPr>
        <w:t>规划</w:t>
      </w:r>
      <w:r>
        <w:rPr>
          <w:rFonts w:hint="eastAsia" w:ascii="仿宋_GB2312" w:hAnsi="Times New Roman" w:eastAsia="仿宋_GB2312"/>
          <w:sz w:val="28"/>
          <w:szCs w:val="28"/>
          <w:highlight w:val="none"/>
          <w:lang w:eastAsia="zh-CN"/>
        </w:rPr>
        <w:t>、协调</w:t>
      </w:r>
      <w:r>
        <w:rPr>
          <w:rFonts w:hint="eastAsia" w:ascii="仿宋_GB2312" w:hAnsi="Times New Roman" w:eastAsia="仿宋_GB2312"/>
          <w:sz w:val="28"/>
          <w:szCs w:val="28"/>
          <w:highlight w:val="none"/>
        </w:rPr>
        <w:t>实施相关工作，及时研究解决工作</w:t>
      </w:r>
      <w:r>
        <w:rPr>
          <w:rFonts w:hint="eastAsia" w:ascii="仿宋_GB2312" w:hAnsi="Times New Roman" w:eastAsia="仿宋_GB2312"/>
          <w:sz w:val="28"/>
          <w:szCs w:val="28"/>
          <w:highlight w:val="none"/>
          <w:lang w:eastAsia="zh-CN"/>
        </w:rPr>
        <w:t>推进</w:t>
      </w:r>
      <w:r>
        <w:rPr>
          <w:rFonts w:hint="eastAsia" w:ascii="仿宋_GB2312" w:hAnsi="Times New Roman" w:eastAsia="仿宋_GB2312"/>
          <w:sz w:val="28"/>
          <w:szCs w:val="28"/>
          <w:highlight w:val="none"/>
        </w:rPr>
        <w:t xml:space="preserve">中存在的问题。将数字创意产业发展成效和基地建设推进情况与干部考核、评先评优和选拔任用挂钩，建立优胜劣汰、动态调整的产业管理机制，突出奖惩激励导向。加强与上级领导机构沟通交流，在创新资源布局、重大项目安排、公共平台建设、政策先试先行、审批绿色通道等方面积极争取上级支持。 </w:t>
      </w:r>
    </w:p>
    <w:p>
      <w:pPr>
        <w:pStyle w:val="3"/>
        <w:spacing w:line="360" w:lineRule="auto"/>
        <w:ind w:firstLine="643"/>
        <w:rPr>
          <w:highlight w:val="none"/>
        </w:rPr>
      </w:pPr>
      <w:bookmarkStart w:id="80" w:name="_Toc14954"/>
      <w:bookmarkStart w:id="81" w:name="_Toc17868"/>
      <w:r>
        <w:rPr>
          <w:rFonts w:hint="eastAsia"/>
          <w:highlight w:val="none"/>
        </w:rPr>
        <w:t>（二）加大政策扶持</w:t>
      </w:r>
      <w:bookmarkEnd w:id="79"/>
      <w:bookmarkEnd w:id="80"/>
      <w:bookmarkEnd w:id="81"/>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积极加大政策扶持力度，重点在数字基础设施提升、市场主体培育、数字技术创新、数字创意产业试验区建设等方面增加政策投入。要完善数字创意产业政策实施保障措施，制定完善政策实施细则，明确政策实施部门。强化政策导向，引导政策由结构性倾斜向支持关键环节的功能性政策为主、兼顾结构性政策的转变。加强对政策的宣传推广，积极开展政策解读工作。</w:t>
      </w:r>
    </w:p>
    <w:p>
      <w:pPr>
        <w:pStyle w:val="3"/>
        <w:spacing w:line="360" w:lineRule="auto"/>
        <w:ind w:firstLine="643"/>
        <w:rPr>
          <w:highlight w:val="none"/>
        </w:rPr>
      </w:pPr>
      <w:bookmarkStart w:id="82" w:name="_Toc17389"/>
      <w:bookmarkStart w:id="83" w:name="_Toc2100"/>
      <w:bookmarkStart w:id="84" w:name="_Toc8008"/>
      <w:r>
        <w:rPr>
          <w:rFonts w:hint="eastAsia"/>
          <w:highlight w:val="none"/>
        </w:rPr>
        <w:t>（三）优化营商环境</w:t>
      </w:r>
      <w:bookmarkEnd w:id="82"/>
      <w:bookmarkEnd w:id="83"/>
      <w:bookmarkEnd w:id="84"/>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完善数字</w:t>
      </w:r>
      <w:r>
        <w:rPr>
          <w:rFonts w:hint="eastAsia" w:ascii="仿宋_GB2312" w:hAnsi="Times New Roman" w:eastAsia="仿宋_GB2312"/>
          <w:sz w:val="28"/>
          <w:szCs w:val="28"/>
          <w:highlight w:val="none"/>
          <w:lang w:val="en-US" w:eastAsia="zh-CN"/>
        </w:rPr>
        <w:t>创意</w:t>
      </w:r>
      <w:r>
        <w:rPr>
          <w:rFonts w:hint="eastAsia" w:ascii="仿宋_GB2312" w:hAnsi="Times New Roman" w:eastAsia="仿宋_GB2312"/>
          <w:sz w:val="28"/>
          <w:szCs w:val="28"/>
          <w:highlight w:val="none"/>
        </w:rPr>
        <w:t>产业发展环境，坚持“零障碍、低成本、高效率”原则，通过优化营商环境和服务质量，提高数字</w:t>
      </w:r>
      <w:r>
        <w:rPr>
          <w:rFonts w:hint="eastAsia" w:ascii="仿宋_GB2312" w:hAnsi="Times New Roman" w:eastAsia="仿宋_GB2312"/>
          <w:sz w:val="28"/>
          <w:szCs w:val="28"/>
          <w:highlight w:val="none"/>
          <w:lang w:val="en-US" w:eastAsia="zh-CN"/>
        </w:rPr>
        <w:t>创意产业</w:t>
      </w:r>
      <w:r>
        <w:rPr>
          <w:rFonts w:hint="eastAsia" w:ascii="仿宋_GB2312" w:hAnsi="Times New Roman" w:eastAsia="仿宋_GB2312"/>
          <w:sz w:val="28"/>
          <w:szCs w:val="28"/>
          <w:highlight w:val="none"/>
        </w:rPr>
        <w:t>发展软实力。简化涉企行政审批事项，降低数字</w:t>
      </w:r>
      <w:r>
        <w:rPr>
          <w:rFonts w:hint="eastAsia" w:ascii="仿宋_GB2312" w:hAnsi="Times New Roman" w:eastAsia="仿宋_GB2312"/>
          <w:sz w:val="28"/>
          <w:szCs w:val="28"/>
          <w:highlight w:val="none"/>
          <w:lang w:val="en-US" w:eastAsia="zh-CN"/>
        </w:rPr>
        <w:t>创意</w:t>
      </w:r>
      <w:r>
        <w:rPr>
          <w:rFonts w:hint="eastAsia" w:ascii="仿宋_GB2312" w:hAnsi="Times New Roman" w:eastAsia="仿宋_GB2312"/>
          <w:sz w:val="28"/>
          <w:szCs w:val="28"/>
          <w:highlight w:val="none"/>
        </w:rPr>
        <w:t>新业态企业设立门槛。制定数据资源和数字</w:t>
      </w:r>
      <w:r>
        <w:rPr>
          <w:rFonts w:hint="eastAsia" w:ascii="仿宋_GB2312" w:hAnsi="Times New Roman" w:eastAsia="仿宋_GB2312"/>
          <w:sz w:val="28"/>
          <w:szCs w:val="28"/>
          <w:highlight w:val="none"/>
          <w:lang w:val="en-US" w:eastAsia="zh-CN"/>
        </w:rPr>
        <w:t>创意</w:t>
      </w:r>
      <w:r>
        <w:rPr>
          <w:rFonts w:hint="eastAsia" w:ascii="仿宋_GB2312" w:hAnsi="Times New Roman" w:eastAsia="仿宋_GB2312"/>
          <w:sz w:val="28"/>
          <w:szCs w:val="28"/>
          <w:highlight w:val="none"/>
        </w:rPr>
        <w:t>产业化相关技术标准，完善数字</w:t>
      </w:r>
      <w:r>
        <w:rPr>
          <w:rFonts w:hint="eastAsia" w:ascii="仿宋_GB2312" w:hAnsi="Times New Roman" w:eastAsia="仿宋_GB2312"/>
          <w:sz w:val="28"/>
          <w:szCs w:val="28"/>
          <w:highlight w:val="none"/>
          <w:lang w:val="en-US" w:eastAsia="zh-CN"/>
        </w:rPr>
        <w:t>创意产业</w:t>
      </w:r>
      <w:r>
        <w:rPr>
          <w:rFonts w:hint="eastAsia" w:ascii="仿宋_GB2312" w:hAnsi="Times New Roman" w:eastAsia="仿宋_GB2312"/>
          <w:sz w:val="28"/>
          <w:szCs w:val="28"/>
          <w:highlight w:val="none"/>
        </w:rPr>
        <w:t>相关的数据采集、处理、分析、共享、交易等制度规范，构建数据资源高效配置的制度环境。完善知识产权保护措施，加强数字技术核心知识产权的保护力度。</w:t>
      </w:r>
    </w:p>
    <w:p>
      <w:pPr>
        <w:pStyle w:val="3"/>
        <w:spacing w:line="360" w:lineRule="auto"/>
        <w:ind w:firstLine="643"/>
        <w:rPr>
          <w:highlight w:val="none"/>
        </w:rPr>
      </w:pPr>
      <w:bookmarkStart w:id="85" w:name="_Toc27172"/>
      <w:bookmarkStart w:id="86" w:name="_Toc1430"/>
      <w:bookmarkStart w:id="87" w:name="_Toc30914"/>
      <w:r>
        <w:rPr>
          <w:rFonts w:hint="eastAsia"/>
          <w:highlight w:val="none"/>
        </w:rPr>
        <w:t>（四）深化开放合作</w:t>
      </w:r>
      <w:bookmarkEnd w:id="85"/>
      <w:bookmarkEnd w:id="86"/>
      <w:bookmarkEnd w:id="87"/>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加强长三角城市群区域合作与交流。深化长三角数字创意产业领域的交流与合作，以数字创意产业带动技术、资本、人才等要素资源的汇聚，推进区域数字</w:t>
      </w:r>
      <w:r>
        <w:rPr>
          <w:rFonts w:hint="eastAsia" w:ascii="仿宋_GB2312" w:hAnsi="Times New Roman" w:eastAsia="仿宋_GB2312"/>
          <w:sz w:val="28"/>
          <w:szCs w:val="28"/>
          <w:highlight w:val="none"/>
          <w:lang w:val="en-US" w:eastAsia="zh-CN"/>
        </w:rPr>
        <w:t>创意产业</w:t>
      </w:r>
      <w:r>
        <w:rPr>
          <w:rFonts w:hint="eastAsia" w:ascii="仿宋_GB2312" w:hAnsi="Times New Roman" w:eastAsia="仿宋_GB2312"/>
          <w:sz w:val="28"/>
          <w:szCs w:val="28"/>
          <w:highlight w:val="none"/>
        </w:rPr>
        <w:t>一体化发展。深化与市际、省际间数字创意产业领域的合作与交流，积极推进知名企业在六安设立区域总部或研发中心。</w:t>
      </w:r>
    </w:p>
    <w:p>
      <w:pPr>
        <w:pStyle w:val="3"/>
        <w:spacing w:line="360" w:lineRule="auto"/>
        <w:ind w:firstLine="643"/>
        <w:rPr>
          <w:highlight w:val="none"/>
        </w:rPr>
      </w:pPr>
      <w:bookmarkStart w:id="88" w:name="_Toc10545"/>
      <w:bookmarkStart w:id="89" w:name="_Toc18758"/>
      <w:bookmarkStart w:id="90" w:name="_Toc24776"/>
      <w:r>
        <w:rPr>
          <w:rFonts w:hint="eastAsia"/>
          <w:highlight w:val="none"/>
        </w:rPr>
        <w:t>（五）加强监测评估</w:t>
      </w:r>
      <w:bookmarkEnd w:id="88"/>
      <w:bookmarkEnd w:id="89"/>
      <w:bookmarkEnd w:id="90"/>
    </w:p>
    <w:p>
      <w:pPr>
        <w:snapToGrid w:val="0"/>
        <w:spacing w:line="360" w:lineRule="auto"/>
        <w:ind w:firstLine="560" w:firstLineChars="200"/>
        <w:rPr>
          <w:rFonts w:ascii="仿宋_GB2312" w:hAnsi="Times New Roman" w:eastAsia="仿宋_GB2312"/>
          <w:sz w:val="28"/>
          <w:szCs w:val="28"/>
          <w:highlight w:val="none"/>
        </w:rPr>
      </w:pPr>
      <w:r>
        <w:rPr>
          <w:rFonts w:hint="eastAsia" w:ascii="仿宋_GB2312" w:hAnsi="Times New Roman" w:eastAsia="仿宋_GB2312"/>
          <w:sz w:val="28"/>
          <w:szCs w:val="28"/>
          <w:highlight w:val="none"/>
        </w:rPr>
        <w:t>完善监测评估制度，提升监测评估能力，强化对规划实施情况的跟踪分析。各相关部门每年要对规划中本行业本领域实施情况进行评估，尤其是主要预期性指标和重大项目完成情况。在规划实施的中期阶段，由</w:t>
      </w:r>
      <w:r>
        <w:rPr>
          <w:rFonts w:hint="eastAsia" w:ascii="仿宋_GB2312" w:hAnsi="Times New Roman" w:eastAsia="仿宋_GB2312"/>
          <w:sz w:val="28"/>
          <w:szCs w:val="28"/>
          <w:highlight w:val="none"/>
          <w:lang w:eastAsia="zh-CN"/>
        </w:rPr>
        <w:t>市数字创意与现代服务业产业链推进组牵头</w:t>
      </w:r>
      <w:r>
        <w:rPr>
          <w:rFonts w:hint="eastAsia" w:ascii="仿宋_GB2312" w:hAnsi="Times New Roman" w:eastAsia="仿宋_GB2312"/>
          <w:sz w:val="28"/>
          <w:szCs w:val="28"/>
          <w:highlight w:val="none"/>
        </w:rPr>
        <w:t>，全面评估规划执行情况，协调解决规划实施中的问题。</w:t>
      </w:r>
    </w:p>
    <w:p>
      <w:pPr>
        <w:spacing w:line="360" w:lineRule="auto"/>
        <w:rPr>
          <w:rFonts w:ascii="仿宋_GB2312" w:hAnsi="仿宋_GB2312" w:eastAsia="仿宋_GB2312" w:cs="仿宋_GB2312"/>
          <w:sz w:val="32"/>
          <w:szCs w:val="32"/>
          <w:highlight w:val="none"/>
        </w:rPr>
      </w:pPr>
    </w:p>
    <w:p>
      <w:pPr>
        <w:spacing w:line="360" w:lineRule="auto"/>
        <w:ind w:firstLine="640" w:firstLineChars="200"/>
        <w:rPr>
          <w:rFonts w:ascii="仿宋_GB2312" w:hAnsi="仿宋_GB2312" w:eastAsia="仿宋_GB2312" w:cs="仿宋_GB2312"/>
          <w:sz w:val="32"/>
          <w:szCs w:val="32"/>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200001FF"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272F8"/>
    <w:multiLevelType w:val="singleLevel"/>
    <w:tmpl w:val="CDF272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xODRmZjE1Y2ZhODhiNDAxMzQxYTA4YjBiNTliNDQifQ=="/>
  </w:docVars>
  <w:rsids>
    <w:rsidRoot w:val="09EF4753"/>
    <w:rsid w:val="000018D7"/>
    <w:rsid w:val="00002091"/>
    <w:rsid w:val="00002C30"/>
    <w:rsid w:val="00020A90"/>
    <w:rsid w:val="00024B5F"/>
    <w:rsid w:val="00046989"/>
    <w:rsid w:val="0005589D"/>
    <w:rsid w:val="00061A5B"/>
    <w:rsid w:val="00064C07"/>
    <w:rsid w:val="00096C88"/>
    <w:rsid w:val="00097346"/>
    <w:rsid w:val="00097BAC"/>
    <w:rsid w:val="000B3812"/>
    <w:rsid w:val="000B571E"/>
    <w:rsid w:val="000B5B3F"/>
    <w:rsid w:val="000C4CE6"/>
    <w:rsid w:val="000E1B8C"/>
    <w:rsid w:val="000E6CE2"/>
    <w:rsid w:val="000F2988"/>
    <w:rsid w:val="001024E1"/>
    <w:rsid w:val="00110766"/>
    <w:rsid w:val="001119AD"/>
    <w:rsid w:val="00124E02"/>
    <w:rsid w:val="00133AAC"/>
    <w:rsid w:val="0014144D"/>
    <w:rsid w:val="00143349"/>
    <w:rsid w:val="001460FB"/>
    <w:rsid w:val="00151CCA"/>
    <w:rsid w:val="00153B19"/>
    <w:rsid w:val="00177CDB"/>
    <w:rsid w:val="001815EB"/>
    <w:rsid w:val="00193464"/>
    <w:rsid w:val="001A3A78"/>
    <w:rsid w:val="001D0D50"/>
    <w:rsid w:val="001D2AD1"/>
    <w:rsid w:val="001E74C4"/>
    <w:rsid w:val="001F2AF2"/>
    <w:rsid w:val="001F5A8D"/>
    <w:rsid w:val="00210EC9"/>
    <w:rsid w:val="0021251C"/>
    <w:rsid w:val="0025082F"/>
    <w:rsid w:val="002510C9"/>
    <w:rsid w:val="00254EC9"/>
    <w:rsid w:val="00263D5F"/>
    <w:rsid w:val="00276AFA"/>
    <w:rsid w:val="002827FB"/>
    <w:rsid w:val="002A1F0B"/>
    <w:rsid w:val="002A3935"/>
    <w:rsid w:val="002B1EFB"/>
    <w:rsid w:val="002C1461"/>
    <w:rsid w:val="002D631B"/>
    <w:rsid w:val="002D7711"/>
    <w:rsid w:val="002F40C7"/>
    <w:rsid w:val="003006BC"/>
    <w:rsid w:val="003028F5"/>
    <w:rsid w:val="00321014"/>
    <w:rsid w:val="003243D2"/>
    <w:rsid w:val="00326DBA"/>
    <w:rsid w:val="00330101"/>
    <w:rsid w:val="00331297"/>
    <w:rsid w:val="003323FA"/>
    <w:rsid w:val="003376AC"/>
    <w:rsid w:val="00341D30"/>
    <w:rsid w:val="00346810"/>
    <w:rsid w:val="003577F4"/>
    <w:rsid w:val="00362FE4"/>
    <w:rsid w:val="0037799B"/>
    <w:rsid w:val="00377BE3"/>
    <w:rsid w:val="00382A01"/>
    <w:rsid w:val="00392EE1"/>
    <w:rsid w:val="003A64B4"/>
    <w:rsid w:val="003A71F9"/>
    <w:rsid w:val="003B4756"/>
    <w:rsid w:val="003E2412"/>
    <w:rsid w:val="003F052F"/>
    <w:rsid w:val="003F1360"/>
    <w:rsid w:val="003F63CA"/>
    <w:rsid w:val="00412D4F"/>
    <w:rsid w:val="00413D4E"/>
    <w:rsid w:val="004224DC"/>
    <w:rsid w:val="0042719A"/>
    <w:rsid w:val="00431E2C"/>
    <w:rsid w:val="0043786C"/>
    <w:rsid w:val="004523A8"/>
    <w:rsid w:val="00462EA6"/>
    <w:rsid w:val="0046702E"/>
    <w:rsid w:val="00470953"/>
    <w:rsid w:val="00481E90"/>
    <w:rsid w:val="00482556"/>
    <w:rsid w:val="00495466"/>
    <w:rsid w:val="004A2CE4"/>
    <w:rsid w:val="004A2F23"/>
    <w:rsid w:val="004A5051"/>
    <w:rsid w:val="004B37D6"/>
    <w:rsid w:val="004B4EF7"/>
    <w:rsid w:val="004C1E52"/>
    <w:rsid w:val="004C5982"/>
    <w:rsid w:val="004E7AD2"/>
    <w:rsid w:val="004F1C91"/>
    <w:rsid w:val="004F2567"/>
    <w:rsid w:val="004F438C"/>
    <w:rsid w:val="005033E2"/>
    <w:rsid w:val="00506327"/>
    <w:rsid w:val="00507168"/>
    <w:rsid w:val="00507ABF"/>
    <w:rsid w:val="00517709"/>
    <w:rsid w:val="0053782E"/>
    <w:rsid w:val="00540255"/>
    <w:rsid w:val="005553FA"/>
    <w:rsid w:val="00566951"/>
    <w:rsid w:val="00567F57"/>
    <w:rsid w:val="00567FED"/>
    <w:rsid w:val="00571A34"/>
    <w:rsid w:val="00572CBB"/>
    <w:rsid w:val="00573E65"/>
    <w:rsid w:val="005861DB"/>
    <w:rsid w:val="00587570"/>
    <w:rsid w:val="00595062"/>
    <w:rsid w:val="00595A65"/>
    <w:rsid w:val="005A3491"/>
    <w:rsid w:val="005B2320"/>
    <w:rsid w:val="005B4FE9"/>
    <w:rsid w:val="005C1E6B"/>
    <w:rsid w:val="005D0544"/>
    <w:rsid w:val="005E5A02"/>
    <w:rsid w:val="005E5F1F"/>
    <w:rsid w:val="005F06BD"/>
    <w:rsid w:val="005F27C4"/>
    <w:rsid w:val="006009B9"/>
    <w:rsid w:val="0061727E"/>
    <w:rsid w:val="00624DC0"/>
    <w:rsid w:val="00640C0F"/>
    <w:rsid w:val="0064474E"/>
    <w:rsid w:val="00646995"/>
    <w:rsid w:val="006500B3"/>
    <w:rsid w:val="00656892"/>
    <w:rsid w:val="00661FE6"/>
    <w:rsid w:val="00674A03"/>
    <w:rsid w:val="006805E6"/>
    <w:rsid w:val="006A120B"/>
    <w:rsid w:val="006B0D8E"/>
    <w:rsid w:val="006B4DED"/>
    <w:rsid w:val="006B77AE"/>
    <w:rsid w:val="006C06D7"/>
    <w:rsid w:val="006C53D3"/>
    <w:rsid w:val="006F5679"/>
    <w:rsid w:val="00704055"/>
    <w:rsid w:val="00705C17"/>
    <w:rsid w:val="0071038C"/>
    <w:rsid w:val="00715322"/>
    <w:rsid w:val="007162EA"/>
    <w:rsid w:val="007337E9"/>
    <w:rsid w:val="0073547B"/>
    <w:rsid w:val="00736385"/>
    <w:rsid w:val="007376AE"/>
    <w:rsid w:val="00745CE9"/>
    <w:rsid w:val="00746F73"/>
    <w:rsid w:val="0075505D"/>
    <w:rsid w:val="0076147F"/>
    <w:rsid w:val="00782960"/>
    <w:rsid w:val="00782B9F"/>
    <w:rsid w:val="00783BFE"/>
    <w:rsid w:val="00797BE1"/>
    <w:rsid w:val="007A5AB9"/>
    <w:rsid w:val="007B2FD4"/>
    <w:rsid w:val="007B39F1"/>
    <w:rsid w:val="007B4273"/>
    <w:rsid w:val="007E0170"/>
    <w:rsid w:val="007E08A8"/>
    <w:rsid w:val="007E0D3E"/>
    <w:rsid w:val="007F581B"/>
    <w:rsid w:val="00805285"/>
    <w:rsid w:val="00807D96"/>
    <w:rsid w:val="008103D9"/>
    <w:rsid w:val="008202F5"/>
    <w:rsid w:val="00871E60"/>
    <w:rsid w:val="0088098A"/>
    <w:rsid w:val="00893030"/>
    <w:rsid w:val="008B43F6"/>
    <w:rsid w:val="008B7799"/>
    <w:rsid w:val="008C5CD9"/>
    <w:rsid w:val="008D4462"/>
    <w:rsid w:val="008D6AB7"/>
    <w:rsid w:val="00900B90"/>
    <w:rsid w:val="00905211"/>
    <w:rsid w:val="00946261"/>
    <w:rsid w:val="009540F4"/>
    <w:rsid w:val="00961CC4"/>
    <w:rsid w:val="0096208F"/>
    <w:rsid w:val="00966BFD"/>
    <w:rsid w:val="00970283"/>
    <w:rsid w:val="00976C5A"/>
    <w:rsid w:val="00983D14"/>
    <w:rsid w:val="00985EEE"/>
    <w:rsid w:val="009931AA"/>
    <w:rsid w:val="00996E59"/>
    <w:rsid w:val="009A120D"/>
    <w:rsid w:val="009A452E"/>
    <w:rsid w:val="009B375B"/>
    <w:rsid w:val="009B7A2C"/>
    <w:rsid w:val="009D2382"/>
    <w:rsid w:val="009D3348"/>
    <w:rsid w:val="009D437C"/>
    <w:rsid w:val="009D6237"/>
    <w:rsid w:val="009E5E93"/>
    <w:rsid w:val="00A042A3"/>
    <w:rsid w:val="00A0446B"/>
    <w:rsid w:val="00A10275"/>
    <w:rsid w:val="00A134C9"/>
    <w:rsid w:val="00A17E2F"/>
    <w:rsid w:val="00A17F88"/>
    <w:rsid w:val="00A22E04"/>
    <w:rsid w:val="00A3108C"/>
    <w:rsid w:val="00A52F39"/>
    <w:rsid w:val="00A731F1"/>
    <w:rsid w:val="00A749E7"/>
    <w:rsid w:val="00A92AB1"/>
    <w:rsid w:val="00A9313B"/>
    <w:rsid w:val="00A94918"/>
    <w:rsid w:val="00AA4EE1"/>
    <w:rsid w:val="00AB539E"/>
    <w:rsid w:val="00AB7887"/>
    <w:rsid w:val="00AC52C7"/>
    <w:rsid w:val="00AD23AB"/>
    <w:rsid w:val="00AE6335"/>
    <w:rsid w:val="00AF3D17"/>
    <w:rsid w:val="00B023F0"/>
    <w:rsid w:val="00B02B02"/>
    <w:rsid w:val="00B17E40"/>
    <w:rsid w:val="00B2515C"/>
    <w:rsid w:val="00B30343"/>
    <w:rsid w:val="00B3104F"/>
    <w:rsid w:val="00B33111"/>
    <w:rsid w:val="00B33747"/>
    <w:rsid w:val="00B40BFF"/>
    <w:rsid w:val="00B41CBB"/>
    <w:rsid w:val="00B44204"/>
    <w:rsid w:val="00B51B29"/>
    <w:rsid w:val="00B51CCA"/>
    <w:rsid w:val="00B65949"/>
    <w:rsid w:val="00B82366"/>
    <w:rsid w:val="00B86F5B"/>
    <w:rsid w:val="00B87DCF"/>
    <w:rsid w:val="00B9373B"/>
    <w:rsid w:val="00BA13B1"/>
    <w:rsid w:val="00BA4FD5"/>
    <w:rsid w:val="00BA5002"/>
    <w:rsid w:val="00BB563C"/>
    <w:rsid w:val="00BB7210"/>
    <w:rsid w:val="00BC458B"/>
    <w:rsid w:val="00BC57CD"/>
    <w:rsid w:val="00BD60A5"/>
    <w:rsid w:val="00BE146E"/>
    <w:rsid w:val="00BE5AA5"/>
    <w:rsid w:val="00BE7CC9"/>
    <w:rsid w:val="00BF4322"/>
    <w:rsid w:val="00C032CE"/>
    <w:rsid w:val="00C03C23"/>
    <w:rsid w:val="00C04D4D"/>
    <w:rsid w:val="00C06C20"/>
    <w:rsid w:val="00C12A9D"/>
    <w:rsid w:val="00C13B74"/>
    <w:rsid w:val="00C2537C"/>
    <w:rsid w:val="00C44727"/>
    <w:rsid w:val="00C7327E"/>
    <w:rsid w:val="00C74134"/>
    <w:rsid w:val="00C75CBD"/>
    <w:rsid w:val="00C86A91"/>
    <w:rsid w:val="00C94A9B"/>
    <w:rsid w:val="00C97CAE"/>
    <w:rsid w:val="00CA29DB"/>
    <w:rsid w:val="00CB004D"/>
    <w:rsid w:val="00CB4696"/>
    <w:rsid w:val="00CC297E"/>
    <w:rsid w:val="00CC5A7D"/>
    <w:rsid w:val="00CD39CC"/>
    <w:rsid w:val="00CD41FA"/>
    <w:rsid w:val="00CE1E63"/>
    <w:rsid w:val="00CE4260"/>
    <w:rsid w:val="00CE7F14"/>
    <w:rsid w:val="00CF3E97"/>
    <w:rsid w:val="00D01C56"/>
    <w:rsid w:val="00D02C4D"/>
    <w:rsid w:val="00D234B3"/>
    <w:rsid w:val="00D23ACA"/>
    <w:rsid w:val="00D23BB8"/>
    <w:rsid w:val="00D265B6"/>
    <w:rsid w:val="00D304AC"/>
    <w:rsid w:val="00D423C4"/>
    <w:rsid w:val="00D46F19"/>
    <w:rsid w:val="00D50C89"/>
    <w:rsid w:val="00D516C7"/>
    <w:rsid w:val="00D5681C"/>
    <w:rsid w:val="00D7429B"/>
    <w:rsid w:val="00D755F2"/>
    <w:rsid w:val="00D80C97"/>
    <w:rsid w:val="00D91121"/>
    <w:rsid w:val="00D92EF0"/>
    <w:rsid w:val="00D95606"/>
    <w:rsid w:val="00D972AC"/>
    <w:rsid w:val="00DB29E8"/>
    <w:rsid w:val="00DC08E7"/>
    <w:rsid w:val="00DD614A"/>
    <w:rsid w:val="00DE7CAE"/>
    <w:rsid w:val="00DF2A36"/>
    <w:rsid w:val="00DF42C4"/>
    <w:rsid w:val="00E060C8"/>
    <w:rsid w:val="00E13437"/>
    <w:rsid w:val="00E134DF"/>
    <w:rsid w:val="00E1406C"/>
    <w:rsid w:val="00E20761"/>
    <w:rsid w:val="00E25E75"/>
    <w:rsid w:val="00E3131C"/>
    <w:rsid w:val="00E34FF7"/>
    <w:rsid w:val="00E50ADC"/>
    <w:rsid w:val="00E54859"/>
    <w:rsid w:val="00E60D4C"/>
    <w:rsid w:val="00E669BE"/>
    <w:rsid w:val="00E74C74"/>
    <w:rsid w:val="00E779F7"/>
    <w:rsid w:val="00E852FB"/>
    <w:rsid w:val="00E97DED"/>
    <w:rsid w:val="00EB0C90"/>
    <w:rsid w:val="00EB3026"/>
    <w:rsid w:val="00EB5B3B"/>
    <w:rsid w:val="00EE0A48"/>
    <w:rsid w:val="00EE48AD"/>
    <w:rsid w:val="00EE4BA4"/>
    <w:rsid w:val="00EF385D"/>
    <w:rsid w:val="00EF7713"/>
    <w:rsid w:val="00F0702A"/>
    <w:rsid w:val="00F10315"/>
    <w:rsid w:val="00F12B27"/>
    <w:rsid w:val="00F20D0C"/>
    <w:rsid w:val="00F20DB6"/>
    <w:rsid w:val="00F36501"/>
    <w:rsid w:val="00F5588F"/>
    <w:rsid w:val="00F662AD"/>
    <w:rsid w:val="00F742EF"/>
    <w:rsid w:val="00F75C37"/>
    <w:rsid w:val="00F81007"/>
    <w:rsid w:val="00F835AE"/>
    <w:rsid w:val="00F83BC1"/>
    <w:rsid w:val="00F95C15"/>
    <w:rsid w:val="00FA7CD4"/>
    <w:rsid w:val="00FB0E60"/>
    <w:rsid w:val="00FB2069"/>
    <w:rsid w:val="00FC6688"/>
    <w:rsid w:val="00FF1479"/>
    <w:rsid w:val="00FF1A05"/>
    <w:rsid w:val="010E521F"/>
    <w:rsid w:val="01192C1F"/>
    <w:rsid w:val="012C2953"/>
    <w:rsid w:val="013C76F3"/>
    <w:rsid w:val="014632E9"/>
    <w:rsid w:val="014B3EC8"/>
    <w:rsid w:val="014F219D"/>
    <w:rsid w:val="016043AA"/>
    <w:rsid w:val="017B79F9"/>
    <w:rsid w:val="01E9118C"/>
    <w:rsid w:val="02012F8A"/>
    <w:rsid w:val="021D7261"/>
    <w:rsid w:val="023B17BB"/>
    <w:rsid w:val="025657DF"/>
    <w:rsid w:val="03125046"/>
    <w:rsid w:val="03B90FF4"/>
    <w:rsid w:val="040E4DFF"/>
    <w:rsid w:val="045F3CC5"/>
    <w:rsid w:val="0463191A"/>
    <w:rsid w:val="04B3371C"/>
    <w:rsid w:val="04DE21B6"/>
    <w:rsid w:val="04FC5D47"/>
    <w:rsid w:val="050339CA"/>
    <w:rsid w:val="059A658A"/>
    <w:rsid w:val="059B16D6"/>
    <w:rsid w:val="060C6775"/>
    <w:rsid w:val="060E29E0"/>
    <w:rsid w:val="062F7D99"/>
    <w:rsid w:val="06347BFE"/>
    <w:rsid w:val="068A55E3"/>
    <w:rsid w:val="06AA444A"/>
    <w:rsid w:val="06DD6986"/>
    <w:rsid w:val="072E63AA"/>
    <w:rsid w:val="0735266F"/>
    <w:rsid w:val="07413D40"/>
    <w:rsid w:val="076446E7"/>
    <w:rsid w:val="07680C05"/>
    <w:rsid w:val="077706A0"/>
    <w:rsid w:val="07A54996"/>
    <w:rsid w:val="07CD1B50"/>
    <w:rsid w:val="084E0465"/>
    <w:rsid w:val="08585DDE"/>
    <w:rsid w:val="087E3DAF"/>
    <w:rsid w:val="08AD654B"/>
    <w:rsid w:val="08CA3FA3"/>
    <w:rsid w:val="08D37303"/>
    <w:rsid w:val="09641FB9"/>
    <w:rsid w:val="099011F4"/>
    <w:rsid w:val="09C00135"/>
    <w:rsid w:val="09E5601D"/>
    <w:rsid w:val="09EF4753"/>
    <w:rsid w:val="0A195A3E"/>
    <w:rsid w:val="0A2825E1"/>
    <w:rsid w:val="0A34576B"/>
    <w:rsid w:val="0A3903B6"/>
    <w:rsid w:val="0A620DEF"/>
    <w:rsid w:val="0A6533B6"/>
    <w:rsid w:val="0A920ABD"/>
    <w:rsid w:val="0AA039A6"/>
    <w:rsid w:val="0AA84C3E"/>
    <w:rsid w:val="0AC24FE9"/>
    <w:rsid w:val="0ACB4B21"/>
    <w:rsid w:val="0B897F9A"/>
    <w:rsid w:val="0B9D1260"/>
    <w:rsid w:val="0BD159CF"/>
    <w:rsid w:val="0BF03296"/>
    <w:rsid w:val="0C116FCE"/>
    <w:rsid w:val="0C4C2916"/>
    <w:rsid w:val="0C542F52"/>
    <w:rsid w:val="0C6D3E1F"/>
    <w:rsid w:val="0C6F30EA"/>
    <w:rsid w:val="0CB07AB0"/>
    <w:rsid w:val="0CCB6B37"/>
    <w:rsid w:val="0CE916F8"/>
    <w:rsid w:val="0CF30129"/>
    <w:rsid w:val="0DC40E67"/>
    <w:rsid w:val="0DC92055"/>
    <w:rsid w:val="0E117108"/>
    <w:rsid w:val="0E2E0E62"/>
    <w:rsid w:val="0E42785E"/>
    <w:rsid w:val="0E5065FE"/>
    <w:rsid w:val="0E96765D"/>
    <w:rsid w:val="0EB058B0"/>
    <w:rsid w:val="0EB160B7"/>
    <w:rsid w:val="0EBD12F8"/>
    <w:rsid w:val="0EDC3FDD"/>
    <w:rsid w:val="0F0E50FD"/>
    <w:rsid w:val="0F2F692A"/>
    <w:rsid w:val="0F867A11"/>
    <w:rsid w:val="0FC401FA"/>
    <w:rsid w:val="100710FD"/>
    <w:rsid w:val="10150C3B"/>
    <w:rsid w:val="10473B36"/>
    <w:rsid w:val="11113EA6"/>
    <w:rsid w:val="11195ECA"/>
    <w:rsid w:val="11694EAC"/>
    <w:rsid w:val="11884177"/>
    <w:rsid w:val="1189449B"/>
    <w:rsid w:val="11FA6155"/>
    <w:rsid w:val="12006E24"/>
    <w:rsid w:val="120B7AD9"/>
    <w:rsid w:val="125D4F01"/>
    <w:rsid w:val="127820B8"/>
    <w:rsid w:val="12C055E9"/>
    <w:rsid w:val="130719D0"/>
    <w:rsid w:val="13127AB6"/>
    <w:rsid w:val="13297E62"/>
    <w:rsid w:val="1347361C"/>
    <w:rsid w:val="13791AEC"/>
    <w:rsid w:val="13793307"/>
    <w:rsid w:val="13CE379A"/>
    <w:rsid w:val="1445538B"/>
    <w:rsid w:val="1455534F"/>
    <w:rsid w:val="14C96F75"/>
    <w:rsid w:val="14D05CA0"/>
    <w:rsid w:val="15794314"/>
    <w:rsid w:val="158428B0"/>
    <w:rsid w:val="15C250DC"/>
    <w:rsid w:val="15FB7D97"/>
    <w:rsid w:val="167C182F"/>
    <w:rsid w:val="16FE4FF2"/>
    <w:rsid w:val="174A2E46"/>
    <w:rsid w:val="17561B73"/>
    <w:rsid w:val="177228FC"/>
    <w:rsid w:val="17771FF6"/>
    <w:rsid w:val="177946DD"/>
    <w:rsid w:val="178722FA"/>
    <w:rsid w:val="178B7A91"/>
    <w:rsid w:val="17B16B9D"/>
    <w:rsid w:val="180D7837"/>
    <w:rsid w:val="181843B4"/>
    <w:rsid w:val="183E37CC"/>
    <w:rsid w:val="184D12D1"/>
    <w:rsid w:val="18791799"/>
    <w:rsid w:val="188E255F"/>
    <w:rsid w:val="189C4CC3"/>
    <w:rsid w:val="18D76732"/>
    <w:rsid w:val="18D91D0B"/>
    <w:rsid w:val="18F5280B"/>
    <w:rsid w:val="190068DB"/>
    <w:rsid w:val="1936126E"/>
    <w:rsid w:val="195827A2"/>
    <w:rsid w:val="19C40886"/>
    <w:rsid w:val="19D83220"/>
    <w:rsid w:val="19FB5FCA"/>
    <w:rsid w:val="1A1461D6"/>
    <w:rsid w:val="1A200723"/>
    <w:rsid w:val="1A3B476B"/>
    <w:rsid w:val="1A7648CF"/>
    <w:rsid w:val="1AC774C7"/>
    <w:rsid w:val="1B0E67CD"/>
    <w:rsid w:val="1B1B1A16"/>
    <w:rsid w:val="1B40040C"/>
    <w:rsid w:val="1B406716"/>
    <w:rsid w:val="1B6D70F6"/>
    <w:rsid w:val="1BB60F3D"/>
    <w:rsid w:val="1BC372D9"/>
    <w:rsid w:val="1BE41CBD"/>
    <w:rsid w:val="1BF7727F"/>
    <w:rsid w:val="1C0E393D"/>
    <w:rsid w:val="1C2347C4"/>
    <w:rsid w:val="1C375CCF"/>
    <w:rsid w:val="1C42000F"/>
    <w:rsid w:val="1C5525C2"/>
    <w:rsid w:val="1C7B4E23"/>
    <w:rsid w:val="1C7C43BA"/>
    <w:rsid w:val="1C8A10CC"/>
    <w:rsid w:val="1C980A44"/>
    <w:rsid w:val="1C9F1474"/>
    <w:rsid w:val="1D3F5BD5"/>
    <w:rsid w:val="1D52252F"/>
    <w:rsid w:val="1D540F6D"/>
    <w:rsid w:val="1D632EBE"/>
    <w:rsid w:val="1DAC4365"/>
    <w:rsid w:val="1E057CF2"/>
    <w:rsid w:val="1E463ED3"/>
    <w:rsid w:val="1E9125A9"/>
    <w:rsid w:val="1EA56B3E"/>
    <w:rsid w:val="1EC63BAC"/>
    <w:rsid w:val="1ED31F77"/>
    <w:rsid w:val="1F3B22B0"/>
    <w:rsid w:val="1F7F53E7"/>
    <w:rsid w:val="1F880941"/>
    <w:rsid w:val="1F9A2423"/>
    <w:rsid w:val="1FDC6BF8"/>
    <w:rsid w:val="20082B7F"/>
    <w:rsid w:val="201476DC"/>
    <w:rsid w:val="20400500"/>
    <w:rsid w:val="204657D5"/>
    <w:rsid w:val="204C3AF4"/>
    <w:rsid w:val="205A7C04"/>
    <w:rsid w:val="205F6868"/>
    <w:rsid w:val="20764582"/>
    <w:rsid w:val="20987452"/>
    <w:rsid w:val="209C2545"/>
    <w:rsid w:val="20CD060D"/>
    <w:rsid w:val="20D07F44"/>
    <w:rsid w:val="21151E02"/>
    <w:rsid w:val="21643F73"/>
    <w:rsid w:val="21D32C82"/>
    <w:rsid w:val="21DE4DD1"/>
    <w:rsid w:val="21F4341E"/>
    <w:rsid w:val="221D73A0"/>
    <w:rsid w:val="22614F44"/>
    <w:rsid w:val="22AA5E92"/>
    <w:rsid w:val="22EA5D72"/>
    <w:rsid w:val="22F90A2E"/>
    <w:rsid w:val="23533917"/>
    <w:rsid w:val="235B7D44"/>
    <w:rsid w:val="23CA60B4"/>
    <w:rsid w:val="23E071ED"/>
    <w:rsid w:val="240128C0"/>
    <w:rsid w:val="24397A54"/>
    <w:rsid w:val="24505D85"/>
    <w:rsid w:val="24620191"/>
    <w:rsid w:val="246501B2"/>
    <w:rsid w:val="24A36D7F"/>
    <w:rsid w:val="24A62E06"/>
    <w:rsid w:val="24F363FF"/>
    <w:rsid w:val="252717F0"/>
    <w:rsid w:val="252B1120"/>
    <w:rsid w:val="25560508"/>
    <w:rsid w:val="256B5126"/>
    <w:rsid w:val="25761B3F"/>
    <w:rsid w:val="25882EB2"/>
    <w:rsid w:val="25A25DEF"/>
    <w:rsid w:val="25B3069D"/>
    <w:rsid w:val="25D70F30"/>
    <w:rsid w:val="26062849"/>
    <w:rsid w:val="260D536B"/>
    <w:rsid w:val="26237627"/>
    <w:rsid w:val="264970FB"/>
    <w:rsid w:val="2652036F"/>
    <w:rsid w:val="2669133E"/>
    <w:rsid w:val="26703B73"/>
    <w:rsid w:val="268038DC"/>
    <w:rsid w:val="26D905D7"/>
    <w:rsid w:val="27133265"/>
    <w:rsid w:val="273D0B66"/>
    <w:rsid w:val="27413D39"/>
    <w:rsid w:val="279872CD"/>
    <w:rsid w:val="27A27317"/>
    <w:rsid w:val="27AA6C78"/>
    <w:rsid w:val="27B32BD6"/>
    <w:rsid w:val="27B4119A"/>
    <w:rsid w:val="27C44DE4"/>
    <w:rsid w:val="28127AAD"/>
    <w:rsid w:val="287C031B"/>
    <w:rsid w:val="289F371D"/>
    <w:rsid w:val="28B27007"/>
    <w:rsid w:val="28B91672"/>
    <w:rsid w:val="28E55B77"/>
    <w:rsid w:val="2976207F"/>
    <w:rsid w:val="29C37DED"/>
    <w:rsid w:val="2A004A26"/>
    <w:rsid w:val="2A140926"/>
    <w:rsid w:val="2A1F32A0"/>
    <w:rsid w:val="2A9B4F0E"/>
    <w:rsid w:val="2AE01F34"/>
    <w:rsid w:val="2B1A3CE3"/>
    <w:rsid w:val="2B34402E"/>
    <w:rsid w:val="2BD53DFD"/>
    <w:rsid w:val="2BE76281"/>
    <w:rsid w:val="2C353425"/>
    <w:rsid w:val="2C45671C"/>
    <w:rsid w:val="2C52631A"/>
    <w:rsid w:val="2C602222"/>
    <w:rsid w:val="2C6F1E42"/>
    <w:rsid w:val="2C900111"/>
    <w:rsid w:val="2C99727B"/>
    <w:rsid w:val="2CCC71A8"/>
    <w:rsid w:val="2D084C8A"/>
    <w:rsid w:val="2D0D2DEE"/>
    <w:rsid w:val="2D355AF2"/>
    <w:rsid w:val="2D5850AD"/>
    <w:rsid w:val="2D717E35"/>
    <w:rsid w:val="2D7918D9"/>
    <w:rsid w:val="2D874EDD"/>
    <w:rsid w:val="2D982929"/>
    <w:rsid w:val="2DCC49F2"/>
    <w:rsid w:val="2DDB3E6C"/>
    <w:rsid w:val="2DF20124"/>
    <w:rsid w:val="2E04236B"/>
    <w:rsid w:val="2E1E4D4B"/>
    <w:rsid w:val="2E240DE9"/>
    <w:rsid w:val="2E382175"/>
    <w:rsid w:val="2E5A0250"/>
    <w:rsid w:val="2EB94C40"/>
    <w:rsid w:val="2EBB33FE"/>
    <w:rsid w:val="2EC933E1"/>
    <w:rsid w:val="2EF05516"/>
    <w:rsid w:val="2F000E48"/>
    <w:rsid w:val="2F1C5505"/>
    <w:rsid w:val="2F4E6A48"/>
    <w:rsid w:val="2F527A92"/>
    <w:rsid w:val="2F7750E4"/>
    <w:rsid w:val="2FD96459"/>
    <w:rsid w:val="300E12F2"/>
    <w:rsid w:val="30293895"/>
    <w:rsid w:val="304909B6"/>
    <w:rsid w:val="304D70F7"/>
    <w:rsid w:val="306500E3"/>
    <w:rsid w:val="30CD64E0"/>
    <w:rsid w:val="30E402A4"/>
    <w:rsid w:val="3104265F"/>
    <w:rsid w:val="310D3357"/>
    <w:rsid w:val="31206760"/>
    <w:rsid w:val="314327FF"/>
    <w:rsid w:val="315F6EB9"/>
    <w:rsid w:val="31605337"/>
    <w:rsid w:val="31817793"/>
    <w:rsid w:val="31A33C1F"/>
    <w:rsid w:val="31CD6F2C"/>
    <w:rsid w:val="31D370DD"/>
    <w:rsid w:val="31F91B2E"/>
    <w:rsid w:val="321B3208"/>
    <w:rsid w:val="323B0398"/>
    <w:rsid w:val="326312AD"/>
    <w:rsid w:val="32B900ED"/>
    <w:rsid w:val="33032868"/>
    <w:rsid w:val="33485853"/>
    <w:rsid w:val="334E50BD"/>
    <w:rsid w:val="338A3F20"/>
    <w:rsid w:val="339A241A"/>
    <w:rsid w:val="33D12DEC"/>
    <w:rsid w:val="341F3F19"/>
    <w:rsid w:val="34216C6E"/>
    <w:rsid w:val="34442905"/>
    <w:rsid w:val="347E29C5"/>
    <w:rsid w:val="348E1204"/>
    <w:rsid w:val="34E55006"/>
    <w:rsid w:val="34E61774"/>
    <w:rsid w:val="350E6387"/>
    <w:rsid w:val="354319AA"/>
    <w:rsid w:val="356B0A4F"/>
    <w:rsid w:val="35867372"/>
    <w:rsid w:val="35986D20"/>
    <w:rsid w:val="359C2C35"/>
    <w:rsid w:val="35A91A40"/>
    <w:rsid w:val="35AE5262"/>
    <w:rsid w:val="35C57CA9"/>
    <w:rsid w:val="361E5AAD"/>
    <w:rsid w:val="36A97957"/>
    <w:rsid w:val="370A2148"/>
    <w:rsid w:val="378B76CC"/>
    <w:rsid w:val="37BE14C0"/>
    <w:rsid w:val="37D1252C"/>
    <w:rsid w:val="37FD0CA2"/>
    <w:rsid w:val="38490B68"/>
    <w:rsid w:val="385439DB"/>
    <w:rsid w:val="38BA0946"/>
    <w:rsid w:val="38FF6F23"/>
    <w:rsid w:val="39333B77"/>
    <w:rsid w:val="3939468D"/>
    <w:rsid w:val="393C1232"/>
    <w:rsid w:val="39537D75"/>
    <w:rsid w:val="39693A3D"/>
    <w:rsid w:val="3975518D"/>
    <w:rsid w:val="39842625"/>
    <w:rsid w:val="39B72502"/>
    <w:rsid w:val="39D269FD"/>
    <w:rsid w:val="3A293BF5"/>
    <w:rsid w:val="3A4D3816"/>
    <w:rsid w:val="3A5675B3"/>
    <w:rsid w:val="3A581CFB"/>
    <w:rsid w:val="3ABA0587"/>
    <w:rsid w:val="3AD638B2"/>
    <w:rsid w:val="3ADA58A6"/>
    <w:rsid w:val="3ADA62C4"/>
    <w:rsid w:val="3B412E2C"/>
    <w:rsid w:val="3B48451F"/>
    <w:rsid w:val="3B581242"/>
    <w:rsid w:val="3B69515A"/>
    <w:rsid w:val="3B6C3A29"/>
    <w:rsid w:val="3B7641EF"/>
    <w:rsid w:val="3B8808A6"/>
    <w:rsid w:val="3BD5511E"/>
    <w:rsid w:val="3C770F1C"/>
    <w:rsid w:val="3C940DA6"/>
    <w:rsid w:val="3CAB5A2D"/>
    <w:rsid w:val="3CD81A6B"/>
    <w:rsid w:val="3CE76C69"/>
    <w:rsid w:val="3CF40534"/>
    <w:rsid w:val="3D19780D"/>
    <w:rsid w:val="3D42235F"/>
    <w:rsid w:val="3D791102"/>
    <w:rsid w:val="3DC73A3D"/>
    <w:rsid w:val="3DDC1B5E"/>
    <w:rsid w:val="3E1A45F6"/>
    <w:rsid w:val="3E7D690C"/>
    <w:rsid w:val="3E970B06"/>
    <w:rsid w:val="3ED90C84"/>
    <w:rsid w:val="3EDA7082"/>
    <w:rsid w:val="3EE53AA3"/>
    <w:rsid w:val="3EF80A8E"/>
    <w:rsid w:val="3F0741F8"/>
    <w:rsid w:val="3F10773B"/>
    <w:rsid w:val="3F5E6BF1"/>
    <w:rsid w:val="3F6B2D2B"/>
    <w:rsid w:val="3FBA7C0F"/>
    <w:rsid w:val="40214D11"/>
    <w:rsid w:val="404C457D"/>
    <w:rsid w:val="40602064"/>
    <w:rsid w:val="406708C5"/>
    <w:rsid w:val="40741C23"/>
    <w:rsid w:val="40826025"/>
    <w:rsid w:val="40A01E79"/>
    <w:rsid w:val="40A22996"/>
    <w:rsid w:val="40C8118A"/>
    <w:rsid w:val="411C3143"/>
    <w:rsid w:val="415273D8"/>
    <w:rsid w:val="416C231C"/>
    <w:rsid w:val="4195322A"/>
    <w:rsid w:val="41B4072A"/>
    <w:rsid w:val="41C75A56"/>
    <w:rsid w:val="41EE55D3"/>
    <w:rsid w:val="42056C06"/>
    <w:rsid w:val="420D3ED3"/>
    <w:rsid w:val="42651616"/>
    <w:rsid w:val="42766BBE"/>
    <w:rsid w:val="427C0258"/>
    <w:rsid w:val="427D6BF1"/>
    <w:rsid w:val="428D3222"/>
    <w:rsid w:val="431F6279"/>
    <w:rsid w:val="43877E89"/>
    <w:rsid w:val="43CF2D57"/>
    <w:rsid w:val="43F0526F"/>
    <w:rsid w:val="440C435C"/>
    <w:rsid w:val="442A02BF"/>
    <w:rsid w:val="4447309F"/>
    <w:rsid w:val="44FE16D9"/>
    <w:rsid w:val="45494570"/>
    <w:rsid w:val="45F03C17"/>
    <w:rsid w:val="465A0EE7"/>
    <w:rsid w:val="467D3AD3"/>
    <w:rsid w:val="467F16CE"/>
    <w:rsid w:val="468F2FEC"/>
    <w:rsid w:val="46E76F7B"/>
    <w:rsid w:val="475D1115"/>
    <w:rsid w:val="477C194D"/>
    <w:rsid w:val="47A1663D"/>
    <w:rsid w:val="482B7039"/>
    <w:rsid w:val="48856093"/>
    <w:rsid w:val="48A979B2"/>
    <w:rsid w:val="48BD6741"/>
    <w:rsid w:val="48F21AF9"/>
    <w:rsid w:val="48FF1386"/>
    <w:rsid w:val="492F59FC"/>
    <w:rsid w:val="496B254D"/>
    <w:rsid w:val="49861AA1"/>
    <w:rsid w:val="498C3945"/>
    <w:rsid w:val="49A12A50"/>
    <w:rsid w:val="49BE6D52"/>
    <w:rsid w:val="49C371CF"/>
    <w:rsid w:val="49D61BFB"/>
    <w:rsid w:val="49E41602"/>
    <w:rsid w:val="4A292A30"/>
    <w:rsid w:val="4A605142"/>
    <w:rsid w:val="4A6E532C"/>
    <w:rsid w:val="4A706315"/>
    <w:rsid w:val="4A78588E"/>
    <w:rsid w:val="4A875976"/>
    <w:rsid w:val="4ADC1978"/>
    <w:rsid w:val="4AE21936"/>
    <w:rsid w:val="4AF21B19"/>
    <w:rsid w:val="4AF84C20"/>
    <w:rsid w:val="4B0A4C46"/>
    <w:rsid w:val="4B2F13BC"/>
    <w:rsid w:val="4B634EC5"/>
    <w:rsid w:val="4B731DB3"/>
    <w:rsid w:val="4B80232E"/>
    <w:rsid w:val="4BB577F8"/>
    <w:rsid w:val="4BB9615E"/>
    <w:rsid w:val="4BC03F0B"/>
    <w:rsid w:val="4BC60D35"/>
    <w:rsid w:val="4BD66E16"/>
    <w:rsid w:val="4BEC74BB"/>
    <w:rsid w:val="4C0A4C0B"/>
    <w:rsid w:val="4C48554F"/>
    <w:rsid w:val="4C580587"/>
    <w:rsid w:val="4C630A67"/>
    <w:rsid w:val="4C7655FB"/>
    <w:rsid w:val="4C812EC2"/>
    <w:rsid w:val="4C985F1F"/>
    <w:rsid w:val="4D0F483F"/>
    <w:rsid w:val="4D6471EF"/>
    <w:rsid w:val="4E040100"/>
    <w:rsid w:val="4E1A22B9"/>
    <w:rsid w:val="4E710BC7"/>
    <w:rsid w:val="4EB96183"/>
    <w:rsid w:val="4F1E2AB0"/>
    <w:rsid w:val="4F436A0B"/>
    <w:rsid w:val="4F693A51"/>
    <w:rsid w:val="4F943823"/>
    <w:rsid w:val="4FC25A72"/>
    <w:rsid w:val="4FE77252"/>
    <w:rsid w:val="50272D05"/>
    <w:rsid w:val="5040259D"/>
    <w:rsid w:val="50520DD0"/>
    <w:rsid w:val="50566937"/>
    <w:rsid w:val="50870229"/>
    <w:rsid w:val="50A15412"/>
    <w:rsid w:val="50A33C83"/>
    <w:rsid w:val="50AC6F8F"/>
    <w:rsid w:val="50BF63F5"/>
    <w:rsid w:val="50C94408"/>
    <w:rsid w:val="50D9102B"/>
    <w:rsid w:val="510559A1"/>
    <w:rsid w:val="51975EA1"/>
    <w:rsid w:val="51A65CD9"/>
    <w:rsid w:val="51BB2519"/>
    <w:rsid w:val="51DA1A18"/>
    <w:rsid w:val="51EE67A6"/>
    <w:rsid w:val="52032FC6"/>
    <w:rsid w:val="52426781"/>
    <w:rsid w:val="5253763E"/>
    <w:rsid w:val="52925AC6"/>
    <w:rsid w:val="52B75D07"/>
    <w:rsid w:val="53A23AD9"/>
    <w:rsid w:val="53B20651"/>
    <w:rsid w:val="53BD5A86"/>
    <w:rsid w:val="53DC2BEA"/>
    <w:rsid w:val="53FB3968"/>
    <w:rsid w:val="54113B69"/>
    <w:rsid w:val="5411400A"/>
    <w:rsid w:val="54527048"/>
    <w:rsid w:val="546011E0"/>
    <w:rsid w:val="546546C2"/>
    <w:rsid w:val="54AB77B9"/>
    <w:rsid w:val="54B7626D"/>
    <w:rsid w:val="54F3086B"/>
    <w:rsid w:val="55124B31"/>
    <w:rsid w:val="551663CF"/>
    <w:rsid w:val="553A13E5"/>
    <w:rsid w:val="557A46D8"/>
    <w:rsid w:val="55AF14F9"/>
    <w:rsid w:val="564062A5"/>
    <w:rsid w:val="56474D13"/>
    <w:rsid w:val="564A3312"/>
    <w:rsid w:val="56514F45"/>
    <w:rsid w:val="565C42B5"/>
    <w:rsid w:val="56633896"/>
    <w:rsid w:val="56965A0F"/>
    <w:rsid w:val="569E48CE"/>
    <w:rsid w:val="573F1E3A"/>
    <w:rsid w:val="57575B08"/>
    <w:rsid w:val="5772443C"/>
    <w:rsid w:val="57AA386C"/>
    <w:rsid w:val="57BD3192"/>
    <w:rsid w:val="57C74848"/>
    <w:rsid w:val="57EF6105"/>
    <w:rsid w:val="5805204A"/>
    <w:rsid w:val="580B65CA"/>
    <w:rsid w:val="58161D4B"/>
    <w:rsid w:val="588D5515"/>
    <w:rsid w:val="58D740C7"/>
    <w:rsid w:val="58EB664A"/>
    <w:rsid w:val="5980475F"/>
    <w:rsid w:val="5A18785D"/>
    <w:rsid w:val="5A3B2434"/>
    <w:rsid w:val="5A50069F"/>
    <w:rsid w:val="5A517594"/>
    <w:rsid w:val="5AD45426"/>
    <w:rsid w:val="5AFE1277"/>
    <w:rsid w:val="5B0C4978"/>
    <w:rsid w:val="5B0D0525"/>
    <w:rsid w:val="5B102E97"/>
    <w:rsid w:val="5B1B759C"/>
    <w:rsid w:val="5B1C2EAA"/>
    <w:rsid w:val="5B4B0D67"/>
    <w:rsid w:val="5B500E03"/>
    <w:rsid w:val="5BBE00A5"/>
    <w:rsid w:val="5BFC1748"/>
    <w:rsid w:val="5C0C75F5"/>
    <w:rsid w:val="5C1F060E"/>
    <w:rsid w:val="5C2238CC"/>
    <w:rsid w:val="5C3929A3"/>
    <w:rsid w:val="5C464A94"/>
    <w:rsid w:val="5CC80B68"/>
    <w:rsid w:val="5CE77EAF"/>
    <w:rsid w:val="5D444A4F"/>
    <w:rsid w:val="5DAD3767"/>
    <w:rsid w:val="5DD24E5D"/>
    <w:rsid w:val="5DDA5938"/>
    <w:rsid w:val="5DFC276E"/>
    <w:rsid w:val="5DFD2098"/>
    <w:rsid w:val="5E442CC6"/>
    <w:rsid w:val="5E4F574A"/>
    <w:rsid w:val="5E622F17"/>
    <w:rsid w:val="5EC2182D"/>
    <w:rsid w:val="5EE14106"/>
    <w:rsid w:val="5EED5DDF"/>
    <w:rsid w:val="5EF6492D"/>
    <w:rsid w:val="5F07345F"/>
    <w:rsid w:val="5F3708EE"/>
    <w:rsid w:val="5F70454F"/>
    <w:rsid w:val="5FBC3C01"/>
    <w:rsid w:val="5FBF25BC"/>
    <w:rsid w:val="600D1CAC"/>
    <w:rsid w:val="60130C4F"/>
    <w:rsid w:val="6026404F"/>
    <w:rsid w:val="60383107"/>
    <w:rsid w:val="609560CB"/>
    <w:rsid w:val="610E2650"/>
    <w:rsid w:val="611454E9"/>
    <w:rsid w:val="612315E3"/>
    <w:rsid w:val="612B40D2"/>
    <w:rsid w:val="61A4767C"/>
    <w:rsid w:val="61CF33A9"/>
    <w:rsid w:val="62176931"/>
    <w:rsid w:val="623461C0"/>
    <w:rsid w:val="623872B8"/>
    <w:rsid w:val="627327CF"/>
    <w:rsid w:val="62AD2707"/>
    <w:rsid w:val="62BC1CF1"/>
    <w:rsid w:val="62DD17DE"/>
    <w:rsid w:val="62ED1AF1"/>
    <w:rsid w:val="62EE3704"/>
    <w:rsid w:val="63287ED1"/>
    <w:rsid w:val="63461034"/>
    <w:rsid w:val="636F5910"/>
    <w:rsid w:val="637453E7"/>
    <w:rsid w:val="637577E4"/>
    <w:rsid w:val="63855360"/>
    <w:rsid w:val="63B62E6B"/>
    <w:rsid w:val="63BB534D"/>
    <w:rsid w:val="63C06884"/>
    <w:rsid w:val="63FA3207"/>
    <w:rsid w:val="64437A13"/>
    <w:rsid w:val="644665A5"/>
    <w:rsid w:val="64525F38"/>
    <w:rsid w:val="648D1FCA"/>
    <w:rsid w:val="64F12DA2"/>
    <w:rsid w:val="65616AF2"/>
    <w:rsid w:val="656A6D3F"/>
    <w:rsid w:val="65A60391"/>
    <w:rsid w:val="65CF6CAD"/>
    <w:rsid w:val="660D737A"/>
    <w:rsid w:val="661F090D"/>
    <w:rsid w:val="6635692F"/>
    <w:rsid w:val="66F80387"/>
    <w:rsid w:val="671E598E"/>
    <w:rsid w:val="67A76795"/>
    <w:rsid w:val="67AF21A5"/>
    <w:rsid w:val="67C16637"/>
    <w:rsid w:val="682934A2"/>
    <w:rsid w:val="685E3A8E"/>
    <w:rsid w:val="6876330A"/>
    <w:rsid w:val="688020CA"/>
    <w:rsid w:val="688F4E56"/>
    <w:rsid w:val="68D953DF"/>
    <w:rsid w:val="68D95C4D"/>
    <w:rsid w:val="692A3932"/>
    <w:rsid w:val="69BA164C"/>
    <w:rsid w:val="69E80550"/>
    <w:rsid w:val="6A2F42DC"/>
    <w:rsid w:val="6A366336"/>
    <w:rsid w:val="6A4235D4"/>
    <w:rsid w:val="6A5F398A"/>
    <w:rsid w:val="6AB13EBC"/>
    <w:rsid w:val="6AD364AB"/>
    <w:rsid w:val="6B204F44"/>
    <w:rsid w:val="6B455810"/>
    <w:rsid w:val="6B7D3B8B"/>
    <w:rsid w:val="6B972D20"/>
    <w:rsid w:val="6BAE1C75"/>
    <w:rsid w:val="6BAE1FE0"/>
    <w:rsid w:val="6BAF0C88"/>
    <w:rsid w:val="6BBA428A"/>
    <w:rsid w:val="6BCA209C"/>
    <w:rsid w:val="6BE04BE9"/>
    <w:rsid w:val="6C217EDE"/>
    <w:rsid w:val="6C2B44EF"/>
    <w:rsid w:val="6C4272B0"/>
    <w:rsid w:val="6C7733D7"/>
    <w:rsid w:val="6CD97BC4"/>
    <w:rsid w:val="6CF718B5"/>
    <w:rsid w:val="6D0B76A3"/>
    <w:rsid w:val="6D2362F9"/>
    <w:rsid w:val="6D621D77"/>
    <w:rsid w:val="6D8A4356"/>
    <w:rsid w:val="6D98317F"/>
    <w:rsid w:val="6DBD51C9"/>
    <w:rsid w:val="6E1573D6"/>
    <w:rsid w:val="6E27251E"/>
    <w:rsid w:val="6E2A0F1F"/>
    <w:rsid w:val="6E8B781F"/>
    <w:rsid w:val="6EAA1855"/>
    <w:rsid w:val="6EAE5F5C"/>
    <w:rsid w:val="6EDD55F7"/>
    <w:rsid w:val="6EF97F57"/>
    <w:rsid w:val="6F0E27ED"/>
    <w:rsid w:val="6F485977"/>
    <w:rsid w:val="6F8D52EE"/>
    <w:rsid w:val="6FC40F3B"/>
    <w:rsid w:val="7053007F"/>
    <w:rsid w:val="70576D06"/>
    <w:rsid w:val="705D0FBC"/>
    <w:rsid w:val="70650803"/>
    <w:rsid w:val="70BD64B2"/>
    <w:rsid w:val="70C41FA1"/>
    <w:rsid w:val="70DD3E97"/>
    <w:rsid w:val="70DF018D"/>
    <w:rsid w:val="716D1502"/>
    <w:rsid w:val="71925269"/>
    <w:rsid w:val="71962418"/>
    <w:rsid w:val="71E734B4"/>
    <w:rsid w:val="72153EBD"/>
    <w:rsid w:val="722312C2"/>
    <w:rsid w:val="72303324"/>
    <w:rsid w:val="72442376"/>
    <w:rsid w:val="724A4270"/>
    <w:rsid w:val="724A66D2"/>
    <w:rsid w:val="72975852"/>
    <w:rsid w:val="729776CF"/>
    <w:rsid w:val="72F54BA3"/>
    <w:rsid w:val="732D5122"/>
    <w:rsid w:val="733428CA"/>
    <w:rsid w:val="73373758"/>
    <w:rsid w:val="736F3422"/>
    <w:rsid w:val="73740EEE"/>
    <w:rsid w:val="73B273E7"/>
    <w:rsid w:val="74623C1E"/>
    <w:rsid w:val="74F4799F"/>
    <w:rsid w:val="755F6F91"/>
    <w:rsid w:val="75680129"/>
    <w:rsid w:val="75CD7495"/>
    <w:rsid w:val="761B5E30"/>
    <w:rsid w:val="769F09DF"/>
    <w:rsid w:val="76BF59D2"/>
    <w:rsid w:val="76D31F1A"/>
    <w:rsid w:val="777E5B62"/>
    <w:rsid w:val="77AD3E5E"/>
    <w:rsid w:val="77AD4009"/>
    <w:rsid w:val="77B27D81"/>
    <w:rsid w:val="77C92939"/>
    <w:rsid w:val="77D04C7A"/>
    <w:rsid w:val="7826733B"/>
    <w:rsid w:val="78270D8E"/>
    <w:rsid w:val="78850B40"/>
    <w:rsid w:val="78B969B7"/>
    <w:rsid w:val="78C407B4"/>
    <w:rsid w:val="78F85C68"/>
    <w:rsid w:val="790256BC"/>
    <w:rsid w:val="791B12A6"/>
    <w:rsid w:val="79200577"/>
    <w:rsid w:val="794C1B10"/>
    <w:rsid w:val="79586E66"/>
    <w:rsid w:val="79861C22"/>
    <w:rsid w:val="798A518D"/>
    <w:rsid w:val="798B7149"/>
    <w:rsid w:val="79A234E1"/>
    <w:rsid w:val="79A633BA"/>
    <w:rsid w:val="79D26CD0"/>
    <w:rsid w:val="79E17356"/>
    <w:rsid w:val="7A1D6716"/>
    <w:rsid w:val="7A4576A1"/>
    <w:rsid w:val="7A4A24F3"/>
    <w:rsid w:val="7AD563B9"/>
    <w:rsid w:val="7AE33FCC"/>
    <w:rsid w:val="7B216B08"/>
    <w:rsid w:val="7B2F3716"/>
    <w:rsid w:val="7B7E6A3F"/>
    <w:rsid w:val="7B842D4B"/>
    <w:rsid w:val="7BF217AA"/>
    <w:rsid w:val="7C13153C"/>
    <w:rsid w:val="7C194C2E"/>
    <w:rsid w:val="7C1A6B3F"/>
    <w:rsid w:val="7C2857FB"/>
    <w:rsid w:val="7C5527FF"/>
    <w:rsid w:val="7C597451"/>
    <w:rsid w:val="7C734142"/>
    <w:rsid w:val="7CA13F21"/>
    <w:rsid w:val="7CAE6D1D"/>
    <w:rsid w:val="7CC70D87"/>
    <w:rsid w:val="7D397F90"/>
    <w:rsid w:val="7D5A662F"/>
    <w:rsid w:val="7DA63C90"/>
    <w:rsid w:val="7DF0052E"/>
    <w:rsid w:val="7E27521D"/>
    <w:rsid w:val="7E551467"/>
    <w:rsid w:val="7E704F9D"/>
    <w:rsid w:val="7EDF5174"/>
    <w:rsid w:val="7EF26CB5"/>
    <w:rsid w:val="7F174828"/>
    <w:rsid w:val="7F6E083E"/>
    <w:rsid w:val="7F914720"/>
    <w:rsid w:val="7F92455B"/>
    <w:rsid w:val="7F9F6255"/>
    <w:rsid w:val="7FED6DE5"/>
    <w:rsid w:val="E7A6F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ind w:firstLine="883" w:firstLineChars="200"/>
      <w:outlineLvl w:val="0"/>
    </w:pPr>
    <w:rPr>
      <w:rFonts w:eastAsia="黑体"/>
      <w:b/>
      <w:bCs/>
      <w:color w:val="1A1A1A"/>
      <w:kern w:val="44"/>
      <w:sz w:val="30"/>
      <w:szCs w:val="36"/>
    </w:rPr>
  </w:style>
  <w:style w:type="paragraph" w:styleId="3">
    <w:name w:val="heading 2"/>
    <w:basedOn w:val="1"/>
    <w:next w:val="1"/>
    <w:link w:val="27"/>
    <w:unhideWhenUsed/>
    <w:qFormat/>
    <w:uiPriority w:val="0"/>
    <w:pPr>
      <w:keepNext/>
      <w:keepLines/>
      <w:ind w:firstLine="883" w:firstLineChars="200"/>
      <w:outlineLvl w:val="1"/>
    </w:pPr>
    <w:rPr>
      <w:rFonts w:ascii="Arial" w:hAnsi="Arial" w:eastAsia="楷体_GB2312"/>
      <w:b/>
      <w:sz w:val="32"/>
    </w:rPr>
  </w:style>
  <w:style w:type="paragraph" w:styleId="4">
    <w:name w:val="heading 3"/>
    <w:basedOn w:val="1"/>
    <w:next w:val="1"/>
    <w:link w:val="22"/>
    <w:unhideWhenUsed/>
    <w:qFormat/>
    <w:uiPriority w:val="0"/>
    <w:pPr>
      <w:keepNext/>
      <w:keepLines/>
      <w:spacing w:line="360" w:lineRule="auto"/>
      <w:ind w:firstLine="883" w:firstLineChars="200"/>
      <w:outlineLvl w:val="2"/>
    </w:pPr>
    <w:rPr>
      <w:rFonts w:eastAsia="宋体"/>
      <w:b/>
      <w:sz w:val="24"/>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9"/>
    <w:qFormat/>
    <w:uiPriority w:val="0"/>
    <w:pPr>
      <w:jc w:val="left"/>
    </w:pPr>
  </w:style>
  <w:style w:type="paragraph" w:styleId="6">
    <w:name w:val="Balloon Text"/>
    <w:basedOn w:val="1"/>
    <w:link w:val="2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Title"/>
    <w:basedOn w:val="1"/>
    <w:next w:val="1"/>
    <w:qFormat/>
    <w:uiPriority w:val="0"/>
    <w:pPr>
      <w:ind w:firstLine="200" w:firstLineChars="200"/>
      <w:jc w:val="center"/>
      <w:outlineLvl w:val="0"/>
    </w:pPr>
    <w:rPr>
      <w:rFonts w:ascii="Cambria" w:hAnsi="Cambria" w:eastAsia="方正小标宋简体"/>
    </w:rPr>
  </w:style>
  <w:style w:type="paragraph" w:styleId="13">
    <w:name w:val="annotation subject"/>
    <w:basedOn w:val="5"/>
    <w:next w:val="5"/>
    <w:link w:val="30"/>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FollowedHyperlink"/>
    <w:basedOn w:val="16"/>
    <w:qFormat/>
    <w:uiPriority w:val="0"/>
    <w:rPr>
      <w:color w:val="800080"/>
      <w:u w:val="none"/>
    </w:rPr>
  </w:style>
  <w:style w:type="character" w:styleId="19">
    <w:name w:val="Emphasis"/>
    <w:basedOn w:val="16"/>
    <w:qFormat/>
    <w:uiPriority w:val="0"/>
  </w:style>
  <w:style w:type="character" w:styleId="20">
    <w:name w:val="Hyperlink"/>
    <w:basedOn w:val="16"/>
    <w:unhideWhenUsed/>
    <w:qFormat/>
    <w:uiPriority w:val="99"/>
    <w:rPr>
      <w:color w:val="0563C1" w:themeColor="hyperlink"/>
      <w:u w:val="single"/>
      <w14:textFill>
        <w14:solidFill>
          <w14:schemeClr w14:val="hlink"/>
        </w14:solidFill>
      </w14:textFill>
    </w:rPr>
  </w:style>
  <w:style w:type="character" w:styleId="21">
    <w:name w:val="annotation reference"/>
    <w:basedOn w:val="16"/>
    <w:qFormat/>
    <w:uiPriority w:val="0"/>
    <w:rPr>
      <w:sz w:val="21"/>
      <w:szCs w:val="21"/>
    </w:rPr>
  </w:style>
  <w:style w:type="character" w:customStyle="1" w:styleId="22">
    <w:name w:val="标题 3 Char"/>
    <w:link w:val="4"/>
    <w:qFormat/>
    <w:uiPriority w:val="0"/>
    <w:rPr>
      <w:rFonts w:eastAsia="宋体" w:asciiTheme="minorHAnsi" w:hAnsiTheme="minorHAnsi"/>
      <w:b/>
      <w:sz w:val="24"/>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6">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
    <w:name w:val="标题 2 Char"/>
    <w:basedOn w:val="16"/>
    <w:link w:val="3"/>
    <w:qFormat/>
    <w:uiPriority w:val="0"/>
    <w:rPr>
      <w:rFonts w:ascii="Arial" w:hAnsi="Arial" w:eastAsia="楷体_GB2312" w:cstheme="minorBidi"/>
      <w:b/>
      <w:kern w:val="2"/>
      <w:sz w:val="32"/>
      <w:szCs w:val="22"/>
    </w:rPr>
  </w:style>
  <w:style w:type="character" w:customStyle="1" w:styleId="28">
    <w:name w:val="批注框文本 Char"/>
    <w:basedOn w:val="16"/>
    <w:link w:val="6"/>
    <w:qFormat/>
    <w:uiPriority w:val="0"/>
    <w:rPr>
      <w:rFonts w:asciiTheme="minorHAnsi" w:hAnsiTheme="minorHAnsi" w:eastAsiaTheme="minorEastAsia" w:cstheme="minorBidi"/>
      <w:kern w:val="2"/>
      <w:sz w:val="18"/>
      <w:szCs w:val="18"/>
    </w:rPr>
  </w:style>
  <w:style w:type="character" w:customStyle="1" w:styleId="29">
    <w:name w:val="批注文字 Char"/>
    <w:basedOn w:val="16"/>
    <w:link w:val="5"/>
    <w:qFormat/>
    <w:uiPriority w:val="0"/>
    <w:rPr>
      <w:rFonts w:asciiTheme="minorHAnsi" w:hAnsiTheme="minorHAnsi" w:eastAsiaTheme="minorEastAsia" w:cstheme="minorBidi"/>
      <w:kern w:val="2"/>
      <w:sz w:val="21"/>
      <w:szCs w:val="22"/>
    </w:rPr>
  </w:style>
  <w:style w:type="character" w:customStyle="1" w:styleId="30">
    <w:name w:val="批注主题 Char"/>
    <w:basedOn w:val="29"/>
    <w:link w:val="13"/>
    <w:qFormat/>
    <w:uiPriority w:val="0"/>
    <w:rPr>
      <w:rFonts w:asciiTheme="minorHAnsi" w:hAnsiTheme="minorHAnsi" w:eastAsiaTheme="minorEastAsia" w:cstheme="minorBidi"/>
      <w:b/>
      <w:bCs/>
      <w:kern w:val="2"/>
      <w:sz w:val="21"/>
      <w:szCs w:val="22"/>
    </w:rPr>
  </w:style>
  <w:style w:type="character" w:customStyle="1" w:styleId="31">
    <w:name w:val="index-module_accountauthentication_3bwix"/>
    <w:basedOn w:val="16"/>
    <w:qFormat/>
    <w:uiPriority w:val="0"/>
  </w:style>
  <w:style w:type="character" w:customStyle="1" w:styleId="32">
    <w:name w:val="hover"/>
    <w:basedOn w:val="16"/>
    <w:qFormat/>
    <w:uiPriority w:val="0"/>
    <w:rPr>
      <w:color w:val="315EF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22616</Words>
  <Characters>22887</Characters>
  <Lines>182</Lines>
  <Paragraphs>51</Paragraphs>
  <TotalTime>26</TotalTime>
  <ScaleCrop>false</ScaleCrop>
  <LinksUpToDate>false</LinksUpToDate>
  <CharactersWithSpaces>23000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2022-04-07T17:05:00Z</dcterms:created>
  <dc:creator>羊毛</dc:creator>
  <cp:lastModifiedBy>administrator</cp:lastModifiedBy>
  <cp:lastPrinted>2022-02-26T03:58:00Z</cp:lastPrinted>
  <dcterms:modified xsi:type="dcterms:W3CDTF">2022-06-23T10:45:46Z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832B9DBBFA3D43C19540F39D45628D17</vt:lpwstr>
  </property>
</Properties>
</file>