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left"/>
        <w:textAlignment w:val="auto"/>
        <w:rPr>
          <w:rFonts w:hint="default" w:ascii="方正小标宋_GBK" w:hAnsi="方正小标宋_GBK" w:eastAsia="方正小标宋_GBK" w:cs="方正小标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六安市贯彻落实</w:t>
      </w:r>
      <w:r>
        <w:rPr>
          <w:rFonts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计量发展规划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（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2021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—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2035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</w:rPr>
        <w:t>年）</w:t>
      </w:r>
      <w:r>
        <w:rPr>
          <w:rFonts w:hint="eastAsia" w:ascii="方正小标宋_GBK" w:hAnsi="方正小标宋_GBK" w:eastAsia="方正小标宋_GBK" w:cs="方正小标宋_GBK"/>
          <w:i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实施意见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outlineLvl w:val="0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" w:eastAsia="zh-CN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6"/>
          <w:szCs w:val="36"/>
          <w:shd w:val="clear" w:color="auto" w:fill="FFFFFF"/>
          <w:lang w:val="en" w:eastAsia="zh-CN"/>
        </w:rPr>
        <w:t>（征求意见稿）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3"/>
        <w:jc w:val="both"/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default" w:ascii="Times New Roman" w:hAnsi="Times New Roman" w:cs="Times New Roman"/>
          <w:b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为贯彻落实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国务院印发的《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计量发展规划（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2021—2035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年）》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、安徽省人民政府办公厅印发的《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安徽省实施计量发展规划（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2021-2035年）工作方案》，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进一步夯实计量基础，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优化计量服务，强化计量监管，结合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六安市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国民经济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和社会发展第十四个五年规划和</w:t>
      </w:r>
      <w:r>
        <w:rPr>
          <w:rFonts w:hint="default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2035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年远景目标纲要》，现提出以下实施意见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outlineLvl w:val="0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一、主要目标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到2025年，全市现代先进测量体系初步建立，计量科技创新和服务经济社会发展能力进入全省先进行列。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科学技术水平明显提升，培养造就一批计量科学人才队伍。计量服务保障能力明显增强，支撑我市绿色振兴、赶超发展作用更加凸显，服务全市经济社会高质量发展的计量体系日趋完善。计量监管体制机制逐步健全，增强社会计量溯源意识，建立健全开放共享的协同发展机制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到2035年，计量科技创新水平大幅提升，计量服务保障能力大幅增强，在线测量技术得到应用。现代计量治理体系进一步健全，民生计量得到充分保障，建成现代先进测量体系。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</w:p>
    <w:tbl>
      <w:tblPr>
        <w:tblStyle w:val="7"/>
        <w:tblpPr w:leftFromText="180" w:rightFromText="180" w:vertAnchor="text" w:horzAnchor="page" w:tblpX="1522" w:tblpY="602"/>
        <w:tblOverlap w:val="never"/>
        <w:tblW w:w="90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5"/>
        <w:gridCol w:w="4095"/>
        <w:gridCol w:w="1545"/>
        <w:gridCol w:w="1620"/>
        <w:gridCol w:w="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903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全市“十四五”计量发展主要指标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80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类别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主要指标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“十三五”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“十四五”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8"/>
                <w:szCs w:val="28"/>
                <w:lang w:val="en-US" w:eastAsia="zh-CN" w:bidi="ar"/>
              </w:rPr>
              <w:t>属性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支撑保障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社会公用计量标准（项）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173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220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本市最高计量标准（项）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78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省级产业计量测试中心（个）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地方计量技术规范（项）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-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省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专业计量技术委员会委员（个）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计量标准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二级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考评员（个）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县级机构能力建设提档升级（类）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C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B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法制监督</w:t>
            </w: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引导培育诚信计量示范单位（家）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200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300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05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409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强检项目建标覆盖率（%）</w:t>
            </w:r>
          </w:p>
        </w:tc>
        <w:tc>
          <w:tcPr>
            <w:tcW w:w="15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50%</w:t>
            </w:r>
          </w:p>
        </w:tc>
        <w:tc>
          <w:tcPr>
            <w:tcW w:w="162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>70%</w:t>
            </w:r>
          </w:p>
        </w:tc>
        <w:tc>
          <w:tcPr>
            <w:tcW w:w="96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预期性</w:t>
            </w:r>
          </w:p>
        </w:tc>
      </w:tr>
    </w:tbl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both"/>
        <w:outlineLvl w:val="0"/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二、</w:t>
      </w:r>
      <w:r>
        <w:rPr>
          <w:rFonts w:hint="eastAsia" w:ascii="方正黑体_GBK" w:hAnsi="方正黑体_GBK" w:eastAsia="方正黑体_GBK" w:cs="方正黑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重点任务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outlineLvl w:val="1"/>
        <w:rPr>
          <w:rFonts w:hint="eastAsia" w:ascii="方正楷体_GBK" w:hAnsi="方正楷体_GBK" w:eastAsia="方正楷体_GBK" w:cs="方正楷体_GBK"/>
          <w:b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深化计量科技创新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64"/>
        <w:jc w:val="both"/>
        <w:textAlignment w:val="baseline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．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加强计量基础和前沿技术研究</w:t>
      </w:r>
      <w:r>
        <w:rPr>
          <w:rFonts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强化计量基础理论、精密测量等技术研究和创新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，加强食品安全、临床检验、生物、环保等领域标准物质研究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。支持企业、高校、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科研院所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申报省级科技计划项目，开展新一代信息技术、人工智能、新材料、新能源、高端装备制造和生命健康等领域精密测量技术研究。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科技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，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皖西学院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安徽国防科技职业学院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六安职业技术学院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等高校科研院所；列第一位的为牵头责任单位，下同）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64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2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．推动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计量数字化转型研究。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加快计量检定信息化进程，推广应用国家强制检定工作计量器具业务管理平台（</w:t>
      </w:r>
      <w:r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e-CQS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，参与全省计量检定校准结果数字化平台建设，探索建立全市计量电子证书系统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。在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</w:rPr>
        <w:t>生命健康、装备制造、食品安全、环境监测、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节能降碳、新能源汽车等领域加强计量数据建设。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（责任单位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：市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数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管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</w:rPr>
        <w:t>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64"/>
        <w:jc w:val="both"/>
        <w:textAlignment w:val="baseline"/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3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．构建良好计量科技创新生态。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加强高校、科研院所及部门科研项目的合作，构建以高校和科研院所为基础、计量技术机构为支撑、企业为依托的计量技术创新平台，促进计量科研成果转化和有效应用。扶持与高技术产业、战略性新兴产业相关的计量科研项目的立项。支持、推荐计量科研项目申报市级、省级及以上科技奖项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eastAsia="zh-CN"/>
        </w:rPr>
        <w:t>（责任单位：市市场监管局、市科技局，皖西学院、安徽国防科技职业学院等高校科研院所）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outlineLvl w:val="1"/>
        <w:rPr>
          <w:rFonts w:hint="default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（二）优化计量应用服务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64"/>
        <w:jc w:val="both"/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4．服务新兴产业质量提升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围绕我市优势产业、战略性新兴产业等重点领域，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研究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具有产业特点的量值传递技术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铁基新材料、中药材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、新能源汽车等领域参与筹建１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-２家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省级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产业计量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测试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中心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和产业计量测试联盟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。发挥计量对高端装备制造、铁基新材料、汽车零部件、电子信息、食品健康领域的支撑保障作用。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发改委、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经信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数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管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局，各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县区人民政府、市开发区管委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5．服务碳达峰碳中和战略。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利用先进测量技术，重点加强碳排放、生态环境、气候变化等关键计量测试技术研究和应用，健全碳计量标准装置，为温室气体排放可测量、可报告、可核查提供计量支撑。持续开展能源计量审查，实现重点用能单位全部配备和使用能源计量器具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推动企业建立健全碳排放管理体系。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积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极开展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能源资源计量服务示范工程建设。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（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发改委、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市生态环境局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6．服务大众健康与安全。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加快省级中药材产业计量测试中心建设。围绕疾病防控、生物医药、诊断试剂、医疗器械、营养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与保健食品、安全防护等领域开展关键计量测试技术的应用。加强公共安全、社会稳定、自然灾害等安全防护领域计量技术测试服务能力。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建立医用诊断X射线设备、验光仪器、心脑电测量仪器等医疗卫生计量器具检定装置，努力实现民生领域安全防护、医疗卫生等强制检定项目全覆盖目标。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（责任单位：市市场监管局、市公安局、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市交通局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、市卫健委、市应急局）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7．服务交通计量技术发展。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开展交通安全专用测量设备、货车超载超限设备、机动车测速装置和机动车光污染、声污染、尾气排放在线监测设备等计量技术应用，确保测量设备量值溯源科学准确。开展新能源汽车电池、充电设施等计量测试技术应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生态环境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 w:eastAsia="zh-CN"/>
        </w:rPr>
        <w:t>市交通局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right="0"/>
        <w:jc w:val="both"/>
        <w:outlineLvl w:val="1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　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（三）强化</w:t>
      </w:r>
      <w:r>
        <w:rPr>
          <w:rFonts w:hint="eastAsia" w:ascii="方正楷体_GBK" w:hAnsi="方正楷体_GBK" w:eastAsia="方正楷体_GBK" w:cs="方正楷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计量能力建设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Lines="0" w:afterLines="0" w:line="560" w:lineRule="exact"/>
        <w:ind w:right="0" w:firstLine="642" w:firstLineChars="20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8．建立新型量值传递溯源体系。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积极应对国际单位制的变革和量值传递溯源的数字化要求，逐步构建政府统筹、依法管理的量值传递体系和市场驱动、高效开放的量值溯源体系。强化量值传递体系的法制保障和基础保障，科学规划全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计量标准建设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充分发挥市场力量，提升量值溯源效能，鼓励社会资源提供量值溯源技术服务。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9．推进计量标准建设。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开展计量标准能力提升工程，在公平贸易、乡村振兴、公共安全、自然资源等重点领域新建一批社会公用计量标准，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尽快填补我市量值传递空白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。在食品安全、环境保护、医疗卫生、安全防护等领域，加快建立适应我市经济社会发展急需的社会公用计量标准。到2025年，全市社会公用计量标准达到220项，其中最高计量标准达到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88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项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市场监管局，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皖西学院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安徽国防科技职业学院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六安职业技术学院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等高校科研院所，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600" w:lineRule="atLeast"/>
        <w:ind w:left="0" w:right="0" w:firstLine="640"/>
        <w:jc w:val="both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0．统筹计量技术机构建设。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市、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县级法定计量检定机构要立足为社会提供基础性、公共性量值传递与溯源服务，落实好强制检定职责，强化民生计量、法制计量保障。开展县级法定计量检定机构能力提升行动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，力争到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2025年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底，全市所有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县级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机构达到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B级以上，达到A级的县级机构数量至少1家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。积极参与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国家、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省级计量比对、计量比武、计量科研活动，承担地方计量技术规范制修订任务，</w:t>
      </w:r>
      <w:r>
        <w:rPr>
          <w:rFonts w:hint="eastAsia" w:ascii="仿宋_GB2312" w:hAnsi="仿宋_GB2312" w:eastAsia="仿宋_GB2312" w:cs="仿宋_GB2312"/>
          <w:sz w:val="32"/>
        </w:rPr>
        <w:t>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断提高计量技术人员的专业能力。鼓励支持其他各类计量技术机构发展，支持其为经济社会发展和行业创新提供多样化的计量测试服务。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1．加强计量人才队伍建设。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依托重大科研项目、重点建设平台，在计量领域培育省、市学术和技术带头人。积极引进紧缺人才，支持培养中青年人才。实施计量专业技术人才提升行动，积极参与制定地方计量技术规范。以市法定计量检定机构为依托，建设计量“传、帮、带”培训平台和实训基地，提升我市计量专业技术人员能力。加强计量领域相关职业技能等级认定、注册计量师职业资格管理和计量专业职称评聘工作。鼓励计量技术机构和规模以上工业企业创新岗位设置，探索建立首席计量师、首席工程师、首席研究员等聘任制度。参与我省计量人才库和省际计量合作专家团队建设，培养一批安徽省专业计量技术委员会委员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省级计量标准考评员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支持技术人员开展多层次计量交流合作。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科技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局、市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人社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2．加强企业计量体系建设。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引导企业建立健全计量管理制度和保障体系，加强计量基础设施建设、计量科技创新和测量数据应用，鼓励企业通过测量管理体系认证。落实企业计量能力自我声明制度，推广开展企业计量标杆示范。发挥产业计量优势，落实中小企业计量伙伴计划，开展“计量服务中小企业行”活动，提升产业链计量保证能力。鼓励社会加大对企业计量发展的资源投入，研究出台激励企业增加计量投入的普惠性政策，落实好国家对企业新购置计量器具相关税收优惠政策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国家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税务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总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六安市税务局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13．推动计量协作发展。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积极参加区域计量服务协同平台和计量数据协同应用中心建设，参与建立区域量值传递溯源体系，提升我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区域发展计量服务保障和科技创新能力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。参与区域间计量创新科技合作、区域性计量比对和计量技术规范制定修订，推进区域计量能力、结果互认。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积极参与长三角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产业计量云平台，加强长三角产业计量交流活动。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14．加强质量基础设施建设。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围绕我市产业发展需求，布局建设一批产业急需的质量基础设施，建成面向企业和产业的全链条、全方位、全过程的“一站式”质量基础设施服务平台，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为企业提供计量、标准、认证认可、检验检测、质量管理、知识产权、品牌培育等一揽子服务，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聚焦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新能源汽车配套产业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关键领域，开展“计量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标准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检验检测</w:t>
      </w:r>
      <w:r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—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认证认可”全链条整体技术服务。推动计量与相关领域技术规范共享共用，强化计量溯源性要求，发挥精准计量的科学验证作用。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outlineLvl w:val="1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（四）严格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计量监督管理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15．落实计量制度改革。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贯彻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落实《中华人民共和国计量法》、《安徽省计量监督管理条例》等法律法规。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推进“双随机、一公开”监管，加快智能计量器具实时监控、失准更换和监督抽查相结合的新型监管制度建设。探索实现远程、在线、移动监管，逐步建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智慧计量监管平台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，鼓励计量技术机构建立智能计量管理系统，建立智慧计量实验室。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　　</w:t>
      </w: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6．推进民生计量监管。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广泛实施计量惠民工程，加强对供水、供气、供电等基础民生计量行业的监督管理，提升精准医疗、可穿戴设备、体育健身、养老等高品质生活领域的计量监管能力。加强计量器具强制检定能力建设，持续开展对集贸市场、加油站、餐饮业、商店、眼镜店和定量包装商品的计量监督，加强对医疗卫生、环境监测、安全防护、取用水、节能减排等领域计量专项监督检查。加强乡村民生计量保障，加大粮食、化肥等涉农物资计量监管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发改委、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生态环境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住建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农业农村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水利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卫健委、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应急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，国网安徽省电力公司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六安供电公司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7．加强诚信计量体系建设。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建立完善以经营者自我承诺为主、政府部门推动为辅、社会各界监督为补充的诚信计量体系。在商业、服务业等领域全面开展诚信计量行动，推行经营者诚信计量自我承诺，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建立市场主体计量信用记录，推进计量信用分级分类监管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十四五”期间，全市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引导培育诚信计量示范单位100家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2035年，再继续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引导培育诚信计量示范单位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00家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default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" w:eastAsia="zh-CN"/>
        </w:rPr>
        <w:t>1</w:t>
      </w: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8．严格计量执法活动。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加大对计量违法行为的打击力度，依法查处制造、销售和使用带有作弊功能计量器具，伪造计量数据、出具虚假计量证书和报告等违法行为。建立健全查处重大计量违法案件执法联动机制，做好行政执法与刑事司法衔接。实现计量业务监管与综合执法信息共享，提升执法效率。加强计量执法队伍建设，提高计量执法装备水平。对举报计量违法行为的单位和个人，按照国家有关规定予以奖励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推动计量市场健康发展。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（责任单位：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市场监管局、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公安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，</w:t>
      </w:r>
      <w:r>
        <w:rPr>
          <w:rFonts w:hint="default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"/>
        </w:rPr>
        <w:t>各县区人民政府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、市开发区管委</w:t>
      </w:r>
      <w:r>
        <w:rPr>
          <w:rFonts w:hint="eastAsia" w:ascii="方正楷体_GBK" w:hAnsi="方正楷体_GBK" w:eastAsia="方正楷体_GBK" w:cs="方正楷体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）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outlineLvl w:val="0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三、</w:t>
      </w:r>
      <w:r>
        <w:rPr>
          <w:rFonts w:hint="eastAsia" w:ascii="方正黑体_GBK" w:hAnsi="方正黑体_GBK" w:eastAsia="方正黑体_GBK" w:cs="方正黑体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保障措施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19．加强组织领导。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坚持党对计量工作的全面领导，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建立六安市计量工作联席会议制度。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政府要高度重视计量工作，把计量事业发展与国民经济和社会发展规划的实施有效衔接，突出计量战略资源地位，按照本实施意见确定的目标、任务和政策措施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结合实际抓紧制定具体落实方案，确保各项任务完成。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20．加大政策支持。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要对公益性计量技术机构予以支持，加强计量强制检定、社会公用计量标准建设等公益性工作经费保障。公益性计量工作所需经费按规定纳入本级财政预算。各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应制定相应的投资、科技和人才保障支持政策，加强对计量科研项目和计量科技创新支撑平台的支持。鼓励社会资源通过多元化融资方式，参与产业计量、计量技术、装备研发和应用服务。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  <w:rPr>
          <w:rFonts w:hint="default" w:ascii="Times New Roman" w:hAnsi="Times New Roman" w:cs="Times New Roman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21．弘扬计量文化。</w:t>
      </w:r>
      <w:r>
        <w:rPr>
          <w:rFonts w:hint="eastAsia" w:ascii="方正仿宋_GBK" w:hAnsi="方正仿宋_GBK" w:eastAsia="方正仿宋_GBK" w:cs="方正仿宋_GBK"/>
          <w:b w:val="0"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各级人民政府有关部门要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将计量基础知识纳入公民基本科学素质培训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体系，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加强义务教育阶段计量知识宣传教育。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科技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文化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等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主管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部门要采取多种方式，普及计量科学知识，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倡导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“度万物、量天地、衡公平”的计量文化，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培育</w:t>
      </w:r>
      <w:r>
        <w:rPr>
          <w:rFonts w:hint="eastAsia" w:ascii="方正仿宋_GBK" w:hAnsi="方正仿宋_GBK" w:eastAsia="方正仿宋_GBK" w:cs="方正仿宋_GBK"/>
          <w:i w:val="0"/>
          <w:caps w:val="0"/>
          <w:color w:val="000000"/>
          <w:spacing w:val="0"/>
          <w:sz w:val="32"/>
          <w:szCs w:val="32"/>
          <w:shd w:val="clear" w:color="auto" w:fill="FFFFFF"/>
        </w:rPr>
        <w:t>计量科技文化教育基地和加强开放型实验室建设，提升全社会的计量意识。弘扬新时代计量精神。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640"/>
        <w:jc w:val="both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i w:val="0"/>
          <w:caps w:val="0"/>
          <w:color w:val="333333"/>
          <w:spacing w:val="0"/>
          <w:sz w:val="32"/>
          <w:szCs w:val="32"/>
          <w:shd w:val="clear" w:color="auto" w:fill="FFFFFF"/>
          <w:vertAlign w:val="baseline"/>
          <w:lang w:val="en-US" w:eastAsia="zh-CN"/>
        </w:rPr>
        <w:t>22．狠抓工作落实。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各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级人民政府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要建立落实本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实施意见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的工作责任制，明确职责分工，并将主要目标纳入质量工作考核。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市场监管局会同有关部门加强对本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实施意见贯彻情况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的跟踪监测，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建立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中期评估、总结评估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制度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，总结推广典型经验做法，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研究解决实施中存在的问题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，重要情况及时报告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市</w:t>
      </w: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政府。</w:t>
      </w:r>
    </w:p>
    <w:sectPr>
      <w:footerReference r:id="rId3" w:type="default"/>
      <w:pgSz w:w="11906" w:h="16838"/>
      <w:pgMar w:top="1440" w:right="1531" w:bottom="1440" w:left="1531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(SIP)">
    <w:panose1 w:val="03000509000000000000"/>
    <w:charset w:val="86"/>
    <w:family w:val="auto"/>
    <w:pitch w:val="default"/>
    <w:sig w:usb0="00000003" w:usb1="0A0E0800" w:usb2="00000006" w:usb3="00000000" w:csb0="00040001" w:csb1="00000000"/>
  </w:font>
  <w:font w:name="Microsoft YaHei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A4D7FEA"/>
    <w:rsid w:val="0EDD6EDD"/>
    <w:rsid w:val="11FF4677"/>
    <w:rsid w:val="17DEFFFD"/>
    <w:rsid w:val="1D754083"/>
    <w:rsid w:val="1D7DB819"/>
    <w:rsid w:val="1DAF9A44"/>
    <w:rsid w:val="2CBDC3F1"/>
    <w:rsid w:val="2FDF4648"/>
    <w:rsid w:val="37BF6B47"/>
    <w:rsid w:val="39DBBD06"/>
    <w:rsid w:val="3AFD4966"/>
    <w:rsid w:val="3BFFFF26"/>
    <w:rsid w:val="3DFFC2F7"/>
    <w:rsid w:val="3DFFF312"/>
    <w:rsid w:val="3F23F277"/>
    <w:rsid w:val="3FF71742"/>
    <w:rsid w:val="43CFCBEF"/>
    <w:rsid w:val="47C1B1BB"/>
    <w:rsid w:val="47FD90B7"/>
    <w:rsid w:val="49BF2386"/>
    <w:rsid w:val="4AFF95BF"/>
    <w:rsid w:val="4BFEDB85"/>
    <w:rsid w:val="4EEC7682"/>
    <w:rsid w:val="52DF55EE"/>
    <w:rsid w:val="55F28F8E"/>
    <w:rsid w:val="55FD12CB"/>
    <w:rsid w:val="57770C7A"/>
    <w:rsid w:val="57CE63BF"/>
    <w:rsid w:val="57FCF669"/>
    <w:rsid w:val="5AEE48B2"/>
    <w:rsid w:val="5BBFC973"/>
    <w:rsid w:val="5D6FE0BF"/>
    <w:rsid w:val="5DD8C7BC"/>
    <w:rsid w:val="5DFC8A7C"/>
    <w:rsid w:val="5EEBB7A0"/>
    <w:rsid w:val="5EFFAC22"/>
    <w:rsid w:val="5F5F19B7"/>
    <w:rsid w:val="5F7E3538"/>
    <w:rsid w:val="5FC802F7"/>
    <w:rsid w:val="5FD89DB0"/>
    <w:rsid w:val="625E5A5B"/>
    <w:rsid w:val="63FF3015"/>
    <w:rsid w:val="67F5AB0A"/>
    <w:rsid w:val="697F0256"/>
    <w:rsid w:val="6AFE2DD0"/>
    <w:rsid w:val="6DD92DA0"/>
    <w:rsid w:val="6DF70B69"/>
    <w:rsid w:val="6E77DBC9"/>
    <w:rsid w:val="6EAE5BC4"/>
    <w:rsid w:val="6F4F7FCB"/>
    <w:rsid w:val="6FB14957"/>
    <w:rsid w:val="6FB7FE60"/>
    <w:rsid w:val="6FC9F0E8"/>
    <w:rsid w:val="6FEB65D2"/>
    <w:rsid w:val="6FF51C2F"/>
    <w:rsid w:val="6FF78816"/>
    <w:rsid w:val="6FF78DCA"/>
    <w:rsid w:val="73334556"/>
    <w:rsid w:val="73FF8F85"/>
    <w:rsid w:val="753F39B6"/>
    <w:rsid w:val="75FFCD72"/>
    <w:rsid w:val="765F11AF"/>
    <w:rsid w:val="777C56ED"/>
    <w:rsid w:val="777F5ED4"/>
    <w:rsid w:val="77DFC4CD"/>
    <w:rsid w:val="77E3FA7C"/>
    <w:rsid w:val="77FBF85B"/>
    <w:rsid w:val="79E445BC"/>
    <w:rsid w:val="7A6F846F"/>
    <w:rsid w:val="7BCB7160"/>
    <w:rsid w:val="7BDC67DB"/>
    <w:rsid w:val="7BFD1A88"/>
    <w:rsid w:val="7BFF0FDE"/>
    <w:rsid w:val="7CA3597B"/>
    <w:rsid w:val="7D67F01A"/>
    <w:rsid w:val="7DEF3E3A"/>
    <w:rsid w:val="7DF71866"/>
    <w:rsid w:val="7DF793C2"/>
    <w:rsid w:val="7DF912F0"/>
    <w:rsid w:val="7DF94040"/>
    <w:rsid w:val="7E9F8C7E"/>
    <w:rsid w:val="7EFE2B9F"/>
    <w:rsid w:val="7EFF472E"/>
    <w:rsid w:val="7EFF57A2"/>
    <w:rsid w:val="7EFF5D73"/>
    <w:rsid w:val="7F35E91F"/>
    <w:rsid w:val="7F7FD76E"/>
    <w:rsid w:val="7F9DA18D"/>
    <w:rsid w:val="7FB9B073"/>
    <w:rsid w:val="7FDB1DA3"/>
    <w:rsid w:val="7FE7708F"/>
    <w:rsid w:val="7FE7C1CF"/>
    <w:rsid w:val="7FF2AFED"/>
    <w:rsid w:val="7FFB8D1F"/>
    <w:rsid w:val="8FED9135"/>
    <w:rsid w:val="8FFB5703"/>
    <w:rsid w:val="8FFF1C28"/>
    <w:rsid w:val="9FFB06FB"/>
    <w:rsid w:val="AF3CE823"/>
    <w:rsid w:val="B37FE86A"/>
    <w:rsid w:val="B3BF9164"/>
    <w:rsid w:val="B6FBBB9E"/>
    <w:rsid w:val="B71A7EB5"/>
    <w:rsid w:val="B77CF0B8"/>
    <w:rsid w:val="B7DFD76A"/>
    <w:rsid w:val="B7DFE38F"/>
    <w:rsid w:val="B8D700F6"/>
    <w:rsid w:val="BC9BDAD7"/>
    <w:rsid w:val="BCEBBC21"/>
    <w:rsid w:val="BCEDEB12"/>
    <w:rsid w:val="BD9BDA0F"/>
    <w:rsid w:val="BD9FF266"/>
    <w:rsid w:val="BDFF5E29"/>
    <w:rsid w:val="BF7932E7"/>
    <w:rsid w:val="BF795581"/>
    <w:rsid w:val="BFB71370"/>
    <w:rsid w:val="BFEC5FB8"/>
    <w:rsid w:val="BFF23C26"/>
    <w:rsid w:val="BFF7C5A9"/>
    <w:rsid w:val="BFFA2240"/>
    <w:rsid w:val="C7EB0028"/>
    <w:rsid w:val="CAFC8BB5"/>
    <w:rsid w:val="CBFDF7BC"/>
    <w:rsid w:val="CFFF130B"/>
    <w:rsid w:val="D1BEAD89"/>
    <w:rsid w:val="D2FED6EC"/>
    <w:rsid w:val="D5DF0E68"/>
    <w:rsid w:val="D7FF1D6B"/>
    <w:rsid w:val="D7FFACA4"/>
    <w:rsid w:val="D8C6C826"/>
    <w:rsid w:val="DAF3A197"/>
    <w:rsid w:val="DCD7FDC8"/>
    <w:rsid w:val="DDFFCD72"/>
    <w:rsid w:val="DEF594FD"/>
    <w:rsid w:val="DF1F5342"/>
    <w:rsid w:val="DF4A312E"/>
    <w:rsid w:val="DFBF724B"/>
    <w:rsid w:val="DFE72072"/>
    <w:rsid w:val="DFEF2FFB"/>
    <w:rsid w:val="DFFB7E3F"/>
    <w:rsid w:val="DFFD61FA"/>
    <w:rsid w:val="DFFF5DAC"/>
    <w:rsid w:val="DFFFEFF3"/>
    <w:rsid w:val="E3DF82D9"/>
    <w:rsid w:val="E3FFEDFF"/>
    <w:rsid w:val="E5DF8EED"/>
    <w:rsid w:val="E5F7D5ED"/>
    <w:rsid w:val="E6DF94B8"/>
    <w:rsid w:val="E7FB0C64"/>
    <w:rsid w:val="E8EFB2E8"/>
    <w:rsid w:val="EAF7BE07"/>
    <w:rsid w:val="EBEBE4BE"/>
    <w:rsid w:val="EEEE7116"/>
    <w:rsid w:val="EF373280"/>
    <w:rsid w:val="EF55DE49"/>
    <w:rsid w:val="EF758EAA"/>
    <w:rsid w:val="EF7B2ECE"/>
    <w:rsid w:val="EF7FDF98"/>
    <w:rsid w:val="EFDF4D81"/>
    <w:rsid w:val="EFDF8C28"/>
    <w:rsid w:val="EFEFBB63"/>
    <w:rsid w:val="EFF32BCB"/>
    <w:rsid w:val="F0671CE4"/>
    <w:rsid w:val="F1BC110F"/>
    <w:rsid w:val="F3AF2F25"/>
    <w:rsid w:val="F5F36CE8"/>
    <w:rsid w:val="F6FE8E13"/>
    <w:rsid w:val="F767506D"/>
    <w:rsid w:val="F7797A9B"/>
    <w:rsid w:val="F77CD48F"/>
    <w:rsid w:val="F7EB250B"/>
    <w:rsid w:val="F9FD9851"/>
    <w:rsid w:val="FA4D7FEA"/>
    <w:rsid w:val="FAC758FB"/>
    <w:rsid w:val="FB5CFC2C"/>
    <w:rsid w:val="FB7D7E68"/>
    <w:rsid w:val="FB7F3309"/>
    <w:rsid w:val="FB9344F0"/>
    <w:rsid w:val="FBAF2F9A"/>
    <w:rsid w:val="FBB8F054"/>
    <w:rsid w:val="FBD701CD"/>
    <w:rsid w:val="FBE2D36C"/>
    <w:rsid w:val="FBF78910"/>
    <w:rsid w:val="FBFCF4FE"/>
    <w:rsid w:val="FBFF826A"/>
    <w:rsid w:val="FD745240"/>
    <w:rsid w:val="FD7C6EF3"/>
    <w:rsid w:val="FD7F60C4"/>
    <w:rsid w:val="FEBDFF1E"/>
    <w:rsid w:val="FEF6CC20"/>
    <w:rsid w:val="FEF90C37"/>
    <w:rsid w:val="FF4C4FEA"/>
    <w:rsid w:val="FF6F3456"/>
    <w:rsid w:val="FF7E9E97"/>
    <w:rsid w:val="FF7F8C1D"/>
    <w:rsid w:val="FFCABB6A"/>
    <w:rsid w:val="FFFC32F7"/>
    <w:rsid w:val="FFFD2BE2"/>
    <w:rsid w:val="FFFE3EE9"/>
    <w:rsid w:val="FFFF19E3"/>
    <w:rsid w:val="FFFF590B"/>
    <w:rsid w:val="FFFF78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60" w:lineRule="exact"/>
      <w:ind w:firstLine="200" w:firstLineChars="200"/>
    </w:pPr>
    <w:rPr>
      <w:rFonts w:eastAsia="仿宋_GB2312"/>
      <w:b/>
      <w:color w:val="000000"/>
      <w:sz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Office_11.8.2.9980_F1E327BC-269C-435d-A152-05C5408002CA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2022-05-28T11:29:00Z</dcterms:created>
  <dc:creator>administrator</dc:creator>
  <cp:lastModifiedBy>administrator</cp:lastModifiedBy>
  <cp:lastPrinted>2022-06-21T16:00:40Z</cp:lastPrinted>
  <dcterms:modified xsi:type="dcterms:W3CDTF">2022-06-21T16:49:39Z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2052-11.8.2.9980</vt:lpwstr>
  </property>
</Properties>
</file>