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auto"/>
          <w:sz w:val="32"/>
          <w:szCs w:val="40"/>
          <w:lang w:val="en-US" w:eastAsia="zh-CN"/>
        </w:rPr>
      </w:pPr>
    </w:p>
    <w:p>
      <w:pPr>
        <w:jc w:val="center"/>
        <w:rPr>
          <w:rFonts w:hint="default" w:ascii="Times New Roman" w:hAnsi="Times New Roman" w:eastAsia="方正小标宋简体" w:cs="Times New Roman"/>
          <w:color w:val="auto"/>
          <w:sz w:val="32"/>
          <w:szCs w:val="40"/>
          <w:lang w:val="en-US" w:eastAsia="zh-CN"/>
        </w:rPr>
      </w:pPr>
    </w:p>
    <w:p>
      <w:pPr>
        <w:jc w:val="center"/>
        <w:rPr>
          <w:rFonts w:hint="default" w:ascii="Times New Roman" w:hAnsi="Times New Roman" w:eastAsia="方正小标宋简体" w:cs="Times New Roman"/>
          <w:color w:val="auto"/>
          <w:sz w:val="32"/>
          <w:szCs w:val="40"/>
          <w:lang w:val="en-US" w:eastAsia="zh-CN"/>
        </w:rPr>
      </w:pPr>
    </w:p>
    <w:p>
      <w:pPr>
        <w:jc w:val="center"/>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lang w:val="en-US" w:eastAsia="zh-CN"/>
        </w:rPr>
        <w:t>六安市“十四五”公共服务规划</w:t>
      </w:r>
    </w:p>
    <w:p>
      <w:pPr>
        <w:rPr>
          <w:rFonts w:hint="default" w:ascii="Times New Roman" w:hAnsi="Times New Roman" w:cs="Times New Roman"/>
          <w:color w:val="auto"/>
          <w:sz w:val="32"/>
          <w:szCs w:val="40"/>
        </w:rPr>
      </w:pPr>
    </w:p>
    <w:p>
      <w:pPr>
        <w:rPr>
          <w:rFonts w:hint="default" w:ascii="Times New Roman" w:hAnsi="Times New Roman" w:cs="Times New Roman"/>
          <w:color w:val="auto"/>
          <w:sz w:val="32"/>
          <w:szCs w:val="40"/>
        </w:rPr>
      </w:pPr>
    </w:p>
    <w:p>
      <w:pPr>
        <w:rPr>
          <w:rFonts w:hint="default" w:ascii="Times New Roman" w:hAnsi="Times New Roman" w:cs="Times New Roman"/>
          <w:color w:val="auto"/>
          <w:sz w:val="32"/>
          <w:szCs w:val="40"/>
        </w:rPr>
      </w:pPr>
    </w:p>
    <w:p>
      <w:pPr>
        <w:rPr>
          <w:rFonts w:hint="default" w:ascii="Times New Roman" w:hAnsi="Times New Roman" w:cs="Times New Roman"/>
          <w:color w:val="auto"/>
          <w:sz w:val="32"/>
          <w:szCs w:val="40"/>
        </w:rPr>
      </w:pPr>
    </w:p>
    <w:p>
      <w:pPr>
        <w:rPr>
          <w:rFonts w:hint="default" w:ascii="Times New Roman" w:hAnsi="Times New Roman" w:cs="Times New Roman"/>
          <w:color w:val="auto"/>
          <w:sz w:val="32"/>
          <w:szCs w:val="40"/>
        </w:rPr>
      </w:pPr>
    </w:p>
    <w:p>
      <w:pPr>
        <w:rPr>
          <w:rFonts w:hint="default" w:ascii="Times New Roman" w:hAnsi="Times New Roman" w:cs="Times New Roman"/>
          <w:color w:val="auto"/>
          <w:sz w:val="32"/>
          <w:szCs w:val="40"/>
        </w:rPr>
      </w:pPr>
    </w:p>
    <w:p>
      <w:pPr>
        <w:rPr>
          <w:rFonts w:hint="default" w:ascii="Times New Roman" w:hAnsi="Times New Roman" w:cs="Times New Roman"/>
          <w:color w:val="auto"/>
          <w:sz w:val="32"/>
          <w:szCs w:val="40"/>
        </w:rPr>
      </w:pPr>
    </w:p>
    <w:p>
      <w:pPr>
        <w:pStyle w:val="2"/>
        <w:rPr>
          <w:rFonts w:hint="default" w:ascii="Times New Roman" w:hAnsi="Times New Roman" w:cs="Times New Roman"/>
          <w:color w:val="auto"/>
          <w:sz w:val="32"/>
          <w:szCs w:val="40"/>
        </w:rPr>
      </w:pPr>
    </w:p>
    <w:p>
      <w:pPr>
        <w:rPr>
          <w:rFonts w:hint="default" w:ascii="Times New Roman" w:hAnsi="Times New Roman" w:cs="Times New Roman"/>
          <w:color w:val="auto"/>
          <w:sz w:val="32"/>
          <w:szCs w:val="40"/>
        </w:rPr>
      </w:pPr>
    </w:p>
    <w:p>
      <w:pPr>
        <w:outlineLvl w:val="9"/>
        <w:rPr>
          <w:rFonts w:hint="default" w:ascii="Times New Roman" w:hAnsi="Times New Roman" w:cs="Times New Roman"/>
          <w:color w:val="auto"/>
        </w:rPr>
      </w:pPr>
    </w:p>
    <w:p>
      <w:pPr>
        <w:rPr>
          <w:rFonts w:hint="default" w:ascii="Times New Roman" w:hAnsi="Times New Roman" w:cs="Times New Roman" w:eastAsiaTheme="minorEastAsia"/>
          <w:color w:val="auto"/>
          <w:sz w:val="32"/>
          <w:szCs w:val="40"/>
          <w:lang w:eastAsia="zh-CN"/>
        </w:rPr>
      </w:pPr>
    </w:p>
    <w:p>
      <w:pPr>
        <w:jc w:val="center"/>
        <w:rPr>
          <w:rFonts w:hint="default" w:ascii="Times New Roman" w:hAnsi="Times New Roman" w:eastAsia="楷体_GB2312" w:cs="Times New Roman"/>
          <w:b/>
          <w:bCs/>
          <w:color w:val="auto"/>
          <w:sz w:val="32"/>
          <w:szCs w:val="32"/>
          <w:lang w:val="en-US" w:eastAsia="zh-CN"/>
        </w:rPr>
      </w:pPr>
    </w:p>
    <w:p>
      <w:pPr>
        <w:bidi w:val="0"/>
        <w:jc w:val="center"/>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2022年</w:t>
      </w:r>
      <w:r>
        <w:rPr>
          <w:rFonts w:hint="eastAsia" w:ascii="Times New Roman" w:hAnsi="Times New Roman" w:eastAsia="楷体_GB2312" w:cs="Times New Roman"/>
          <w:b/>
          <w:bCs/>
          <w:color w:val="auto"/>
          <w:sz w:val="32"/>
          <w:szCs w:val="32"/>
          <w:lang w:val="en-US" w:eastAsia="zh-CN"/>
        </w:rPr>
        <w:t>5</w:t>
      </w:r>
      <w:r>
        <w:rPr>
          <w:rFonts w:hint="default" w:ascii="Times New Roman" w:hAnsi="Times New Roman" w:eastAsia="楷体_GB2312" w:cs="Times New Roman"/>
          <w:b/>
          <w:bCs/>
          <w:color w:val="auto"/>
          <w:sz w:val="32"/>
          <w:szCs w:val="32"/>
          <w:lang w:val="en-US" w:eastAsia="zh-CN"/>
        </w:rPr>
        <w:t>月</w:t>
      </w:r>
    </w:p>
    <w:p>
      <w:pPr>
        <w:rPr>
          <w:rFonts w:hint="default" w:ascii="Times New Roman" w:hAnsi="Times New Roman" w:cs="Times New Roman"/>
          <w:color w:val="auto"/>
          <w:sz w:val="32"/>
          <w:szCs w:val="40"/>
        </w:rPr>
      </w:pPr>
    </w:p>
    <w:p>
      <w:pPr>
        <w:rPr>
          <w:rFonts w:hint="default" w:ascii="Times New Roman" w:hAnsi="Times New Roman" w:cs="Times New Roman"/>
          <w:color w:val="auto"/>
          <w:sz w:val="32"/>
          <w:szCs w:val="40"/>
        </w:rPr>
        <w:sectPr>
          <w:headerReference r:id="rId3" w:type="default"/>
          <w:pgSz w:w="11906" w:h="16838"/>
          <w:pgMar w:top="1440" w:right="1800" w:bottom="1440" w:left="1800" w:header="851" w:footer="992" w:gutter="0"/>
          <w:cols w:space="425" w:num="1"/>
          <w:docGrid w:type="lines" w:linePitch="312" w:charSpace="0"/>
        </w:sectPr>
      </w:pPr>
    </w:p>
    <w:sdt>
      <w:sdtPr>
        <w:rPr>
          <w:rFonts w:hint="default" w:ascii="Times New Roman" w:hAnsi="Times New Roman" w:eastAsia="宋体" w:cs="Times New Roman"/>
          <w:color w:val="auto"/>
          <w:kern w:val="2"/>
          <w:sz w:val="21"/>
          <w:szCs w:val="24"/>
          <w:lang w:val="en-US" w:eastAsia="zh-CN" w:bidi="ar-SA"/>
        </w:rPr>
        <w:id w:val="147452733"/>
        <w15:color w:val="DBDBDB"/>
      </w:sdtPr>
      <w:sdtEndPr>
        <w:rPr>
          <w:rFonts w:hint="default" w:ascii="Times New Roman" w:hAnsi="Times New Roman" w:eastAsia="楷体_GB2312" w:cs="Times New Roman"/>
          <w:b/>
          <w:color w:val="auto"/>
          <w:kern w:val="2"/>
          <w:sz w:val="30"/>
          <w:szCs w:val="30"/>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楷体_GB2312" w:cs="Times New Roman"/>
              <w:color w:val="auto"/>
              <w:kern w:val="2"/>
              <w:sz w:val="30"/>
              <w:szCs w:val="30"/>
              <w:lang w:val="en-US" w:eastAsia="zh-CN" w:bidi="ar-SA"/>
            </w:rPr>
          </w:pPr>
          <w:r>
            <w:rPr>
              <w:rFonts w:hint="default" w:ascii="Times New Roman" w:hAnsi="Times New Roman" w:eastAsia="黑体" w:cs="Times New Roman"/>
              <w:b/>
              <w:bCs/>
              <w:color w:val="auto"/>
              <w:sz w:val="32"/>
              <w:szCs w:val="40"/>
            </w:rPr>
            <w:t>目</w:t>
          </w:r>
          <w:r>
            <w:rPr>
              <w:rFonts w:hint="default" w:ascii="Times New Roman" w:hAnsi="Times New Roman" w:eastAsia="黑体" w:cs="Times New Roman"/>
              <w:b/>
              <w:bCs/>
              <w:color w:val="auto"/>
              <w:sz w:val="32"/>
              <w:szCs w:val="40"/>
              <w:lang w:val="en-US" w:eastAsia="zh-CN"/>
            </w:rPr>
            <w:t xml:space="preserve">  </w:t>
          </w:r>
          <w:r>
            <w:rPr>
              <w:rFonts w:hint="default" w:ascii="Times New Roman" w:hAnsi="Times New Roman" w:eastAsia="黑体" w:cs="Times New Roman"/>
              <w:b/>
              <w:bCs/>
              <w:color w:val="auto"/>
              <w:sz w:val="32"/>
              <w:szCs w:val="40"/>
            </w:rPr>
            <w:t>录</w:t>
          </w: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color w:val="auto"/>
              <w:sz w:val="30"/>
              <w:szCs w:val="30"/>
            </w:rPr>
            <w:instrText xml:space="preserve">TOC \o "1-2" \h \u </w:instrText>
          </w:r>
          <w:r>
            <w:rPr>
              <w:rFonts w:hint="default" w:ascii="Times New Roman" w:hAnsi="Times New Roman" w:eastAsia="楷体_GB2312" w:cs="Times New Roman"/>
              <w:color w:val="auto"/>
              <w:sz w:val="30"/>
              <w:szCs w:val="30"/>
            </w:rPr>
            <w:fldChar w:fldCharType="separate"/>
          </w:r>
        </w:p>
        <w:p>
          <w:pPr>
            <w:pStyle w:val="11"/>
            <w:tabs>
              <w:tab w:val="right" w:leader="dot" w:pos="8306"/>
            </w:tabs>
            <w:spacing w:line="530" w:lineRule="exact"/>
            <w:rPr>
              <w:rFonts w:hint="default" w:ascii="Times New Roman" w:hAnsi="Times New Roman" w:eastAsia="黑体" w:cs="Times New Roman"/>
              <w:sz w:val="30"/>
              <w:szCs w:val="30"/>
            </w:rPr>
          </w:pPr>
          <w:r>
            <w:rPr>
              <w:rFonts w:hint="default" w:ascii="Times New Roman" w:hAnsi="Times New Roman" w:eastAsia="黑体" w:cs="Times New Roman"/>
              <w:color w:val="auto"/>
              <w:sz w:val="30"/>
              <w:szCs w:val="30"/>
            </w:rPr>
            <w:fldChar w:fldCharType="begin"/>
          </w:r>
          <w:r>
            <w:rPr>
              <w:rFonts w:hint="default" w:ascii="Times New Roman" w:hAnsi="Times New Roman" w:eastAsia="黑体" w:cs="Times New Roman"/>
              <w:sz w:val="30"/>
              <w:szCs w:val="30"/>
            </w:rPr>
            <w:instrText xml:space="preserve"> HYPERLINK \l _Toc26919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lang w:val="en-US" w:eastAsia="zh-CN"/>
            </w:rPr>
            <w:t>序  言</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_Toc26919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1</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auto"/>
              <w:sz w:val="30"/>
              <w:szCs w:val="30"/>
            </w:rPr>
            <w:fldChar w:fldCharType="end"/>
          </w:r>
        </w:p>
        <w:p>
          <w:pPr>
            <w:pStyle w:val="11"/>
            <w:tabs>
              <w:tab w:val="right" w:leader="dot" w:pos="8306"/>
            </w:tabs>
            <w:spacing w:line="530" w:lineRule="exact"/>
            <w:rPr>
              <w:rFonts w:hint="default" w:ascii="Times New Roman" w:hAnsi="Times New Roman" w:eastAsia="黑体" w:cs="Times New Roman"/>
              <w:sz w:val="30"/>
              <w:szCs w:val="30"/>
            </w:rPr>
          </w:pPr>
          <w:r>
            <w:rPr>
              <w:rFonts w:hint="default" w:ascii="Times New Roman" w:hAnsi="Times New Roman" w:eastAsia="黑体" w:cs="Times New Roman"/>
              <w:color w:val="auto"/>
              <w:sz w:val="30"/>
              <w:szCs w:val="30"/>
            </w:rPr>
            <w:fldChar w:fldCharType="begin"/>
          </w:r>
          <w:r>
            <w:rPr>
              <w:rFonts w:hint="default" w:ascii="Times New Roman" w:hAnsi="Times New Roman" w:eastAsia="黑体" w:cs="Times New Roman"/>
              <w:sz w:val="30"/>
              <w:szCs w:val="30"/>
            </w:rPr>
            <w:instrText xml:space="preserve"> HYPERLINK \l _Toc1002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lang w:val="en-US" w:eastAsia="zh-CN"/>
            </w:rPr>
            <w:t>第一章  规划背景</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_Toc1002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3</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auto"/>
              <w:sz w:val="30"/>
              <w:szCs w:val="30"/>
            </w:rPr>
            <w:fldChar w:fldCharType="end"/>
          </w:r>
        </w:p>
        <w:p>
          <w:pPr>
            <w:pStyle w:val="13"/>
            <w:tabs>
              <w:tab w:val="right" w:leader="dot" w:pos="8306"/>
            </w:tabs>
            <w:spacing w:line="530" w:lineRule="exact"/>
            <w:rPr>
              <w:rFonts w:hint="default" w:ascii="Times New Roman" w:hAnsi="Times New Roman"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_Toc18335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bCs/>
              <w:sz w:val="30"/>
              <w:szCs w:val="30"/>
              <w:lang w:val="en-US" w:eastAsia="zh-CN"/>
            </w:rPr>
            <w:t>第一节  发展基础</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_Toc18335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w:t>
          </w:r>
          <w:r>
            <w:rPr>
              <w:rFonts w:hint="default" w:ascii="Times New Roman" w:hAnsi="Times New Roman"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3"/>
            <w:tabs>
              <w:tab w:val="right" w:leader="dot" w:pos="8306"/>
            </w:tabs>
            <w:spacing w:line="530" w:lineRule="exact"/>
            <w:rPr>
              <w:rFonts w:hint="default" w:ascii="Times New Roman" w:hAnsi="Times New Roman"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_Toc8440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bCs/>
              <w:sz w:val="30"/>
              <w:szCs w:val="30"/>
              <w:lang w:val="en-US" w:eastAsia="zh-CN"/>
            </w:rPr>
            <w:t>第二节</w:t>
          </w:r>
          <w:r>
            <w:rPr>
              <w:rFonts w:hint="default" w:ascii="Times New Roman" w:hAnsi="Times New Roman" w:cs="Times New Roman"/>
              <w:bCs/>
              <w:sz w:val="30"/>
              <w:szCs w:val="30"/>
              <w:lang w:val="en-US" w:eastAsia="zh-CN"/>
            </w:rPr>
            <w:t xml:space="preserve">  </w:t>
          </w:r>
          <w:r>
            <w:rPr>
              <w:rFonts w:hint="default" w:ascii="Times New Roman" w:hAnsi="Times New Roman" w:eastAsia="楷体_GB2312" w:cs="Times New Roman"/>
              <w:bCs/>
              <w:sz w:val="30"/>
              <w:szCs w:val="30"/>
              <w:lang w:val="en-US" w:eastAsia="zh-CN"/>
            </w:rPr>
            <w:t>机遇挑战</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_Toc8440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6</w:t>
          </w:r>
          <w:r>
            <w:rPr>
              <w:rFonts w:hint="default" w:ascii="Times New Roman" w:hAnsi="Times New Roman"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1"/>
            <w:tabs>
              <w:tab w:val="right" w:leader="dot" w:pos="8306"/>
            </w:tabs>
            <w:spacing w:line="530" w:lineRule="exact"/>
            <w:rPr>
              <w:rFonts w:hint="default" w:ascii="Times New Roman" w:hAnsi="Times New Roman" w:eastAsia="黑体" w:cs="Times New Roman"/>
              <w:sz w:val="30"/>
              <w:szCs w:val="30"/>
            </w:rPr>
          </w:pPr>
          <w:r>
            <w:rPr>
              <w:rFonts w:hint="default" w:ascii="Times New Roman" w:hAnsi="Times New Roman" w:eastAsia="黑体" w:cs="Times New Roman"/>
              <w:color w:val="auto"/>
              <w:sz w:val="30"/>
              <w:szCs w:val="30"/>
            </w:rPr>
            <w:fldChar w:fldCharType="begin"/>
          </w:r>
          <w:r>
            <w:rPr>
              <w:rFonts w:hint="default" w:ascii="Times New Roman" w:hAnsi="Times New Roman" w:eastAsia="黑体" w:cs="Times New Roman"/>
              <w:sz w:val="30"/>
              <w:szCs w:val="30"/>
            </w:rPr>
            <w:instrText xml:space="preserve"> HYPERLINK \l _Toc17973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lang w:val="en-US" w:eastAsia="zh-CN"/>
            </w:rPr>
            <w:t>第二章  总体思路</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_Toc17973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9</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auto"/>
              <w:sz w:val="30"/>
              <w:szCs w:val="30"/>
            </w:rPr>
            <w:fldChar w:fldCharType="end"/>
          </w:r>
        </w:p>
        <w:p>
          <w:pPr>
            <w:pStyle w:val="13"/>
            <w:tabs>
              <w:tab w:val="right" w:leader="dot" w:pos="8306"/>
            </w:tabs>
            <w:spacing w:line="530" w:lineRule="exact"/>
            <w:rPr>
              <w:rFonts w:hint="default" w:ascii="Times New Roman" w:hAnsi="Times New Roman"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_Toc9876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bCs/>
              <w:sz w:val="30"/>
              <w:szCs w:val="30"/>
              <w:lang w:val="en-US" w:eastAsia="zh-CN"/>
            </w:rPr>
            <w:t>第一节</w:t>
          </w:r>
          <w:r>
            <w:rPr>
              <w:rFonts w:hint="default" w:ascii="Times New Roman" w:hAnsi="Times New Roman" w:cs="Times New Roman"/>
              <w:bCs/>
              <w:sz w:val="30"/>
              <w:szCs w:val="30"/>
              <w:lang w:val="en-US" w:eastAsia="zh-CN"/>
            </w:rPr>
            <w:t xml:space="preserve">  </w:t>
          </w:r>
          <w:r>
            <w:rPr>
              <w:rFonts w:hint="default" w:ascii="Times New Roman" w:hAnsi="Times New Roman" w:eastAsia="楷体_GB2312" w:cs="Times New Roman"/>
              <w:bCs/>
              <w:sz w:val="30"/>
              <w:szCs w:val="30"/>
              <w:lang w:val="en-US" w:eastAsia="zh-CN"/>
            </w:rPr>
            <w:t>指导思想</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_Toc9876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9</w:t>
          </w:r>
          <w:r>
            <w:rPr>
              <w:rFonts w:hint="default" w:ascii="Times New Roman" w:hAnsi="Times New Roman"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3"/>
            <w:tabs>
              <w:tab w:val="right" w:leader="dot" w:pos="8306"/>
            </w:tabs>
            <w:spacing w:line="530" w:lineRule="exact"/>
            <w:rPr>
              <w:rFonts w:hint="default" w:ascii="Times New Roman" w:hAnsi="Times New Roman"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_Toc10595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bCs/>
              <w:sz w:val="30"/>
              <w:szCs w:val="30"/>
              <w:lang w:val="en-US" w:eastAsia="zh-CN"/>
            </w:rPr>
            <w:t>第二节</w:t>
          </w:r>
          <w:r>
            <w:rPr>
              <w:rFonts w:hint="default" w:ascii="Times New Roman" w:hAnsi="Times New Roman" w:cs="Times New Roman"/>
              <w:bCs/>
              <w:sz w:val="30"/>
              <w:szCs w:val="30"/>
              <w:lang w:val="en-US" w:eastAsia="zh-CN"/>
            </w:rPr>
            <w:t xml:space="preserve">  </w:t>
          </w:r>
          <w:r>
            <w:rPr>
              <w:rFonts w:hint="default" w:ascii="Times New Roman" w:hAnsi="Times New Roman" w:eastAsia="楷体_GB2312" w:cs="Times New Roman"/>
              <w:bCs/>
              <w:sz w:val="30"/>
              <w:szCs w:val="30"/>
              <w:lang w:val="en-US" w:eastAsia="zh-CN"/>
            </w:rPr>
            <w:t>基本原则</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_Toc10595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9</w:t>
          </w:r>
          <w:r>
            <w:rPr>
              <w:rFonts w:hint="default" w:ascii="Times New Roman" w:hAnsi="Times New Roman"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3"/>
            <w:tabs>
              <w:tab w:val="right" w:leader="dot" w:pos="8306"/>
            </w:tabs>
            <w:spacing w:line="530" w:lineRule="exact"/>
            <w:rPr>
              <w:rFonts w:hint="default" w:ascii="Times New Roman" w:hAnsi="Times New Roman"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_Toc14503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bCs/>
              <w:sz w:val="30"/>
              <w:szCs w:val="30"/>
              <w:lang w:val="en-US" w:eastAsia="zh-CN"/>
            </w:rPr>
            <w:t>第三节</w:t>
          </w:r>
          <w:r>
            <w:rPr>
              <w:rFonts w:hint="default" w:ascii="Times New Roman" w:hAnsi="Times New Roman" w:cs="Times New Roman"/>
              <w:bCs/>
              <w:sz w:val="30"/>
              <w:szCs w:val="30"/>
              <w:lang w:val="en-US" w:eastAsia="zh-CN"/>
            </w:rPr>
            <w:t xml:space="preserve">  </w:t>
          </w:r>
          <w:r>
            <w:rPr>
              <w:rFonts w:hint="default" w:ascii="Times New Roman" w:hAnsi="Times New Roman" w:eastAsia="楷体_GB2312" w:cs="Times New Roman"/>
              <w:bCs/>
              <w:sz w:val="30"/>
              <w:szCs w:val="30"/>
              <w:lang w:val="en-US" w:eastAsia="zh-CN"/>
            </w:rPr>
            <w:t>主要目标</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_Toc14503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10</w:t>
          </w:r>
          <w:r>
            <w:rPr>
              <w:rFonts w:hint="default" w:ascii="Times New Roman" w:hAnsi="Times New Roman"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1"/>
            <w:tabs>
              <w:tab w:val="right" w:leader="dot" w:pos="8306"/>
            </w:tabs>
            <w:spacing w:line="530" w:lineRule="exact"/>
            <w:rPr>
              <w:rFonts w:hint="default" w:ascii="Times New Roman" w:hAnsi="Times New Roman" w:eastAsia="黑体" w:cs="Times New Roman"/>
              <w:sz w:val="30"/>
              <w:szCs w:val="30"/>
            </w:rPr>
          </w:pPr>
          <w:r>
            <w:rPr>
              <w:rFonts w:hint="default" w:ascii="Times New Roman" w:hAnsi="Times New Roman" w:eastAsia="黑体" w:cs="Times New Roman"/>
              <w:color w:val="auto"/>
              <w:sz w:val="30"/>
              <w:szCs w:val="30"/>
            </w:rPr>
            <w:fldChar w:fldCharType="begin"/>
          </w:r>
          <w:r>
            <w:rPr>
              <w:rFonts w:hint="default" w:ascii="Times New Roman" w:hAnsi="Times New Roman" w:eastAsia="黑体" w:cs="Times New Roman"/>
              <w:sz w:val="30"/>
              <w:szCs w:val="30"/>
            </w:rPr>
            <w:instrText xml:space="preserve"> HYPERLINK \l _Toc31092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lang w:val="en-US" w:eastAsia="zh-CN"/>
            </w:rPr>
            <w:t>第三章  普惠安全的托育照护服务</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_Toc31092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13</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auto"/>
              <w:sz w:val="30"/>
              <w:szCs w:val="30"/>
            </w:rPr>
            <w:fldChar w:fldCharType="end"/>
          </w:r>
        </w:p>
        <w:p>
          <w:pPr>
            <w:pStyle w:val="13"/>
            <w:tabs>
              <w:tab w:val="right" w:leader="dot" w:pos="8306"/>
            </w:tabs>
            <w:spacing w:line="530" w:lineRule="exact"/>
            <w:rPr>
              <w:rFonts w:hint="default" w:ascii="Times New Roman" w:hAnsi="Times New Roman"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_Toc2604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bCs/>
              <w:sz w:val="30"/>
              <w:szCs w:val="30"/>
              <w:lang w:val="en-US" w:eastAsia="zh-CN"/>
            </w:rPr>
            <w:t>第一节</w:t>
          </w:r>
          <w:r>
            <w:rPr>
              <w:rFonts w:hint="default" w:ascii="Times New Roman" w:hAnsi="Times New Roman" w:cs="Times New Roman"/>
              <w:bCs/>
              <w:sz w:val="30"/>
              <w:szCs w:val="30"/>
              <w:lang w:val="en-US" w:eastAsia="zh-CN"/>
            </w:rPr>
            <w:t xml:space="preserve">  </w:t>
          </w:r>
          <w:r>
            <w:rPr>
              <w:rFonts w:hint="default" w:ascii="Times New Roman" w:hAnsi="Times New Roman" w:eastAsia="楷体_GB2312" w:cs="Times New Roman"/>
              <w:bCs/>
              <w:sz w:val="30"/>
              <w:szCs w:val="30"/>
              <w:lang w:val="en-US" w:eastAsia="zh-CN"/>
            </w:rPr>
            <w:t>幼有所育</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_Toc2604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13</w:t>
          </w:r>
          <w:r>
            <w:rPr>
              <w:rFonts w:hint="default" w:ascii="Times New Roman" w:hAnsi="Times New Roman"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3"/>
            <w:tabs>
              <w:tab w:val="right" w:leader="dot" w:pos="8306"/>
            </w:tabs>
            <w:spacing w:line="530" w:lineRule="exact"/>
            <w:rPr>
              <w:rFonts w:hint="default" w:ascii="Times New Roman" w:hAnsi="Times New Roman"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_Toc16857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bCs/>
              <w:sz w:val="30"/>
              <w:szCs w:val="30"/>
              <w:lang w:val="en-US" w:eastAsia="zh-CN"/>
            </w:rPr>
            <w:t>第二节</w:t>
          </w:r>
          <w:r>
            <w:rPr>
              <w:rFonts w:hint="default" w:ascii="Times New Roman" w:hAnsi="Times New Roman" w:cs="Times New Roman"/>
              <w:bCs/>
              <w:sz w:val="30"/>
              <w:szCs w:val="30"/>
              <w:lang w:val="en-US" w:eastAsia="zh-CN"/>
            </w:rPr>
            <w:t xml:space="preserve">  </w:t>
          </w:r>
          <w:r>
            <w:rPr>
              <w:rFonts w:hint="default" w:ascii="Times New Roman" w:hAnsi="Times New Roman" w:eastAsia="楷体_GB2312" w:cs="Times New Roman"/>
              <w:bCs/>
              <w:sz w:val="30"/>
              <w:szCs w:val="30"/>
              <w:lang w:val="en-US" w:eastAsia="zh-CN"/>
            </w:rPr>
            <w:t>幼有善育</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_Toc16857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14</w:t>
          </w:r>
          <w:r>
            <w:rPr>
              <w:rFonts w:hint="default" w:ascii="Times New Roman" w:hAnsi="Times New Roman"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1"/>
            <w:tabs>
              <w:tab w:val="right" w:leader="dot" w:pos="8306"/>
            </w:tabs>
            <w:spacing w:line="530" w:lineRule="exact"/>
            <w:rPr>
              <w:rFonts w:hint="default" w:ascii="Times New Roman" w:hAnsi="Times New Roman" w:eastAsia="黑体" w:cs="Times New Roman"/>
              <w:sz w:val="30"/>
              <w:szCs w:val="30"/>
            </w:rPr>
          </w:pPr>
          <w:r>
            <w:rPr>
              <w:rFonts w:hint="default" w:ascii="Times New Roman" w:hAnsi="Times New Roman" w:eastAsia="黑体" w:cs="Times New Roman"/>
              <w:color w:val="auto"/>
              <w:sz w:val="30"/>
              <w:szCs w:val="30"/>
            </w:rPr>
            <w:fldChar w:fldCharType="begin"/>
          </w:r>
          <w:r>
            <w:rPr>
              <w:rFonts w:hint="default" w:ascii="Times New Roman" w:hAnsi="Times New Roman" w:eastAsia="黑体" w:cs="Times New Roman"/>
              <w:sz w:val="30"/>
              <w:szCs w:val="30"/>
            </w:rPr>
            <w:instrText xml:space="preserve"> HYPERLINK \l _Toc29641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lang w:val="en-US" w:eastAsia="zh-CN"/>
            </w:rPr>
            <w:t>第四章  优质公平的现代教育服务</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_Toc29641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16</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auto"/>
              <w:sz w:val="30"/>
              <w:szCs w:val="30"/>
            </w:rPr>
            <w:fldChar w:fldCharType="end"/>
          </w:r>
        </w:p>
        <w:p>
          <w:pPr>
            <w:pStyle w:val="13"/>
            <w:tabs>
              <w:tab w:val="right" w:leader="dot" w:pos="8306"/>
            </w:tabs>
            <w:spacing w:line="530" w:lineRule="exact"/>
            <w:rPr>
              <w:rFonts w:hint="default" w:ascii="Times New Roman" w:hAnsi="Times New Roman"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_Toc20418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bCs/>
              <w:sz w:val="30"/>
              <w:szCs w:val="30"/>
              <w:lang w:val="en-US" w:eastAsia="zh-CN"/>
            </w:rPr>
            <w:t>第一节</w:t>
          </w:r>
          <w:r>
            <w:rPr>
              <w:rFonts w:hint="default" w:ascii="Times New Roman" w:hAnsi="Times New Roman" w:cs="Times New Roman"/>
              <w:bCs/>
              <w:sz w:val="30"/>
              <w:szCs w:val="30"/>
              <w:lang w:val="en-US" w:eastAsia="zh-CN"/>
            </w:rPr>
            <w:t xml:space="preserve">  </w:t>
          </w:r>
          <w:r>
            <w:rPr>
              <w:rFonts w:hint="default" w:ascii="Times New Roman" w:hAnsi="Times New Roman" w:eastAsia="楷体_GB2312" w:cs="Times New Roman"/>
              <w:bCs/>
              <w:sz w:val="30"/>
              <w:szCs w:val="30"/>
              <w:lang w:val="en-US" w:eastAsia="zh-CN"/>
            </w:rPr>
            <w:t>学有所教</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_Toc20418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16</w:t>
          </w:r>
          <w:r>
            <w:rPr>
              <w:rFonts w:hint="default" w:ascii="Times New Roman" w:hAnsi="Times New Roman"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3"/>
            <w:tabs>
              <w:tab w:val="right" w:leader="dot" w:pos="8306"/>
            </w:tabs>
            <w:spacing w:line="530" w:lineRule="exact"/>
            <w:rPr>
              <w:rFonts w:hint="default" w:ascii="Times New Roman" w:hAnsi="Times New Roman"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_Toc12393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bCs/>
              <w:sz w:val="30"/>
              <w:szCs w:val="30"/>
              <w:lang w:val="en-US" w:eastAsia="zh-CN"/>
            </w:rPr>
            <w:t>第二节</w:t>
          </w:r>
          <w:r>
            <w:rPr>
              <w:rFonts w:hint="default" w:ascii="Times New Roman" w:hAnsi="Times New Roman" w:cs="Times New Roman"/>
              <w:bCs/>
              <w:sz w:val="30"/>
              <w:szCs w:val="30"/>
              <w:lang w:val="en-US" w:eastAsia="zh-CN"/>
            </w:rPr>
            <w:t xml:space="preserve">  </w:t>
          </w:r>
          <w:r>
            <w:rPr>
              <w:rFonts w:hint="default" w:ascii="Times New Roman" w:hAnsi="Times New Roman" w:eastAsia="楷体_GB2312" w:cs="Times New Roman"/>
              <w:bCs/>
              <w:sz w:val="30"/>
              <w:szCs w:val="30"/>
              <w:lang w:val="en-US" w:eastAsia="zh-CN"/>
            </w:rPr>
            <w:t>学有优教</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_Toc12393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17</w:t>
          </w:r>
          <w:r>
            <w:rPr>
              <w:rFonts w:hint="default" w:ascii="Times New Roman" w:hAnsi="Times New Roman"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1"/>
            <w:tabs>
              <w:tab w:val="right" w:leader="dot" w:pos="8306"/>
            </w:tabs>
            <w:spacing w:line="530" w:lineRule="exact"/>
            <w:rPr>
              <w:rFonts w:hint="default" w:ascii="Times New Roman" w:hAnsi="Times New Roman" w:eastAsia="黑体" w:cs="Times New Roman"/>
              <w:sz w:val="30"/>
              <w:szCs w:val="30"/>
            </w:rPr>
          </w:pPr>
          <w:r>
            <w:rPr>
              <w:rFonts w:hint="default" w:ascii="Times New Roman" w:hAnsi="Times New Roman" w:eastAsia="黑体" w:cs="Times New Roman"/>
              <w:color w:val="auto"/>
              <w:sz w:val="30"/>
              <w:szCs w:val="30"/>
            </w:rPr>
            <w:fldChar w:fldCharType="begin"/>
          </w:r>
          <w:r>
            <w:rPr>
              <w:rFonts w:hint="default" w:ascii="Times New Roman" w:hAnsi="Times New Roman" w:eastAsia="黑体" w:cs="Times New Roman"/>
              <w:sz w:val="30"/>
              <w:szCs w:val="30"/>
            </w:rPr>
            <w:instrText xml:space="preserve"> HYPERLINK \l _Toc4846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lang w:val="en-US" w:eastAsia="zh-CN"/>
            </w:rPr>
            <w:t>第五章  高效便捷的就业社保服务</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_Toc4846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20</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auto"/>
              <w:sz w:val="30"/>
              <w:szCs w:val="30"/>
            </w:rPr>
            <w:fldChar w:fldCharType="end"/>
          </w:r>
        </w:p>
        <w:p>
          <w:pPr>
            <w:pStyle w:val="13"/>
            <w:tabs>
              <w:tab w:val="right" w:leader="dot" w:pos="8306"/>
            </w:tabs>
            <w:spacing w:line="530" w:lineRule="exact"/>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_Toc30567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bCs/>
              <w:sz w:val="30"/>
              <w:szCs w:val="30"/>
              <w:lang w:val="en-US" w:eastAsia="zh-CN"/>
            </w:rPr>
            <w:t>第一节  劳有所得</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_Toc30567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20</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3"/>
            <w:tabs>
              <w:tab w:val="right" w:leader="dot" w:pos="8306"/>
            </w:tabs>
            <w:spacing w:line="530" w:lineRule="exact"/>
            <w:rPr>
              <w:rFonts w:hint="default" w:ascii="Times New Roman" w:hAnsi="Times New Roman"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_Toc6543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bCs/>
              <w:sz w:val="30"/>
              <w:szCs w:val="30"/>
              <w:lang w:val="en-US" w:eastAsia="zh-CN"/>
            </w:rPr>
            <w:t>第二节  劳有厚得</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_Toc6543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22</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1"/>
            <w:tabs>
              <w:tab w:val="right" w:leader="dot" w:pos="8306"/>
            </w:tabs>
            <w:spacing w:line="530" w:lineRule="exact"/>
            <w:rPr>
              <w:rFonts w:hint="default" w:ascii="Times New Roman" w:hAnsi="Times New Roman" w:eastAsia="黑体" w:cs="Times New Roman"/>
              <w:sz w:val="30"/>
              <w:szCs w:val="30"/>
            </w:rPr>
          </w:pPr>
          <w:r>
            <w:rPr>
              <w:rFonts w:hint="default" w:ascii="Times New Roman" w:hAnsi="Times New Roman" w:eastAsia="黑体" w:cs="Times New Roman"/>
              <w:color w:val="auto"/>
              <w:sz w:val="30"/>
              <w:szCs w:val="30"/>
            </w:rPr>
            <w:fldChar w:fldCharType="begin"/>
          </w:r>
          <w:r>
            <w:rPr>
              <w:rFonts w:hint="default" w:ascii="Times New Roman" w:hAnsi="Times New Roman" w:eastAsia="黑体" w:cs="Times New Roman"/>
              <w:sz w:val="30"/>
              <w:szCs w:val="30"/>
            </w:rPr>
            <w:instrText xml:space="preserve"> HYPERLINK \l _Toc10570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第六章  全面惠民的医疗卫生服务</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_Toc10570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25</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auto"/>
              <w:sz w:val="30"/>
              <w:szCs w:val="30"/>
            </w:rPr>
            <w:fldChar w:fldCharType="end"/>
          </w:r>
        </w:p>
        <w:p>
          <w:pPr>
            <w:pStyle w:val="13"/>
            <w:tabs>
              <w:tab w:val="right" w:leader="dot" w:pos="8306"/>
            </w:tabs>
            <w:spacing w:line="530" w:lineRule="exact"/>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_Toc10418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第一节  病有所医</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_Toc10418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25</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3"/>
            <w:tabs>
              <w:tab w:val="right" w:leader="dot" w:pos="8306"/>
            </w:tabs>
            <w:spacing w:line="530" w:lineRule="exact"/>
            <w:rPr>
              <w:rFonts w:hint="default" w:ascii="Times New Roman" w:hAnsi="Times New Roman"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_Toc11040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第二节  病有良医</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_Toc11040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27</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1"/>
            <w:tabs>
              <w:tab w:val="right" w:leader="dot" w:pos="8306"/>
            </w:tabs>
            <w:spacing w:line="530" w:lineRule="exact"/>
            <w:rPr>
              <w:rFonts w:hint="default" w:ascii="Times New Roman" w:hAnsi="Times New Roman" w:eastAsia="黑体" w:cs="Times New Roman"/>
              <w:sz w:val="30"/>
              <w:szCs w:val="30"/>
            </w:rPr>
          </w:pPr>
          <w:r>
            <w:rPr>
              <w:rFonts w:hint="default" w:ascii="Times New Roman" w:hAnsi="Times New Roman" w:eastAsia="黑体" w:cs="Times New Roman"/>
              <w:color w:val="auto"/>
              <w:sz w:val="30"/>
              <w:szCs w:val="30"/>
            </w:rPr>
            <w:fldChar w:fldCharType="begin"/>
          </w:r>
          <w:r>
            <w:rPr>
              <w:rFonts w:hint="default" w:ascii="Times New Roman" w:hAnsi="Times New Roman" w:eastAsia="黑体" w:cs="Times New Roman"/>
              <w:sz w:val="30"/>
              <w:szCs w:val="30"/>
            </w:rPr>
            <w:instrText xml:space="preserve"> HYPERLINK \l _Toc15505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highlight w:val="none"/>
              <w:lang w:val="en-US" w:eastAsia="zh-CN"/>
            </w:rPr>
            <w:t>第七章  安心暖心的健康养老服务</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_Toc15505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30</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auto"/>
              <w:sz w:val="30"/>
              <w:szCs w:val="30"/>
            </w:rPr>
            <w:fldChar w:fldCharType="end"/>
          </w:r>
        </w:p>
        <w:p>
          <w:pPr>
            <w:pStyle w:val="13"/>
            <w:tabs>
              <w:tab w:val="right" w:leader="dot" w:pos="8306"/>
            </w:tabs>
            <w:spacing w:line="530" w:lineRule="exact"/>
            <w:rPr>
              <w:rFonts w:hint="default" w:ascii="Times New Roman" w:hAnsi="Times New Roman"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_Toc11773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bCs/>
              <w:sz w:val="30"/>
              <w:szCs w:val="30"/>
              <w:lang w:val="en-US" w:eastAsia="zh-CN"/>
            </w:rPr>
            <w:t>第一节</w:t>
          </w:r>
          <w:r>
            <w:rPr>
              <w:rFonts w:hint="default" w:ascii="Times New Roman" w:hAnsi="Times New Roman" w:cs="Times New Roman"/>
              <w:bCs/>
              <w:sz w:val="30"/>
              <w:szCs w:val="30"/>
              <w:lang w:val="en-US" w:eastAsia="zh-CN"/>
            </w:rPr>
            <w:t xml:space="preserve">  </w:t>
          </w:r>
          <w:r>
            <w:rPr>
              <w:rFonts w:hint="default" w:ascii="Times New Roman" w:hAnsi="Times New Roman" w:eastAsia="楷体_GB2312" w:cs="Times New Roman"/>
              <w:bCs/>
              <w:sz w:val="30"/>
              <w:szCs w:val="30"/>
              <w:lang w:val="en-US" w:eastAsia="zh-CN"/>
            </w:rPr>
            <w:t>老有所养</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_Toc11773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30</w:t>
          </w:r>
          <w:r>
            <w:rPr>
              <w:rFonts w:hint="default" w:ascii="Times New Roman" w:hAnsi="Times New Roman"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3"/>
            <w:tabs>
              <w:tab w:val="right" w:leader="dot" w:pos="8306"/>
            </w:tabs>
            <w:spacing w:line="530" w:lineRule="exact"/>
            <w:rPr>
              <w:rFonts w:hint="default" w:ascii="Times New Roman" w:hAnsi="Times New Roman"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_Toc22703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bCs/>
              <w:sz w:val="30"/>
              <w:szCs w:val="30"/>
              <w:lang w:val="en-US" w:eastAsia="zh-CN"/>
            </w:rPr>
            <w:t>第二节</w:t>
          </w:r>
          <w:r>
            <w:rPr>
              <w:rFonts w:hint="default" w:ascii="Times New Roman" w:hAnsi="Times New Roman" w:cs="Times New Roman"/>
              <w:bCs/>
              <w:sz w:val="30"/>
              <w:szCs w:val="30"/>
              <w:lang w:val="en-US" w:eastAsia="zh-CN"/>
            </w:rPr>
            <w:t xml:space="preserve">  </w:t>
          </w:r>
          <w:r>
            <w:rPr>
              <w:rFonts w:hint="default" w:ascii="Times New Roman" w:hAnsi="Times New Roman" w:eastAsia="楷体_GB2312" w:cs="Times New Roman"/>
              <w:bCs/>
              <w:sz w:val="30"/>
              <w:szCs w:val="30"/>
              <w:lang w:val="en-US" w:eastAsia="zh-CN"/>
            </w:rPr>
            <w:t>老有颐养</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_Toc22703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32</w:t>
          </w:r>
          <w:r>
            <w:rPr>
              <w:rFonts w:hint="default" w:ascii="Times New Roman" w:hAnsi="Times New Roman"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1"/>
            <w:tabs>
              <w:tab w:val="right" w:leader="dot" w:pos="8306"/>
            </w:tabs>
            <w:spacing w:line="530" w:lineRule="exact"/>
            <w:rPr>
              <w:rFonts w:hint="default" w:ascii="Times New Roman" w:hAnsi="Times New Roman" w:eastAsia="黑体" w:cs="Times New Roman"/>
              <w:sz w:val="30"/>
              <w:szCs w:val="30"/>
            </w:rPr>
          </w:pPr>
          <w:r>
            <w:rPr>
              <w:rFonts w:hint="default" w:ascii="Times New Roman" w:hAnsi="Times New Roman" w:eastAsia="黑体" w:cs="Times New Roman"/>
              <w:color w:val="auto"/>
              <w:sz w:val="30"/>
              <w:szCs w:val="30"/>
            </w:rPr>
            <w:fldChar w:fldCharType="begin"/>
          </w:r>
          <w:r>
            <w:rPr>
              <w:rFonts w:hint="default" w:ascii="Times New Roman" w:hAnsi="Times New Roman" w:eastAsia="黑体" w:cs="Times New Roman"/>
              <w:sz w:val="30"/>
              <w:szCs w:val="30"/>
            </w:rPr>
            <w:instrText xml:space="preserve"> HYPERLINK \l _Toc19241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lang w:val="en-US" w:eastAsia="zh-CN"/>
            </w:rPr>
            <w:t>第八章  精准高效的社会服务</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_Toc19241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36</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auto"/>
              <w:sz w:val="30"/>
              <w:szCs w:val="30"/>
            </w:rPr>
            <w:fldChar w:fldCharType="end"/>
          </w:r>
        </w:p>
        <w:p>
          <w:pPr>
            <w:pStyle w:val="13"/>
            <w:tabs>
              <w:tab w:val="right" w:leader="dot" w:pos="8306"/>
            </w:tabs>
            <w:spacing w:line="530" w:lineRule="exact"/>
            <w:rPr>
              <w:rFonts w:hint="default" w:ascii="Times New Roman" w:hAnsi="Times New Roman"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_Toc3513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bCs/>
              <w:sz w:val="30"/>
              <w:szCs w:val="30"/>
              <w:lang w:val="en-US" w:eastAsia="zh-CN"/>
            </w:rPr>
            <w:t>第一节</w:t>
          </w:r>
          <w:r>
            <w:rPr>
              <w:rFonts w:hint="default" w:ascii="Times New Roman" w:hAnsi="Times New Roman" w:cs="Times New Roman"/>
              <w:bCs/>
              <w:sz w:val="30"/>
              <w:szCs w:val="30"/>
              <w:lang w:val="en-US" w:eastAsia="zh-CN"/>
            </w:rPr>
            <w:t xml:space="preserve">  </w:t>
          </w:r>
          <w:r>
            <w:rPr>
              <w:rFonts w:hint="default" w:ascii="Times New Roman" w:hAnsi="Times New Roman" w:eastAsia="楷体_GB2312" w:cs="Times New Roman"/>
              <w:bCs/>
              <w:sz w:val="30"/>
              <w:szCs w:val="30"/>
              <w:lang w:val="en-US" w:eastAsia="zh-CN"/>
            </w:rPr>
            <w:t>弱有所扶</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_Toc3513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36</w:t>
          </w:r>
          <w:r>
            <w:rPr>
              <w:rFonts w:hint="default" w:ascii="Times New Roman" w:hAnsi="Times New Roman"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3"/>
            <w:tabs>
              <w:tab w:val="right" w:leader="dot" w:pos="8306"/>
            </w:tabs>
            <w:spacing w:line="530" w:lineRule="exact"/>
            <w:rPr>
              <w:rFonts w:hint="default" w:ascii="Times New Roman" w:hAnsi="Times New Roman"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_Toc25344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bCs/>
              <w:sz w:val="30"/>
              <w:szCs w:val="30"/>
              <w:lang w:val="en-US" w:eastAsia="zh-CN"/>
            </w:rPr>
            <w:t>第二节</w:t>
          </w:r>
          <w:r>
            <w:rPr>
              <w:rFonts w:hint="default" w:ascii="Times New Roman" w:hAnsi="Times New Roman" w:cs="Times New Roman"/>
              <w:bCs/>
              <w:sz w:val="30"/>
              <w:szCs w:val="30"/>
              <w:lang w:val="en-US" w:eastAsia="zh-CN"/>
            </w:rPr>
            <w:t xml:space="preserve">  </w:t>
          </w:r>
          <w:r>
            <w:rPr>
              <w:rFonts w:hint="default" w:ascii="Times New Roman" w:hAnsi="Times New Roman" w:eastAsia="楷体_GB2312" w:cs="Times New Roman"/>
              <w:bCs/>
              <w:sz w:val="30"/>
              <w:szCs w:val="30"/>
              <w:lang w:val="en-US" w:eastAsia="zh-CN"/>
            </w:rPr>
            <w:t>弱有众扶</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_Toc25344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37</w:t>
          </w:r>
          <w:r>
            <w:rPr>
              <w:rFonts w:hint="default" w:ascii="Times New Roman" w:hAnsi="Times New Roman"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1"/>
            <w:tabs>
              <w:tab w:val="right" w:leader="dot" w:pos="8306"/>
            </w:tabs>
            <w:spacing w:line="530" w:lineRule="exact"/>
            <w:rPr>
              <w:rFonts w:hint="default" w:ascii="Times New Roman" w:hAnsi="Times New Roman" w:eastAsia="黑体" w:cs="Times New Roman"/>
              <w:sz w:val="30"/>
              <w:szCs w:val="30"/>
            </w:rPr>
          </w:pPr>
          <w:r>
            <w:rPr>
              <w:rFonts w:hint="default" w:ascii="Times New Roman" w:hAnsi="Times New Roman" w:eastAsia="黑体" w:cs="Times New Roman"/>
              <w:color w:val="auto"/>
              <w:sz w:val="30"/>
              <w:szCs w:val="30"/>
            </w:rPr>
            <w:fldChar w:fldCharType="begin"/>
          </w:r>
          <w:r>
            <w:rPr>
              <w:rFonts w:hint="default" w:ascii="Times New Roman" w:hAnsi="Times New Roman" w:eastAsia="黑体" w:cs="Times New Roman"/>
              <w:sz w:val="30"/>
              <w:szCs w:val="30"/>
            </w:rPr>
            <w:instrText xml:space="preserve"> HYPERLINK \l _Toc2938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第九章  舒适宜人的住房保障服务</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_Toc2938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40</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auto"/>
              <w:sz w:val="30"/>
              <w:szCs w:val="30"/>
            </w:rPr>
            <w:fldChar w:fldCharType="end"/>
          </w:r>
        </w:p>
        <w:p>
          <w:pPr>
            <w:pStyle w:val="13"/>
            <w:tabs>
              <w:tab w:val="right" w:leader="dot" w:pos="8306"/>
            </w:tabs>
            <w:spacing w:line="530" w:lineRule="exact"/>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_Toc23442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第一节  住有所居</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_Toc23442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40</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3"/>
            <w:tabs>
              <w:tab w:val="right" w:leader="dot" w:pos="8306"/>
            </w:tabs>
            <w:spacing w:line="530" w:lineRule="exact"/>
            <w:rPr>
              <w:rFonts w:hint="default" w:ascii="Times New Roman" w:hAnsi="Times New Roman"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_Toc1893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第二节  住有宜居</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_Toc1893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41</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1"/>
            <w:tabs>
              <w:tab w:val="right" w:leader="dot" w:pos="8306"/>
            </w:tabs>
            <w:spacing w:line="530" w:lineRule="exact"/>
            <w:rPr>
              <w:rFonts w:hint="default" w:ascii="Times New Roman" w:hAnsi="Times New Roman" w:eastAsia="黑体" w:cs="Times New Roman"/>
              <w:sz w:val="30"/>
              <w:szCs w:val="30"/>
            </w:rPr>
          </w:pPr>
          <w:r>
            <w:rPr>
              <w:rFonts w:hint="default" w:ascii="Times New Roman" w:hAnsi="Times New Roman" w:eastAsia="黑体" w:cs="Times New Roman"/>
              <w:color w:val="auto"/>
              <w:sz w:val="30"/>
              <w:szCs w:val="30"/>
            </w:rPr>
            <w:fldChar w:fldCharType="begin"/>
          </w:r>
          <w:r>
            <w:rPr>
              <w:rFonts w:hint="default" w:ascii="Times New Roman" w:hAnsi="Times New Roman" w:eastAsia="黑体" w:cs="Times New Roman"/>
              <w:sz w:val="30"/>
              <w:szCs w:val="30"/>
            </w:rPr>
            <w:instrText xml:space="preserve"> HYPERLINK \l _Toc1414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 xml:space="preserve">第十章  </w:t>
          </w:r>
          <w:r>
            <w:rPr>
              <w:rFonts w:hint="default" w:ascii="Times New Roman" w:hAnsi="Times New Roman" w:eastAsia="黑体" w:cs="Times New Roman"/>
              <w:sz w:val="30"/>
              <w:szCs w:val="30"/>
              <w:lang w:val="en-US" w:eastAsia="zh-CN"/>
            </w:rPr>
            <w:t>高质优享</w:t>
          </w:r>
          <w:r>
            <w:rPr>
              <w:rFonts w:hint="default" w:ascii="Times New Roman" w:hAnsi="Times New Roman" w:eastAsia="黑体" w:cs="Times New Roman"/>
              <w:sz w:val="30"/>
              <w:szCs w:val="30"/>
            </w:rPr>
            <w:t>的文旅体服务</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_Toc1414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42</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auto"/>
              <w:sz w:val="30"/>
              <w:szCs w:val="30"/>
            </w:rPr>
            <w:fldChar w:fldCharType="end"/>
          </w:r>
        </w:p>
        <w:p>
          <w:pPr>
            <w:pStyle w:val="13"/>
            <w:tabs>
              <w:tab w:val="right" w:leader="dot" w:pos="8306"/>
            </w:tabs>
            <w:spacing w:line="530" w:lineRule="exact"/>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_Toc17543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第一节  闲有所享</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_Toc17543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42</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3"/>
            <w:tabs>
              <w:tab w:val="right" w:leader="dot" w:pos="8306"/>
            </w:tabs>
            <w:spacing w:line="530" w:lineRule="exact"/>
            <w:rPr>
              <w:rFonts w:hint="default" w:ascii="Times New Roman" w:hAnsi="Times New Roman"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_Toc24779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第二节  闲有乐享</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_Toc24779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43</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1"/>
            <w:tabs>
              <w:tab w:val="right" w:leader="dot" w:pos="8306"/>
            </w:tabs>
            <w:spacing w:line="530" w:lineRule="exact"/>
            <w:rPr>
              <w:rFonts w:hint="default" w:ascii="Times New Roman" w:hAnsi="Times New Roman" w:eastAsia="黑体" w:cs="Times New Roman"/>
              <w:sz w:val="30"/>
              <w:szCs w:val="30"/>
            </w:rPr>
          </w:pPr>
          <w:r>
            <w:rPr>
              <w:rFonts w:hint="default" w:ascii="Times New Roman" w:hAnsi="Times New Roman" w:eastAsia="黑体" w:cs="Times New Roman"/>
              <w:color w:val="auto"/>
              <w:sz w:val="30"/>
              <w:szCs w:val="30"/>
            </w:rPr>
            <w:fldChar w:fldCharType="begin"/>
          </w:r>
          <w:r>
            <w:rPr>
              <w:rFonts w:hint="default" w:ascii="Times New Roman" w:hAnsi="Times New Roman" w:eastAsia="黑体" w:cs="Times New Roman"/>
              <w:sz w:val="30"/>
              <w:szCs w:val="30"/>
            </w:rPr>
            <w:instrText xml:space="preserve"> HYPERLINK \l _Toc12247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第十一章  丰富规范的优军服务</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_Toc12247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47</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auto"/>
              <w:sz w:val="30"/>
              <w:szCs w:val="30"/>
            </w:rPr>
            <w:fldChar w:fldCharType="end"/>
          </w:r>
        </w:p>
        <w:p>
          <w:pPr>
            <w:pStyle w:val="13"/>
            <w:tabs>
              <w:tab w:val="right" w:leader="dot" w:pos="8306"/>
            </w:tabs>
            <w:spacing w:line="530" w:lineRule="exact"/>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_Toc2076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第一节  军有所待</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_Toc2076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47</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3"/>
            <w:tabs>
              <w:tab w:val="right" w:leader="dot" w:pos="8306"/>
            </w:tabs>
            <w:spacing w:line="530" w:lineRule="exact"/>
            <w:rPr>
              <w:rFonts w:hint="default" w:ascii="Times New Roman" w:hAnsi="Times New Roman"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_Toc23617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第二节  军有优待</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_Toc23617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48</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1"/>
            <w:tabs>
              <w:tab w:val="right" w:leader="dot" w:pos="8306"/>
            </w:tabs>
            <w:spacing w:line="530" w:lineRule="exact"/>
            <w:rPr>
              <w:rFonts w:hint="default" w:ascii="Times New Roman" w:hAnsi="Times New Roman" w:eastAsia="黑体" w:cs="Times New Roman"/>
              <w:sz w:val="30"/>
              <w:szCs w:val="30"/>
            </w:rPr>
          </w:pPr>
          <w:r>
            <w:rPr>
              <w:rFonts w:hint="default" w:ascii="Times New Roman" w:hAnsi="Times New Roman" w:eastAsia="黑体" w:cs="Times New Roman"/>
              <w:color w:val="auto"/>
              <w:sz w:val="30"/>
              <w:szCs w:val="30"/>
            </w:rPr>
            <w:fldChar w:fldCharType="begin"/>
          </w:r>
          <w:r>
            <w:rPr>
              <w:rFonts w:hint="default" w:ascii="Times New Roman" w:hAnsi="Times New Roman" w:eastAsia="黑体" w:cs="Times New Roman"/>
              <w:sz w:val="30"/>
              <w:szCs w:val="30"/>
            </w:rPr>
            <w:instrText xml:space="preserve"> HYPERLINK \l _Toc358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第十二章  协同推进长三角区域公共服务便利共享</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_Toc358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50</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auto"/>
              <w:sz w:val="30"/>
              <w:szCs w:val="30"/>
            </w:rPr>
            <w:fldChar w:fldCharType="end"/>
          </w:r>
        </w:p>
        <w:p>
          <w:pPr>
            <w:pStyle w:val="13"/>
            <w:tabs>
              <w:tab w:val="right" w:leader="dot" w:pos="8306"/>
            </w:tabs>
            <w:spacing w:line="530" w:lineRule="exact"/>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_Toc17382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第一节  加快公共服务政策、标准衔接统一</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_Toc17382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50</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3"/>
            <w:tabs>
              <w:tab w:val="right" w:leader="dot" w:pos="8306"/>
            </w:tabs>
            <w:spacing w:line="530" w:lineRule="exact"/>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_Toc25228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 xml:space="preserve">第二节  </w:t>
          </w:r>
          <w:r>
            <w:rPr>
              <w:rFonts w:hint="default" w:ascii="Times New Roman" w:hAnsi="Times New Roman" w:eastAsia="楷体_GB2312" w:cs="Times New Roman"/>
              <w:sz w:val="30"/>
              <w:szCs w:val="30"/>
              <w:lang w:val="en-US" w:eastAsia="zh-CN"/>
            </w:rPr>
            <w:t>深入</w:t>
          </w:r>
          <w:r>
            <w:rPr>
              <w:rFonts w:hint="default" w:ascii="Times New Roman" w:hAnsi="Times New Roman" w:eastAsia="楷体_GB2312" w:cs="Times New Roman"/>
              <w:sz w:val="30"/>
              <w:szCs w:val="30"/>
            </w:rPr>
            <w:t>推进合六同城化</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_Toc25228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50</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3"/>
            <w:tabs>
              <w:tab w:val="right" w:leader="dot" w:pos="8306"/>
            </w:tabs>
            <w:spacing w:line="530" w:lineRule="exact"/>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_Toc8282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highlight w:val="none"/>
            </w:rPr>
            <w:t>第三节  推动优质资源共建共享</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_Toc8282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51</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3"/>
            <w:tabs>
              <w:tab w:val="right" w:leader="dot" w:pos="8306"/>
            </w:tabs>
            <w:spacing w:line="530" w:lineRule="exact"/>
            <w:rPr>
              <w:rFonts w:hint="default" w:ascii="Times New Roman" w:hAnsi="Times New Roman"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_Toc29982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第四节  提升公共服务便利化水平</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_Toc29982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51</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1"/>
            <w:tabs>
              <w:tab w:val="right" w:leader="dot" w:pos="8306"/>
            </w:tabs>
            <w:spacing w:line="530" w:lineRule="exact"/>
            <w:rPr>
              <w:rFonts w:hint="default" w:ascii="Times New Roman" w:hAnsi="Times New Roman" w:eastAsia="黑体" w:cs="Times New Roman"/>
              <w:sz w:val="30"/>
              <w:szCs w:val="30"/>
            </w:rPr>
          </w:pPr>
          <w:r>
            <w:rPr>
              <w:rFonts w:hint="default" w:ascii="Times New Roman" w:hAnsi="Times New Roman" w:eastAsia="黑体" w:cs="Times New Roman"/>
              <w:color w:val="auto"/>
              <w:sz w:val="30"/>
              <w:szCs w:val="30"/>
            </w:rPr>
            <w:fldChar w:fldCharType="begin"/>
          </w:r>
          <w:r>
            <w:rPr>
              <w:rFonts w:hint="default" w:ascii="Times New Roman" w:hAnsi="Times New Roman" w:eastAsia="黑体" w:cs="Times New Roman"/>
              <w:sz w:val="30"/>
              <w:szCs w:val="30"/>
            </w:rPr>
            <w:instrText xml:space="preserve"> HYPERLINK \l _Toc31219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bCs/>
              <w:sz w:val="30"/>
              <w:szCs w:val="30"/>
              <w:highlight w:val="none"/>
              <w:lang w:val="en-US" w:eastAsia="zh-CN"/>
            </w:rPr>
            <w:t>第十三章  完善公共服务供给机制</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_Toc31219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54</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auto"/>
              <w:sz w:val="30"/>
              <w:szCs w:val="30"/>
            </w:rPr>
            <w:fldChar w:fldCharType="end"/>
          </w:r>
        </w:p>
        <w:p>
          <w:pPr>
            <w:pStyle w:val="13"/>
            <w:tabs>
              <w:tab w:val="right" w:leader="dot" w:pos="8306"/>
            </w:tabs>
            <w:spacing w:line="530" w:lineRule="exact"/>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_Toc6401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bCs/>
              <w:sz w:val="30"/>
              <w:szCs w:val="30"/>
              <w:lang w:val="en-US" w:eastAsia="zh-CN"/>
            </w:rPr>
            <w:t>第一节  推进基本公共服务均等化</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_Toc6401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54</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3"/>
            <w:tabs>
              <w:tab w:val="right" w:leader="dot" w:pos="8306"/>
            </w:tabs>
            <w:spacing w:line="530" w:lineRule="exact"/>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_Toc20064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bCs/>
              <w:sz w:val="30"/>
              <w:szCs w:val="30"/>
              <w:lang w:val="en-US" w:eastAsia="zh-CN"/>
            </w:rPr>
            <w:t>第二节  提高公共服务资源供给效率</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_Toc20064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56</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3"/>
            <w:tabs>
              <w:tab w:val="right" w:leader="dot" w:pos="8306"/>
            </w:tabs>
            <w:spacing w:line="530" w:lineRule="exact"/>
            <w:rPr>
              <w:rFonts w:hint="default" w:ascii="Times New Roman" w:hAnsi="Times New Roman"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_Toc25881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bCs/>
              <w:sz w:val="30"/>
              <w:szCs w:val="30"/>
              <w:lang w:val="en-US" w:eastAsia="zh-CN"/>
            </w:rPr>
            <w:t>第三节  加大公共服务多元化保障</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_Toc25881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57</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1"/>
            <w:tabs>
              <w:tab w:val="right" w:leader="dot" w:pos="8306"/>
            </w:tabs>
            <w:spacing w:line="530" w:lineRule="exact"/>
            <w:rPr>
              <w:rFonts w:hint="default" w:ascii="Times New Roman" w:hAnsi="Times New Roman"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_Toc28959 </w:instrText>
          </w:r>
          <w:r>
            <w:rPr>
              <w:rFonts w:hint="default" w:ascii="Times New Roman" w:hAnsi="Times New Roman" w:eastAsia="楷体_GB2312" w:cs="Times New Roman"/>
              <w:sz w:val="30"/>
              <w:szCs w:val="30"/>
            </w:rPr>
            <w:fldChar w:fldCharType="separate"/>
          </w:r>
          <w:r>
            <w:rPr>
              <w:rFonts w:hint="default" w:ascii="Times New Roman" w:hAnsi="Times New Roman" w:eastAsia="黑体" w:cs="Times New Roman"/>
              <w:bCs/>
              <w:sz w:val="30"/>
              <w:szCs w:val="30"/>
              <w:highlight w:val="none"/>
              <w:lang w:val="en-US" w:eastAsia="zh-CN"/>
            </w:rPr>
            <w:t>第十四章</w:t>
          </w:r>
          <w:r>
            <w:rPr>
              <w:rFonts w:hint="default" w:ascii="Times New Roman" w:hAnsi="Times New Roman" w:cs="Times New Roman"/>
              <w:bCs/>
              <w:sz w:val="30"/>
              <w:szCs w:val="30"/>
              <w:highlight w:val="none"/>
              <w:lang w:val="en-US" w:eastAsia="zh-CN"/>
            </w:rPr>
            <w:t xml:space="preserve">  </w:t>
          </w:r>
          <w:r>
            <w:rPr>
              <w:rFonts w:hint="default" w:ascii="Times New Roman" w:hAnsi="Times New Roman" w:eastAsia="黑体" w:cs="Times New Roman"/>
              <w:bCs/>
              <w:sz w:val="30"/>
              <w:szCs w:val="30"/>
              <w:highlight w:val="none"/>
              <w:lang w:val="en-US" w:eastAsia="zh-CN"/>
            </w:rPr>
            <w:t>加大规划实施保障力度</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_Toc28959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59</w:t>
          </w:r>
          <w:r>
            <w:rPr>
              <w:rFonts w:hint="default" w:ascii="Times New Roman" w:hAnsi="Times New Roman"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3"/>
            <w:tabs>
              <w:tab w:val="right" w:leader="dot" w:pos="8306"/>
            </w:tabs>
            <w:spacing w:line="530" w:lineRule="exact"/>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_Toc15981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bCs/>
              <w:sz w:val="30"/>
              <w:szCs w:val="30"/>
              <w:lang w:val="en-US" w:eastAsia="zh-CN"/>
            </w:rPr>
            <w:t>第一节  加强党的领导</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_Toc15981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59</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3"/>
            <w:tabs>
              <w:tab w:val="right" w:leader="dot" w:pos="8306"/>
            </w:tabs>
            <w:spacing w:line="530" w:lineRule="exact"/>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_Toc7314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bCs/>
              <w:sz w:val="30"/>
              <w:szCs w:val="30"/>
              <w:lang w:val="en-US" w:eastAsia="zh-CN"/>
            </w:rPr>
            <w:t>第二节  强化要素保障</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_Toc7314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59</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3"/>
            <w:tabs>
              <w:tab w:val="right" w:leader="dot" w:pos="8306"/>
            </w:tabs>
            <w:spacing w:line="530" w:lineRule="exact"/>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_Toc8554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bCs/>
              <w:sz w:val="30"/>
              <w:szCs w:val="30"/>
              <w:lang w:val="en-US" w:eastAsia="zh-CN"/>
            </w:rPr>
            <w:t>第三节  形成规划合力</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_Toc8554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59</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3"/>
            <w:tabs>
              <w:tab w:val="right" w:leader="dot" w:pos="8306"/>
            </w:tabs>
            <w:spacing w:line="530" w:lineRule="exact"/>
            <w:rPr>
              <w:rFonts w:hint="default" w:ascii="Times New Roman" w:hAnsi="Times New Roman" w:eastAsia="楷体_GB2312" w:cs="Times New Roman"/>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_Toc8379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bCs/>
              <w:sz w:val="30"/>
              <w:szCs w:val="30"/>
              <w:lang w:val="en-US" w:eastAsia="zh-CN"/>
            </w:rPr>
            <w:t>第四节  加强监测评估</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_Toc8379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60</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0" w:firstLineChars="0"/>
            <w:jc w:val="center"/>
            <w:textAlignment w:val="auto"/>
            <w:rPr>
              <w:rFonts w:hint="default" w:ascii="Times New Roman" w:hAnsi="Times New Roman" w:eastAsia="楷体_GB2312" w:cs="Times New Roman"/>
              <w:color w:val="auto"/>
              <w:sz w:val="30"/>
              <w:szCs w:val="30"/>
            </w:rPr>
            <w:sectPr>
              <w:footerReference r:id="rId4" w:type="default"/>
              <w:pgSz w:w="11906" w:h="16838"/>
              <w:pgMar w:top="1440" w:right="1800" w:bottom="1440" w:left="1800" w:header="851" w:footer="992" w:gutter="0"/>
              <w:cols w:space="425" w:num="1"/>
              <w:docGrid w:type="lines" w:linePitch="312" w:charSpace="0"/>
            </w:sectPr>
          </w:pPr>
          <w:r>
            <w:rPr>
              <w:rFonts w:hint="default" w:ascii="Times New Roman" w:hAnsi="Times New Roman" w:eastAsia="楷体_GB2312" w:cs="Times New Roman"/>
              <w:color w:val="auto"/>
              <w:sz w:val="30"/>
              <w:szCs w:val="30"/>
            </w:rPr>
            <w:fldChar w:fldCharType="end"/>
          </w:r>
        </w:p>
      </w:sdtContent>
    </w:sdt>
    <w:p>
      <w:pPr>
        <w:pStyle w:val="12"/>
        <w:tabs>
          <w:tab w:val="right" w:leader="dot" w:pos="8306"/>
        </w:tabs>
        <w:ind w:left="0" w:leftChars="0" w:firstLine="0" w:firstLineChars="0"/>
        <w:jc w:val="center"/>
        <w:rPr>
          <w:rFonts w:hint="default" w:ascii="Times New Roman" w:hAnsi="Times New Roman" w:eastAsia="黑体" w:cs="Times New Roman"/>
          <w:b/>
          <w:bCs/>
          <w:color w:val="auto"/>
          <w:sz w:val="32"/>
          <w:szCs w:val="40"/>
          <w:lang w:val="en-US" w:eastAsia="zh-CN"/>
        </w:rPr>
      </w:pPr>
      <w:r>
        <w:rPr>
          <w:rFonts w:hint="default" w:ascii="Times New Roman" w:hAnsi="Times New Roman" w:eastAsia="黑体" w:cs="Times New Roman"/>
          <w:b/>
          <w:bCs/>
          <w:color w:val="auto"/>
          <w:sz w:val="32"/>
          <w:szCs w:val="40"/>
          <w:lang w:val="en-US" w:eastAsia="zh-CN"/>
        </w:rPr>
        <w:t>专栏目录</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color w:val="auto"/>
          <w:sz w:val="30"/>
          <w:szCs w:val="30"/>
        </w:rPr>
        <w:instrText xml:space="preserve">TOC \h \c "专栏"</w:instrText>
      </w:r>
      <w:r>
        <w:rPr>
          <w:rFonts w:hint="default" w:ascii="Times New Roman" w:hAnsi="Times New Roman" w:eastAsia="楷体_GB2312" w:cs="Times New Roman"/>
          <w:color w:val="auto"/>
          <w:sz w:val="30"/>
          <w:szCs w:val="30"/>
        </w:rPr>
        <w:fldChar w:fldCharType="separate"/>
      </w: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_Toc3213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 xml:space="preserve">专栏 1 </w:t>
      </w:r>
      <w:r>
        <w:rPr>
          <w:rFonts w:hint="default" w:ascii="Times New Roman" w:hAnsi="Times New Roman" w:eastAsia="楷体_GB2312" w:cs="Times New Roman"/>
          <w:sz w:val="30"/>
          <w:szCs w:val="30"/>
          <w:lang w:val="en-US" w:eastAsia="zh-CN"/>
        </w:rPr>
        <w:t xml:space="preserve"> “十三五”时期基本公共服务发展主要目标完成情况</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_Toc3213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6</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_Toc19577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 xml:space="preserve">专栏 2 </w:t>
      </w:r>
      <w:r>
        <w:rPr>
          <w:rFonts w:hint="default" w:ascii="Times New Roman" w:hAnsi="Times New Roman" w:eastAsia="楷体_GB2312" w:cs="Times New Roman"/>
          <w:sz w:val="30"/>
          <w:szCs w:val="30"/>
          <w:lang w:val="en-US" w:eastAsia="zh-CN"/>
        </w:rPr>
        <w:t xml:space="preserve"> </w:t>
      </w:r>
      <w:r>
        <w:rPr>
          <w:rFonts w:hint="default" w:ascii="Times New Roman" w:hAnsi="Times New Roman" w:eastAsia="楷体_GB2312" w:cs="Times New Roman"/>
          <w:bCs w:val="0"/>
          <w:kern w:val="2"/>
          <w:sz w:val="30"/>
          <w:szCs w:val="30"/>
        </w:rPr>
        <w:t>“十四五”社会发展与公共服务主要指标</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_Toc19577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11</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_Toc7359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 xml:space="preserve">专栏 3 </w:t>
      </w:r>
      <w:r>
        <w:rPr>
          <w:rFonts w:hint="default" w:ascii="Times New Roman" w:hAnsi="Times New Roman" w:eastAsia="楷体_GB2312" w:cs="Times New Roman"/>
          <w:sz w:val="30"/>
          <w:szCs w:val="30"/>
          <w:lang w:val="en-US" w:eastAsia="zh-CN"/>
        </w:rPr>
        <w:t xml:space="preserve"> 婴幼儿照护服务重点工程</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_Toc7359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15</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_Toc31903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 xml:space="preserve">专栏 4 </w:t>
      </w:r>
      <w:r>
        <w:rPr>
          <w:rFonts w:hint="default" w:ascii="Times New Roman" w:hAnsi="Times New Roman" w:eastAsia="楷体_GB2312" w:cs="Times New Roman"/>
          <w:sz w:val="30"/>
          <w:szCs w:val="30"/>
          <w:lang w:val="en-US" w:eastAsia="zh-CN"/>
        </w:rPr>
        <w:t xml:space="preserve"> 现代教育发展重点工程</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_Toc31903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19</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_Toc27765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 xml:space="preserve">专栏 5 </w:t>
      </w:r>
      <w:r>
        <w:rPr>
          <w:rFonts w:hint="default" w:ascii="Times New Roman" w:hAnsi="Times New Roman" w:eastAsia="楷体_GB2312" w:cs="Times New Roman"/>
          <w:sz w:val="30"/>
          <w:szCs w:val="30"/>
          <w:lang w:val="en-US" w:eastAsia="zh-CN"/>
        </w:rPr>
        <w:t xml:space="preserve"> 就业社保服务重点工程</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_Toc27765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23</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_Toc20586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 xml:space="preserve">专栏 6 </w:t>
      </w:r>
      <w:r>
        <w:rPr>
          <w:rFonts w:hint="default" w:ascii="Times New Roman" w:hAnsi="Times New Roman" w:eastAsia="楷体_GB2312" w:cs="Times New Roman"/>
          <w:sz w:val="30"/>
          <w:szCs w:val="30"/>
          <w:lang w:val="en-US" w:eastAsia="zh-CN"/>
        </w:rPr>
        <w:t xml:space="preserve"> </w:t>
      </w:r>
      <w:r>
        <w:rPr>
          <w:rFonts w:hint="default" w:ascii="Times New Roman" w:hAnsi="Times New Roman" w:eastAsia="楷体_GB2312" w:cs="Times New Roman"/>
          <w:sz w:val="30"/>
          <w:szCs w:val="30"/>
        </w:rPr>
        <w:t>医疗卫生服务重点</w:t>
      </w:r>
      <w:r>
        <w:rPr>
          <w:rFonts w:hint="default" w:ascii="Times New Roman" w:hAnsi="Times New Roman" w:eastAsia="楷体_GB2312" w:cs="Times New Roman"/>
          <w:sz w:val="30"/>
          <w:szCs w:val="30"/>
          <w:lang w:val="en-US" w:eastAsia="zh-CN"/>
        </w:rPr>
        <w:t>工程</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_Toc20586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28</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_Toc13656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 xml:space="preserve">专栏 7 </w:t>
      </w:r>
      <w:r>
        <w:rPr>
          <w:rFonts w:hint="default" w:ascii="Times New Roman" w:hAnsi="Times New Roman" w:eastAsia="楷体_GB2312" w:cs="Times New Roman"/>
          <w:sz w:val="30"/>
          <w:szCs w:val="30"/>
          <w:lang w:val="en-US" w:eastAsia="zh-CN"/>
        </w:rPr>
        <w:t xml:space="preserve"> 养老服务重点工程</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_Toc13656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34</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_Toc29182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 xml:space="preserve">专栏 8 </w:t>
      </w:r>
      <w:r>
        <w:rPr>
          <w:rFonts w:hint="default" w:ascii="Times New Roman" w:hAnsi="Times New Roman" w:eastAsia="楷体_GB2312" w:cs="Times New Roman"/>
          <w:sz w:val="30"/>
          <w:szCs w:val="30"/>
          <w:lang w:val="en-US" w:eastAsia="zh-CN"/>
        </w:rPr>
        <w:t xml:space="preserve"> 社会服务重点工程</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_Toc29182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39</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_Toc11969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 xml:space="preserve">专栏 9 </w:t>
      </w:r>
      <w:r>
        <w:rPr>
          <w:rFonts w:hint="default" w:ascii="Times New Roman" w:hAnsi="Times New Roman" w:eastAsia="楷体_GB2312" w:cs="Times New Roman"/>
          <w:sz w:val="30"/>
          <w:szCs w:val="30"/>
          <w:lang w:val="en-US" w:eastAsia="zh-CN"/>
        </w:rPr>
        <w:t xml:space="preserve"> </w:t>
      </w:r>
      <w:r>
        <w:rPr>
          <w:rFonts w:hint="default" w:ascii="Times New Roman" w:hAnsi="Times New Roman" w:eastAsia="楷体_GB2312" w:cs="Times New Roman"/>
          <w:sz w:val="30"/>
          <w:szCs w:val="30"/>
        </w:rPr>
        <w:t>住房保障服务重点</w:t>
      </w:r>
      <w:r>
        <w:rPr>
          <w:rFonts w:hint="default" w:ascii="Times New Roman" w:hAnsi="Times New Roman" w:eastAsia="楷体_GB2312" w:cs="Times New Roman"/>
          <w:sz w:val="30"/>
          <w:szCs w:val="30"/>
          <w:lang w:val="en-US" w:eastAsia="zh-CN"/>
        </w:rPr>
        <w:t>工程</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_Toc11969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41</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_Toc28811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 xml:space="preserve">专栏 10 </w:t>
      </w:r>
      <w:r>
        <w:rPr>
          <w:rFonts w:hint="default" w:ascii="Times New Roman" w:hAnsi="Times New Roman" w:eastAsia="楷体_GB2312" w:cs="Times New Roman"/>
          <w:sz w:val="30"/>
          <w:szCs w:val="30"/>
          <w:lang w:val="en-US" w:eastAsia="zh-CN"/>
        </w:rPr>
        <w:t xml:space="preserve"> </w:t>
      </w:r>
      <w:r>
        <w:rPr>
          <w:rFonts w:hint="default" w:ascii="Times New Roman" w:hAnsi="Times New Roman" w:eastAsia="楷体_GB2312" w:cs="Times New Roman"/>
          <w:sz w:val="30"/>
          <w:szCs w:val="30"/>
        </w:rPr>
        <w:t>文旅体服务重点</w:t>
      </w:r>
      <w:r>
        <w:rPr>
          <w:rFonts w:hint="default" w:ascii="Times New Roman" w:hAnsi="Times New Roman" w:eastAsia="楷体_GB2312" w:cs="Times New Roman"/>
          <w:sz w:val="30"/>
          <w:szCs w:val="30"/>
          <w:lang w:val="en-US" w:eastAsia="zh-CN"/>
        </w:rPr>
        <w:t>工程</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_Toc28811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45</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_Toc26503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 xml:space="preserve">专栏 11 </w:t>
      </w:r>
      <w:r>
        <w:rPr>
          <w:rFonts w:hint="default" w:ascii="Times New Roman" w:hAnsi="Times New Roman" w:eastAsia="楷体_GB2312" w:cs="Times New Roman"/>
          <w:sz w:val="30"/>
          <w:szCs w:val="30"/>
          <w:lang w:val="en-US" w:eastAsia="zh-CN"/>
        </w:rPr>
        <w:t xml:space="preserve"> </w:t>
      </w:r>
      <w:r>
        <w:rPr>
          <w:rFonts w:hint="default" w:ascii="Times New Roman" w:hAnsi="Times New Roman" w:eastAsia="楷体_GB2312" w:cs="Times New Roman"/>
          <w:sz w:val="30"/>
          <w:szCs w:val="30"/>
        </w:rPr>
        <w:t>优军服务重点</w:t>
      </w:r>
      <w:r>
        <w:rPr>
          <w:rFonts w:hint="default" w:ascii="Times New Roman" w:hAnsi="Times New Roman" w:eastAsia="楷体_GB2312" w:cs="Times New Roman"/>
          <w:sz w:val="30"/>
          <w:szCs w:val="30"/>
          <w:lang w:val="en-US" w:eastAsia="zh-CN"/>
        </w:rPr>
        <w:t>工程</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_Toc26503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49</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_Toc2245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 xml:space="preserve">专栏 12 </w:t>
      </w:r>
      <w:r>
        <w:rPr>
          <w:rFonts w:hint="default" w:ascii="Times New Roman" w:hAnsi="Times New Roman" w:eastAsia="楷体_GB2312" w:cs="Times New Roman"/>
          <w:sz w:val="30"/>
          <w:szCs w:val="30"/>
          <w:lang w:val="en-US" w:eastAsia="zh-CN"/>
        </w:rPr>
        <w:t xml:space="preserve"> </w:t>
      </w:r>
      <w:r>
        <w:rPr>
          <w:rFonts w:hint="default" w:ascii="Times New Roman" w:hAnsi="Times New Roman" w:eastAsia="楷体_GB2312" w:cs="Times New Roman"/>
          <w:sz w:val="30"/>
          <w:szCs w:val="30"/>
        </w:rPr>
        <w:t>融入长三角一体化重点方向</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_Toc2245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52</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_Toc29205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 xml:space="preserve">专栏 13 </w:t>
      </w:r>
      <w:r>
        <w:rPr>
          <w:rFonts w:hint="default" w:ascii="Times New Roman" w:hAnsi="Times New Roman" w:eastAsia="楷体_GB2312" w:cs="Times New Roman"/>
          <w:sz w:val="30"/>
          <w:szCs w:val="30"/>
          <w:lang w:val="en-US" w:eastAsia="zh-CN"/>
        </w:rPr>
        <w:t xml:space="preserve"> </w:t>
      </w:r>
      <w:r>
        <w:rPr>
          <w:rFonts w:hint="default" w:ascii="Times New Roman" w:hAnsi="Times New Roman" w:eastAsia="楷体_GB2312" w:cs="Times New Roman"/>
          <w:sz w:val="30"/>
          <w:szCs w:val="30"/>
        </w:rPr>
        <w:t>六安市基本公共服务项目清单</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_Toc29205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55</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sz w:val="30"/>
          <w:szCs w:val="30"/>
        </w:rPr>
        <w:instrText xml:space="preserve"> HYPERLINK \l _Toc20884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 xml:space="preserve">专栏 14 </w:t>
      </w:r>
      <w:r>
        <w:rPr>
          <w:rFonts w:hint="default" w:ascii="Times New Roman" w:hAnsi="Times New Roman" w:eastAsia="楷体_GB2312" w:cs="Times New Roman"/>
          <w:sz w:val="30"/>
          <w:szCs w:val="30"/>
          <w:lang w:val="en-US" w:eastAsia="zh-CN"/>
        </w:rPr>
        <w:t xml:space="preserve"> 智慧服务发展重点工程</w:t>
      </w:r>
      <w:r>
        <w:rPr>
          <w:rFonts w:hint="default" w:ascii="Times New Roman" w:hAnsi="Times New Roman" w:eastAsia="楷体_GB2312" w:cs="Times New Roman"/>
          <w:sz w:val="30"/>
          <w:szCs w:val="30"/>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_Toc20884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57</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color w:val="auto"/>
          <w:sz w:val="30"/>
          <w:szCs w:val="30"/>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30" w:lineRule="exact"/>
        <w:ind w:firstLine="0" w:firstLineChars="0"/>
        <w:jc w:val="center"/>
        <w:textAlignment w:val="auto"/>
        <w:rPr>
          <w:rFonts w:hint="default" w:ascii="Times New Roman" w:hAnsi="Times New Roman" w:eastAsia="楷体_GB2312" w:cs="Times New Roman"/>
          <w:color w:val="auto"/>
          <w:sz w:val="30"/>
          <w:szCs w:val="30"/>
        </w:rPr>
        <w:sectPr>
          <w:footerReference r:id="rId5" w:type="default"/>
          <w:pgSz w:w="11906" w:h="16838"/>
          <w:pgMar w:top="1440" w:right="1800" w:bottom="1440" w:left="1800" w:header="851" w:footer="992" w:gutter="0"/>
          <w:cols w:space="425" w:num="1"/>
          <w:docGrid w:type="lines" w:linePitch="312" w:charSpace="0"/>
        </w:sectPr>
      </w:pPr>
      <w:r>
        <w:rPr>
          <w:rFonts w:hint="default" w:ascii="Times New Roman" w:hAnsi="Times New Roman" w:eastAsia="楷体_GB2312" w:cs="Times New Roman"/>
          <w:color w:val="auto"/>
          <w:szCs w:val="30"/>
        </w:rPr>
        <w:fldChar w:fldCharType="end"/>
      </w:r>
    </w:p>
    <w:p>
      <w:pPr>
        <w:pStyle w:val="3"/>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exact"/>
        <w:textAlignment w:val="auto"/>
        <w:rPr>
          <w:rFonts w:hint="default" w:ascii="Times New Roman" w:hAnsi="Times New Roman" w:cs="Times New Roman"/>
          <w:color w:val="auto"/>
          <w:lang w:val="en-US" w:eastAsia="zh-CN"/>
        </w:rPr>
      </w:pPr>
      <w:bookmarkStart w:id="0" w:name="_Toc26031"/>
      <w:bookmarkStart w:id="1" w:name="_Toc23737"/>
      <w:bookmarkStart w:id="2" w:name="_Toc26919"/>
      <w:bookmarkStart w:id="3" w:name="_Toc7217"/>
      <w:bookmarkStart w:id="4" w:name="_Toc29668"/>
      <w:r>
        <w:rPr>
          <w:rFonts w:hint="default" w:ascii="Times New Roman" w:hAnsi="Times New Roman" w:cs="Times New Roman"/>
          <w:color w:val="auto"/>
          <w:lang w:val="en-US" w:eastAsia="zh-CN"/>
        </w:rPr>
        <w:t>序  言</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公共服务关乎民生，连接民心。</w:t>
      </w:r>
      <w:r>
        <w:rPr>
          <w:rFonts w:hint="default" w:ascii="Times New Roman" w:hAnsi="Times New Roman" w:eastAsia="仿宋_GB2312" w:cs="Times New Roman"/>
          <w:color w:val="auto"/>
          <w:sz w:val="32"/>
          <w:szCs w:val="32"/>
        </w:rPr>
        <w:t>习近平总书记多次强调，要做好普惠性、基础性、兜底性民生建设，健全基本公共服务体系，全面提高公共服务共建能力和共享水平</w:t>
      </w:r>
      <w:r>
        <w:rPr>
          <w:rFonts w:hint="default" w:ascii="Times New Roman" w:hAnsi="Times New Roman" w:eastAsia="仿宋_GB2312" w:cs="Times New Roman"/>
          <w:color w:val="auto"/>
          <w:sz w:val="32"/>
          <w:szCs w:val="40"/>
          <w:lang w:val="en-US" w:eastAsia="zh-CN"/>
        </w:rPr>
        <w:t>。“十四五”时期，不断完善基本公共服务体系，推动各项公共服务均衡优质发展，是落实以人民为中心的发展思想、改善全市人民生活质量的重大举措，是促进社会公平正义、扎实推进共同富裕的应有之义，对增强人民群众获得感、幸福感、安全感，促进人的全面发展和社会全面进步，具有十分重要的意义。</w:t>
      </w:r>
    </w:p>
    <w:p>
      <w:pPr>
        <w:spacing w:line="600" w:lineRule="exact"/>
        <w:ind w:firstLine="640" w:firstLineChars="200"/>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rPr>
        <w:t>公共服务是政府为满足公民生存和发展需要，运用法定权利和公共资源，面向全体公民或特定群体，组织协调或直接提供的产品和服务。其中，基本公共服务是保障全体人民生存和发展基本需要、与经济社会发展水平相适应的公共服务，政府承担兜底保障供给数量和质量的责任。普惠性非基本公共服务是为满足公民更高层次需求、保障社会整体福利水平所必需但市场自发供给不足的公共服务，政府通过支持公益性社会机构或市场主体，增加服务供给、规范服务质量，实现大多数公民以可承受价格付费享有。生活服务是公共服务体系的有益补充，完全由市场供给、居民付费享有，政府主要负责营造公平竞争的市场环境，引导相关行业规范可持续发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highlight w:val="none"/>
          <w:lang w:val="en-US" w:eastAsia="zh-CN"/>
        </w:rPr>
        <w:t>本规划依据</w:t>
      </w:r>
      <w:r>
        <w:rPr>
          <w:rFonts w:hint="default" w:ascii="Times New Roman" w:hAnsi="Times New Roman" w:eastAsia="仿宋_GB2312" w:cs="Times New Roman"/>
          <w:color w:val="auto"/>
          <w:sz w:val="32"/>
          <w:szCs w:val="32"/>
        </w:rPr>
        <w:t>国家《“十四五”公共服务规划》</w:t>
      </w:r>
      <w:r>
        <w:rPr>
          <w:rFonts w:hint="default" w:ascii="Times New Roman" w:hAnsi="Times New Roman" w:eastAsia="仿宋_GB2312" w:cs="Times New Roman"/>
          <w:color w:val="auto"/>
          <w:sz w:val="32"/>
          <w:szCs w:val="40"/>
          <w:lang w:val="en-US" w:eastAsia="zh-CN"/>
        </w:rPr>
        <w:t>《安徽省“十四五”公共服务规划》《六安市国民经济和社会发展第十四个五年规划和2035年远景目标纲要》编制，</w:t>
      </w:r>
      <w:r>
        <w:rPr>
          <w:rFonts w:hint="default" w:ascii="Times New Roman" w:hAnsi="Times New Roman" w:eastAsia="仿宋_GB2312" w:cs="Times New Roman"/>
          <w:color w:val="auto"/>
          <w:sz w:val="32"/>
          <w:szCs w:val="32"/>
        </w:rPr>
        <w:t>明确</w:t>
      </w:r>
      <w:r>
        <w:rPr>
          <w:rFonts w:hint="default" w:ascii="Times New Roman" w:hAnsi="Times New Roman" w:eastAsia="仿宋_GB2312" w:cs="Times New Roman"/>
          <w:color w:val="auto"/>
          <w:sz w:val="32"/>
          <w:szCs w:val="32"/>
          <w:lang w:val="en-US" w:eastAsia="zh-CN"/>
        </w:rPr>
        <w:t>发展</w:t>
      </w:r>
      <w:r>
        <w:rPr>
          <w:rFonts w:hint="default" w:ascii="Times New Roman" w:hAnsi="Times New Roman" w:eastAsia="仿宋_GB2312" w:cs="Times New Roman"/>
          <w:color w:val="auto"/>
          <w:sz w:val="32"/>
          <w:szCs w:val="32"/>
        </w:rPr>
        <w:t>思路、</w:t>
      </w:r>
      <w:r>
        <w:rPr>
          <w:rFonts w:hint="default" w:ascii="Times New Roman" w:hAnsi="Times New Roman" w:eastAsia="仿宋_GB2312" w:cs="Times New Roman"/>
          <w:color w:val="auto"/>
          <w:sz w:val="32"/>
          <w:szCs w:val="32"/>
          <w:lang w:val="en-US" w:eastAsia="zh-CN"/>
        </w:rPr>
        <w:t>主要</w:t>
      </w:r>
      <w:r>
        <w:rPr>
          <w:rFonts w:hint="default" w:ascii="Times New Roman" w:hAnsi="Times New Roman" w:eastAsia="仿宋_GB2312" w:cs="Times New Roman"/>
          <w:color w:val="auto"/>
          <w:sz w:val="32"/>
          <w:szCs w:val="32"/>
        </w:rPr>
        <w:t>任务和重大举措，推动实现幼有所育、学有所教、劳有所得、病有所医、老有所养、住有所居、弱有所扶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优军服务有保障、文体服务有保障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全面</w:t>
      </w:r>
      <w:r>
        <w:rPr>
          <w:rFonts w:hint="default" w:ascii="Times New Roman" w:hAnsi="Times New Roman" w:eastAsia="仿宋_GB2312" w:cs="Times New Roman"/>
          <w:color w:val="auto"/>
          <w:sz w:val="32"/>
          <w:szCs w:val="32"/>
        </w:rPr>
        <w:t>提升公共服务</w:t>
      </w:r>
      <w:r>
        <w:rPr>
          <w:rFonts w:hint="default" w:ascii="Times New Roman" w:hAnsi="Times New Roman" w:eastAsia="仿宋_GB2312" w:cs="Times New Roman"/>
          <w:color w:val="auto"/>
          <w:sz w:val="32"/>
          <w:szCs w:val="32"/>
          <w:lang w:val="en-US" w:eastAsia="zh-CN"/>
        </w:rPr>
        <w:t>供给</w:t>
      </w:r>
      <w:r>
        <w:rPr>
          <w:rFonts w:hint="default" w:ascii="Times New Roman" w:hAnsi="Times New Roman" w:eastAsia="仿宋_GB2312" w:cs="Times New Roman"/>
          <w:color w:val="auto"/>
          <w:sz w:val="32"/>
          <w:szCs w:val="32"/>
        </w:rPr>
        <w:t>质量，是“十四五”时期促进公共服务发展的综合性、基础性、指导性文件。规划期为2021-2025年。</w:t>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color w:val="auto"/>
          <w:sz w:val="32"/>
          <w:szCs w:val="40"/>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color w:val="auto"/>
          <w:sz w:val="32"/>
          <w:szCs w:val="40"/>
        </w:rPr>
      </w:pPr>
    </w:p>
    <w:p>
      <w:pPr>
        <w:keepNext w:val="0"/>
        <w:keepLines w:val="0"/>
        <w:pageBreakBefore w:val="0"/>
        <w:widowControl w:val="0"/>
        <w:kinsoku/>
        <w:wordWrap/>
        <w:overflowPunct/>
        <w:topLinePunct w:val="0"/>
        <w:autoSpaceDE/>
        <w:autoSpaceDN/>
        <w:bidi w:val="0"/>
        <w:adjustRightInd/>
        <w:spacing w:line="590" w:lineRule="exact"/>
        <w:textAlignment w:val="auto"/>
        <w:rPr>
          <w:rFonts w:hint="default" w:ascii="Times New Roman" w:hAnsi="Times New Roman" w:eastAsia="仿宋_GB2312" w:cs="Times New Roman"/>
          <w:color w:val="auto"/>
          <w:sz w:val="32"/>
          <w:szCs w:val="40"/>
        </w:rPr>
      </w:pPr>
    </w:p>
    <w:p>
      <w:pPr>
        <w:keepNext w:val="0"/>
        <w:keepLines w:val="0"/>
        <w:pageBreakBefore w:val="0"/>
        <w:widowControl w:val="0"/>
        <w:kinsoku/>
        <w:wordWrap/>
        <w:overflowPunct/>
        <w:topLinePunct w:val="0"/>
        <w:autoSpaceDE/>
        <w:autoSpaceDN/>
        <w:bidi w:val="0"/>
        <w:adjustRightInd/>
        <w:spacing w:line="590" w:lineRule="exact"/>
        <w:textAlignment w:val="auto"/>
        <w:rPr>
          <w:rFonts w:hint="default" w:ascii="Times New Roman" w:hAnsi="Times New Roman" w:eastAsia="仿宋_GB2312" w:cs="Times New Roman"/>
          <w:color w:val="auto"/>
          <w:sz w:val="32"/>
          <w:szCs w:val="40"/>
        </w:rPr>
      </w:pPr>
    </w:p>
    <w:p>
      <w:pPr>
        <w:keepNext w:val="0"/>
        <w:keepLines w:val="0"/>
        <w:pageBreakBefore w:val="0"/>
        <w:widowControl w:val="0"/>
        <w:kinsoku/>
        <w:wordWrap/>
        <w:overflowPunct/>
        <w:topLinePunct w:val="0"/>
        <w:autoSpaceDE/>
        <w:autoSpaceDN/>
        <w:bidi w:val="0"/>
        <w:adjustRightInd/>
        <w:spacing w:line="590" w:lineRule="exact"/>
        <w:textAlignment w:val="auto"/>
        <w:rPr>
          <w:rFonts w:hint="default" w:ascii="Times New Roman" w:hAnsi="Times New Roman" w:cs="Times New Roman"/>
          <w:color w:val="auto"/>
          <w:sz w:val="32"/>
          <w:szCs w:val="40"/>
        </w:rPr>
        <w:sectPr>
          <w:footerReference r:id="rId6" w:type="default"/>
          <w:pgSz w:w="11906" w:h="16838"/>
          <w:pgMar w:top="1440" w:right="1800" w:bottom="1440" w:left="1800" w:header="851" w:footer="992" w:gutter="0"/>
          <w:pgNumType w:fmt="decimal" w:start="1"/>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val="0"/>
        <w:snapToGrid/>
        <w:spacing w:before="157" w:beforeLines="50" w:after="157" w:afterLines="50" w:line="580" w:lineRule="exact"/>
        <w:textAlignment w:val="auto"/>
        <w:rPr>
          <w:rFonts w:hint="default" w:ascii="Times New Roman" w:hAnsi="Times New Roman" w:cs="Times New Roman"/>
          <w:color w:val="auto"/>
          <w:lang w:val="en-US" w:eastAsia="zh-CN"/>
        </w:rPr>
      </w:pPr>
      <w:bookmarkStart w:id="5" w:name="_Toc25708"/>
      <w:bookmarkStart w:id="6" w:name="_Toc16391"/>
      <w:bookmarkStart w:id="7" w:name="_Toc1002"/>
      <w:bookmarkStart w:id="8" w:name="_Toc19806"/>
      <w:bookmarkStart w:id="9" w:name="_Toc7946"/>
      <w:r>
        <w:rPr>
          <w:rFonts w:hint="default" w:ascii="Times New Roman" w:hAnsi="Times New Roman" w:cs="Times New Roman"/>
          <w:color w:val="auto"/>
          <w:lang w:val="en-US" w:eastAsia="zh-CN"/>
        </w:rPr>
        <w:t>第一章  规划背景</w:t>
      </w:r>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color w:val="auto"/>
          <w:sz w:val="32"/>
          <w:szCs w:val="40"/>
        </w:rPr>
      </w:pPr>
      <w:r>
        <w:rPr>
          <w:rFonts w:hint="default" w:ascii="Times New Roman" w:hAnsi="Times New Roman" w:eastAsia="仿宋_GB2312" w:cs="Times New Roman"/>
          <w:color w:val="auto"/>
          <w:sz w:val="32"/>
          <w:szCs w:val="40"/>
        </w:rPr>
        <w:t>“十三五”以来，市委、市政府高度重视公共服务事业发展，始终把人民群众对美好生活的向往作为奋斗目标，民生工程</w:t>
      </w:r>
      <w:r>
        <w:rPr>
          <w:rFonts w:hint="default" w:ascii="Times New Roman" w:hAnsi="Times New Roman" w:eastAsia="仿宋_GB2312" w:cs="Times New Roman"/>
          <w:color w:val="auto"/>
          <w:sz w:val="32"/>
          <w:szCs w:val="40"/>
          <w:highlight w:val="none"/>
        </w:rPr>
        <w:t>累计投入</w:t>
      </w:r>
      <w:r>
        <w:rPr>
          <w:rFonts w:hint="default" w:ascii="Times New Roman" w:hAnsi="Times New Roman" w:eastAsia="仿宋_GB2312" w:cs="Times New Roman"/>
          <w:color w:val="auto"/>
          <w:sz w:val="32"/>
          <w:szCs w:val="40"/>
          <w:highlight w:val="none"/>
          <w:lang w:eastAsia="zh-CN"/>
        </w:rPr>
        <w:t>1</w:t>
      </w:r>
      <w:r>
        <w:rPr>
          <w:rFonts w:hint="default" w:ascii="Times New Roman" w:hAnsi="Times New Roman" w:eastAsia="仿宋_GB2312" w:cs="Times New Roman"/>
          <w:color w:val="auto"/>
          <w:sz w:val="32"/>
          <w:szCs w:val="40"/>
          <w:highlight w:val="none"/>
          <w:lang w:val="en-US" w:eastAsia="zh-CN"/>
        </w:rPr>
        <w:t>768.8</w:t>
      </w:r>
      <w:r>
        <w:rPr>
          <w:rFonts w:hint="default" w:ascii="Times New Roman" w:hAnsi="Times New Roman" w:eastAsia="仿宋_GB2312" w:cs="Times New Roman"/>
          <w:color w:val="auto"/>
          <w:sz w:val="32"/>
          <w:szCs w:val="40"/>
          <w:highlight w:val="none"/>
        </w:rPr>
        <w:t>亿元</w:t>
      </w:r>
      <w:r>
        <w:rPr>
          <w:rFonts w:hint="default" w:ascii="Times New Roman" w:hAnsi="Times New Roman" w:eastAsia="仿宋_GB2312" w:cs="Times New Roman"/>
          <w:color w:val="auto"/>
          <w:sz w:val="32"/>
          <w:szCs w:val="40"/>
        </w:rPr>
        <w:t>，占财政支出</w:t>
      </w:r>
      <w:r>
        <w:rPr>
          <w:rFonts w:hint="default" w:ascii="Times New Roman" w:hAnsi="Times New Roman" w:eastAsia="仿宋_GB2312" w:cs="Times New Roman"/>
          <w:color w:val="auto"/>
          <w:sz w:val="32"/>
          <w:szCs w:val="32"/>
        </w:rPr>
        <w:t>稳定在80%以上</w:t>
      </w:r>
      <w:r>
        <w:rPr>
          <w:rFonts w:hint="default" w:ascii="Times New Roman" w:hAnsi="Times New Roman" w:eastAsia="仿宋_GB2312" w:cs="Times New Roman"/>
          <w:color w:val="auto"/>
          <w:sz w:val="32"/>
          <w:szCs w:val="40"/>
        </w:rPr>
        <w:t>，公共服务体系不断完善，服务范围持续拓展，保障能力明显增强，公共服务均等化程度显著提高｡</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outlineLvl w:val="1"/>
        <w:rPr>
          <w:rFonts w:hint="default" w:ascii="Times New Roman" w:hAnsi="Times New Roman" w:eastAsia="楷体_GB2312" w:cs="Times New Roman"/>
          <w:b/>
          <w:bCs/>
          <w:color w:val="auto"/>
          <w:sz w:val="32"/>
          <w:szCs w:val="40"/>
          <w:lang w:val="en-US" w:eastAsia="zh-CN"/>
        </w:rPr>
      </w:pPr>
      <w:bookmarkStart w:id="10" w:name="_Toc6394"/>
      <w:bookmarkStart w:id="11" w:name="_Toc18335"/>
      <w:bookmarkStart w:id="12" w:name="_Toc5277"/>
      <w:bookmarkStart w:id="13" w:name="_Toc15594"/>
      <w:bookmarkStart w:id="14" w:name="_Toc25984"/>
      <w:r>
        <w:rPr>
          <w:rFonts w:hint="default" w:ascii="Times New Roman" w:hAnsi="Times New Roman" w:eastAsia="楷体_GB2312" w:cs="Times New Roman"/>
          <w:b/>
          <w:bCs/>
          <w:color w:val="auto"/>
          <w:sz w:val="32"/>
          <w:szCs w:val="40"/>
          <w:lang w:val="en-US" w:eastAsia="zh-CN"/>
        </w:rPr>
        <w:t>第一节  发展基础</w:t>
      </w:r>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kern w:val="2"/>
          <w:sz w:val="32"/>
          <w:szCs w:val="32"/>
          <w:lang w:val="en-US" w:eastAsia="zh-CN" w:bidi="ar-SA"/>
        </w:rPr>
        <w:t>公共服务重点领域服务能力持续强化。</w:t>
      </w:r>
      <w:r>
        <w:rPr>
          <w:rFonts w:hint="default" w:ascii="Times New Roman" w:hAnsi="Times New Roman" w:eastAsia="仿宋_GB2312" w:cs="Times New Roman"/>
          <w:color w:val="auto"/>
          <w:kern w:val="2"/>
          <w:sz w:val="32"/>
          <w:szCs w:val="32"/>
          <w:lang w:val="en-US" w:eastAsia="zh-CN" w:bidi="ar-SA"/>
        </w:rPr>
        <w:t>教育事业发展势头不断向好，</w:t>
      </w:r>
      <w:r>
        <w:rPr>
          <w:rFonts w:hint="default" w:ascii="Times New Roman" w:hAnsi="Times New Roman" w:eastAsia="仿宋_GB2312" w:cs="Times New Roman"/>
          <w:color w:val="auto"/>
          <w:sz w:val="32"/>
          <w:szCs w:val="32"/>
          <w:lang w:val="en-US" w:eastAsia="zh-CN"/>
        </w:rPr>
        <w:t>学前教育毛入园率94.57%，普惠率幼儿园覆盖率86.03%，九年义务教育巩固率109.6%，高中阶段教育毛入学率119.44%。</w:t>
      </w:r>
      <w:r>
        <w:rPr>
          <w:rFonts w:hint="default" w:ascii="Times New Roman" w:hAnsi="Times New Roman" w:eastAsia="仿宋_GB2312" w:cs="Times New Roman"/>
          <w:color w:val="auto"/>
          <w:kern w:val="2"/>
          <w:sz w:val="32"/>
          <w:szCs w:val="32"/>
          <w:lang w:val="en-US" w:eastAsia="zh-CN" w:bidi="ar-SA"/>
        </w:rPr>
        <w:t>基本医疗与公共卫生服务体系更加完善，全市每千常住人口医疗卫生机构床位5.49张，每千常住人口医疗卫生机构执业（助理）医师2.</w:t>
      </w:r>
      <w:r>
        <w:rPr>
          <w:rFonts w:hint="eastAsia" w:ascii="Times New Roman" w:hAnsi="Times New Roman" w:eastAsia="仿宋_GB2312" w:cs="Times New Roman"/>
          <w:color w:val="auto"/>
          <w:kern w:val="2"/>
          <w:sz w:val="32"/>
          <w:szCs w:val="32"/>
          <w:lang w:val="en-US" w:eastAsia="zh-CN" w:bidi="ar-SA"/>
        </w:rPr>
        <w:t>81</w:t>
      </w:r>
      <w:r>
        <w:rPr>
          <w:rFonts w:hint="default" w:ascii="Times New Roman" w:hAnsi="Times New Roman" w:eastAsia="仿宋_GB2312" w:cs="Times New Roman"/>
          <w:color w:val="auto"/>
          <w:kern w:val="2"/>
          <w:sz w:val="32"/>
          <w:szCs w:val="32"/>
          <w:lang w:val="en-US" w:eastAsia="zh-CN" w:bidi="ar-SA"/>
        </w:rPr>
        <w:t>人，每村卫生室村医2.48名，跨省异地就医直接结算范围不断扩大，金寨、霍邱日间病床改革试点工作有序推进。养老服务加快发展，全市养老机构256家，每千名老年人养老床位数45张，基本养老保险参保率9</w:t>
      </w:r>
      <w:r>
        <w:rPr>
          <w:rFonts w:hint="eastAsia" w:ascii="Times New Roman" w:hAnsi="Times New Roman" w:eastAsia="仿宋_GB2312" w:cs="Times New Roman"/>
          <w:color w:val="auto"/>
          <w:kern w:val="2"/>
          <w:sz w:val="32"/>
          <w:szCs w:val="32"/>
          <w:lang w:val="en-US" w:eastAsia="zh-CN" w:bidi="ar-SA"/>
        </w:rPr>
        <w:t>6.64</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公共文化服务体系提档升级，</w:t>
      </w:r>
      <w:r>
        <w:rPr>
          <w:rFonts w:hint="default" w:ascii="Times New Roman" w:hAnsi="Times New Roman" w:eastAsia="仿宋_GB2312" w:cs="Times New Roman"/>
          <w:color w:val="auto"/>
          <w:kern w:val="2"/>
          <w:sz w:val="32"/>
          <w:szCs w:val="32"/>
          <w:lang w:val="en-US" w:eastAsia="zh-CN" w:bidi="ar-SA"/>
        </w:rPr>
        <w:t>公共文化馆、公共图书馆、综合文化站、村（社区）综合文化服务中心为支撑的市县乡村四级公共文化服务网络体系初步建立</w:t>
      </w:r>
      <w:r>
        <w:rPr>
          <w:rFonts w:hint="eastAsia" w:ascii="Times New Roman" w:hAnsi="Times New Roman" w:eastAsia="仿宋_GB2312" w:cs="Times New Roman"/>
          <w:color w:val="auto"/>
          <w:kern w:val="2"/>
          <w:sz w:val="32"/>
          <w:szCs w:val="32"/>
          <w:highlight w:val="none"/>
          <w:lang w:val="en-US" w:eastAsia="zh-CN" w:bidi="ar-SA"/>
        </w:rPr>
        <w:t>。全民健身设施网络更加完善，全市共有体育场地1.26万个，</w:t>
      </w:r>
      <w:r>
        <w:rPr>
          <w:rFonts w:hint="default" w:ascii="Times New Roman" w:hAnsi="Times New Roman" w:eastAsia="仿宋_GB2312" w:cs="Times New Roman"/>
          <w:color w:val="auto"/>
          <w:kern w:val="2"/>
          <w:sz w:val="32"/>
          <w:szCs w:val="32"/>
          <w:lang w:val="en-US" w:eastAsia="zh-CN" w:bidi="ar-SA"/>
        </w:rPr>
        <w:t>人均体育场地面积2.09平方米，</w:t>
      </w:r>
      <w:r>
        <w:rPr>
          <w:rFonts w:hint="eastAsia" w:ascii="Times New Roman" w:hAnsi="Times New Roman" w:eastAsia="仿宋_GB2312" w:cs="Times New Roman"/>
          <w:color w:val="auto"/>
          <w:kern w:val="2"/>
          <w:sz w:val="32"/>
          <w:szCs w:val="32"/>
          <w:lang w:val="en-US" w:eastAsia="zh-CN" w:bidi="ar-SA"/>
        </w:rPr>
        <w:t>建成</w:t>
      </w:r>
      <w:r>
        <w:rPr>
          <w:rFonts w:hint="default" w:ascii="Times New Roman" w:hAnsi="Times New Roman" w:eastAsia="仿宋_GB2312" w:cs="Times New Roman"/>
          <w:color w:val="auto"/>
          <w:kern w:val="2"/>
          <w:sz w:val="32"/>
          <w:szCs w:val="32"/>
          <w:lang w:val="en-US" w:eastAsia="zh-CN" w:bidi="ar-SA"/>
        </w:rPr>
        <w:t>社会足球场75块</w:t>
      </w:r>
      <w:r>
        <w:rPr>
          <w:rFonts w:hint="eastAsia" w:ascii="Times New Roman" w:hAnsi="Times New Roman" w:eastAsia="仿宋_GB2312" w:cs="Times New Roman"/>
          <w:color w:val="auto"/>
          <w:kern w:val="2"/>
          <w:sz w:val="32"/>
          <w:szCs w:val="32"/>
          <w:lang w:val="en-US" w:eastAsia="zh-CN" w:bidi="ar-SA"/>
        </w:rPr>
        <w:t>，经常参加体育锻炼人数达163.45万人</w:t>
      </w:r>
      <w:r>
        <w:rPr>
          <w:rFonts w:hint="default" w:ascii="Times New Roman" w:hAnsi="Times New Roman" w:eastAsia="仿宋_GB2312" w:cs="Times New Roman"/>
          <w:color w:val="auto"/>
          <w:kern w:val="2"/>
          <w:sz w:val="32"/>
          <w:szCs w:val="32"/>
          <w:lang w:val="en-US" w:eastAsia="zh-CN" w:bidi="ar-SA"/>
        </w:rPr>
        <w:t>。就业形势总体稳定，城镇新增就业</w:t>
      </w:r>
      <w:r>
        <w:rPr>
          <w:rFonts w:hint="eastAsia" w:ascii="Times New Roman" w:hAnsi="Times New Roman" w:eastAsia="仿宋_GB2312" w:cs="Times New Roman"/>
          <w:color w:val="auto"/>
          <w:kern w:val="2"/>
          <w:sz w:val="32"/>
          <w:szCs w:val="32"/>
          <w:lang w:val="en-US" w:eastAsia="zh-CN" w:bidi="ar-SA"/>
        </w:rPr>
        <w:t>14.39</w:t>
      </w:r>
      <w:r>
        <w:rPr>
          <w:rFonts w:hint="default" w:ascii="Times New Roman" w:hAnsi="Times New Roman" w:eastAsia="仿宋_GB2312" w:cs="Times New Roman"/>
          <w:color w:val="auto"/>
          <w:kern w:val="2"/>
          <w:sz w:val="32"/>
          <w:szCs w:val="32"/>
          <w:lang w:val="en-US" w:eastAsia="zh-CN" w:bidi="ar-SA"/>
        </w:rPr>
        <w:t>万人，城镇登记失业率稳控在4.5%以下。住房保障惠民生作用凸显，全市累计发放租赁补贴2.07亿元，完成</w:t>
      </w:r>
      <w:r>
        <w:rPr>
          <w:rFonts w:hint="eastAsia" w:ascii="Times New Roman" w:hAnsi="Times New Roman" w:eastAsia="仿宋_GB2312" w:cs="Times New Roman"/>
          <w:color w:val="auto"/>
          <w:kern w:val="2"/>
          <w:sz w:val="32"/>
          <w:szCs w:val="32"/>
          <w:lang w:val="en-US" w:eastAsia="zh-CN" w:bidi="ar-SA"/>
        </w:rPr>
        <w:t>城镇</w:t>
      </w:r>
      <w:r>
        <w:rPr>
          <w:rFonts w:hint="default" w:ascii="Times New Roman" w:hAnsi="Times New Roman" w:eastAsia="仿宋_GB2312" w:cs="Times New Roman"/>
          <w:color w:val="auto"/>
          <w:kern w:val="2"/>
          <w:sz w:val="32"/>
          <w:szCs w:val="32"/>
          <w:lang w:val="en-US" w:eastAsia="zh-CN" w:bidi="ar-SA"/>
        </w:rPr>
        <w:t>老旧小区改造项目103个，棚户区改造</w:t>
      </w:r>
      <w:r>
        <w:rPr>
          <w:rFonts w:hint="eastAsia" w:ascii="Times New Roman" w:hAnsi="Times New Roman" w:eastAsia="仿宋_GB2312" w:cs="Times New Roman"/>
          <w:color w:val="auto"/>
          <w:kern w:val="2"/>
          <w:sz w:val="32"/>
          <w:szCs w:val="32"/>
          <w:lang w:val="en-US" w:eastAsia="zh-CN" w:bidi="ar-SA"/>
        </w:rPr>
        <w:t>10.67万</w:t>
      </w:r>
      <w:r>
        <w:rPr>
          <w:rFonts w:hint="default" w:ascii="Times New Roman" w:hAnsi="Times New Roman" w:eastAsia="仿宋_GB2312" w:cs="Times New Roman"/>
          <w:color w:val="auto"/>
          <w:kern w:val="2"/>
          <w:sz w:val="32"/>
          <w:szCs w:val="32"/>
          <w:lang w:val="en-US" w:eastAsia="zh-CN" w:bidi="ar-SA"/>
        </w:rPr>
        <w:t>套。优军服务取得新进展，连续四</w:t>
      </w:r>
      <w:r>
        <w:rPr>
          <w:rFonts w:hint="eastAsia" w:ascii="Times New Roman" w:hAnsi="Times New Roman" w:eastAsia="仿宋_GB2312" w:cs="Times New Roman"/>
          <w:color w:val="auto"/>
          <w:kern w:val="2"/>
          <w:sz w:val="32"/>
          <w:szCs w:val="32"/>
          <w:lang w:val="en-US" w:eastAsia="zh-CN" w:bidi="ar-SA"/>
        </w:rPr>
        <w:t>届</w:t>
      </w:r>
      <w:r>
        <w:rPr>
          <w:rFonts w:hint="default" w:ascii="Times New Roman" w:hAnsi="Times New Roman" w:eastAsia="仿宋_GB2312" w:cs="Times New Roman"/>
          <w:color w:val="auto"/>
          <w:kern w:val="2"/>
          <w:sz w:val="32"/>
          <w:szCs w:val="32"/>
          <w:lang w:val="en-US" w:eastAsia="zh-CN" w:bidi="ar-SA"/>
        </w:rPr>
        <w:t>获得“全国双拥模范城”称号，</w:t>
      </w:r>
      <w:r>
        <w:rPr>
          <w:rFonts w:hint="default" w:ascii="Times New Roman" w:hAnsi="Times New Roman" w:eastAsia="仿宋_GB2312" w:cs="Times New Roman"/>
          <w:color w:val="auto"/>
          <w:sz w:val="32"/>
          <w:szCs w:val="32"/>
          <w:lang w:val="en-US" w:eastAsia="zh-CN"/>
        </w:rPr>
        <w:t>建成裕安、霍邱、霍山、金寨4家光荣院，</w:t>
      </w:r>
      <w:r>
        <w:rPr>
          <w:rFonts w:hint="default" w:ascii="Times New Roman" w:hAnsi="Times New Roman" w:eastAsia="仿宋_GB2312" w:cs="Times New Roman"/>
          <w:color w:val="auto"/>
          <w:kern w:val="2"/>
          <w:sz w:val="32"/>
          <w:szCs w:val="32"/>
          <w:lang w:val="en-US" w:eastAsia="zh-CN" w:bidi="ar-SA"/>
        </w:rPr>
        <w:t>天堂寨镇退役军人服务站入选“全国百家红色退役军人服务站”。社会服务兜底能力不断增强，累计发放贫困残疾人生活补贴35.8万人次、重度残疾人护理补贴37.2万人次，贫困重度残疾人两项保险代缴率100%，舒城入列全国社会救助综合改革试点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kern w:val="2"/>
          <w:sz w:val="32"/>
          <w:szCs w:val="32"/>
          <w:lang w:val="en-US" w:eastAsia="zh-CN" w:bidi="ar-SA"/>
        </w:rPr>
        <w:t>城乡基本公共服务均等化水平不断提升。</w:t>
      </w:r>
      <w:r>
        <w:rPr>
          <w:rFonts w:hint="default" w:ascii="Times New Roman" w:hAnsi="Times New Roman" w:eastAsia="仿宋_GB2312" w:cs="Times New Roman"/>
          <w:color w:val="auto"/>
          <w:kern w:val="2"/>
          <w:sz w:val="32"/>
          <w:szCs w:val="32"/>
          <w:lang w:val="en-US" w:eastAsia="zh-CN" w:bidi="ar-SA"/>
        </w:rPr>
        <w:t>全市所有县区提前两年通过</w:t>
      </w:r>
      <w:r>
        <w:rPr>
          <w:rFonts w:hint="default" w:ascii="Times New Roman" w:hAnsi="Times New Roman" w:eastAsia="仿宋_GB2312" w:cs="Times New Roman"/>
          <w:color w:val="auto"/>
          <w:sz w:val="32"/>
          <w:szCs w:val="32"/>
          <w:lang w:val="en-US" w:eastAsia="zh-CN"/>
        </w:rPr>
        <w:t>国家义务教育发展基本均衡验收，</w:t>
      </w:r>
      <w:r>
        <w:rPr>
          <w:rFonts w:hint="default" w:ascii="Times New Roman" w:hAnsi="Times New Roman" w:eastAsia="仿宋_GB2312" w:cs="Times New Roman"/>
          <w:color w:val="auto"/>
          <w:kern w:val="2"/>
          <w:sz w:val="32"/>
          <w:szCs w:val="32"/>
          <w:lang w:val="en-US" w:eastAsia="zh-CN" w:bidi="ar-SA"/>
        </w:rPr>
        <w:t>新建、改扩建36所城区义务教育阶段学校；随迁子女就学政策全面落实，义务教育就学实现“零障碍”；大力开展“控辍保学”工作，义务教育阶段辍学率为零。</w:t>
      </w:r>
      <w:r>
        <w:rPr>
          <w:rFonts w:hint="default" w:ascii="Times New Roman" w:hAnsi="Times New Roman" w:eastAsia="仿宋_GB2312" w:cs="Times New Roman"/>
          <w:color w:val="auto"/>
          <w:sz w:val="32"/>
          <w:szCs w:val="32"/>
          <w:lang w:val="en-US" w:eastAsia="zh-CN"/>
        </w:rPr>
        <w:t>城乡低保标准提高至630元/人/月，特困人员集中供养标准和分散供养标准提高至819元/人/月。</w:t>
      </w:r>
      <w:r>
        <w:rPr>
          <w:rFonts w:hint="default" w:ascii="Times New Roman" w:hAnsi="Times New Roman" w:eastAsia="仿宋_GB2312" w:cs="Times New Roman"/>
          <w:color w:val="auto"/>
          <w:kern w:val="2"/>
          <w:sz w:val="32"/>
          <w:szCs w:val="32"/>
          <w:lang w:val="en-US" w:eastAsia="zh-CN" w:bidi="ar-SA"/>
        </w:rPr>
        <w:t>城乡居民基本医疗保险全覆盖，</w:t>
      </w:r>
      <w:r>
        <w:rPr>
          <w:rFonts w:hint="default" w:ascii="Times New Roman" w:hAnsi="Times New Roman" w:eastAsia="仿宋_GB2312" w:cs="Times New Roman"/>
          <w:color w:val="auto"/>
          <w:sz w:val="32"/>
          <w:szCs w:val="32"/>
        </w:rPr>
        <w:t>基本养老保险基础养老金最低标准由</w:t>
      </w:r>
      <w:r>
        <w:rPr>
          <w:rFonts w:hint="default" w:ascii="Times New Roman" w:hAnsi="Times New Roman" w:eastAsia="仿宋_GB2312" w:cs="Times New Roman"/>
          <w:color w:val="auto"/>
          <w:sz w:val="32"/>
          <w:szCs w:val="32"/>
          <w:lang w:val="en-US" w:eastAsia="zh-CN"/>
        </w:rPr>
        <w:t>70元/人/月提高至120元/人/月</w:t>
      </w:r>
      <w:r>
        <w:rPr>
          <w:rFonts w:hint="default" w:ascii="Times New Roman" w:hAnsi="Times New Roman" w:eastAsia="仿宋_GB2312" w:cs="Times New Roman"/>
          <w:color w:val="auto"/>
          <w:sz w:val="32"/>
          <w:szCs w:val="32"/>
          <w:lang w:eastAsia="zh-CN"/>
        </w:rPr>
        <w:t>。城乡医疗体系建设加快，</w:t>
      </w:r>
      <w:r>
        <w:rPr>
          <w:rFonts w:hint="default" w:ascii="Times New Roman" w:hAnsi="Times New Roman" w:eastAsia="仿宋_GB2312" w:cs="Times New Roman"/>
          <w:color w:val="auto"/>
          <w:kern w:val="2"/>
          <w:sz w:val="32"/>
          <w:szCs w:val="32"/>
          <w:lang w:val="en-US" w:eastAsia="zh-CN" w:bidi="ar-SA"/>
        </w:rPr>
        <w:t>全市17所县级及以上医院牵头与136所乡镇卫生院、1790余所村卫生室结成医共体，率先在全省实现县域医共体全覆盖。基层公共文化服务能力持续增强，现有综合文化站140个、基层综合文化服务中心1862个、农家书屋1848个，基层文化工作者2300余人，文化信息资源共享工程村级服务点建设顺利完成，新时代文明实践中心（所、站）实现全覆盖，金寨、霍山被列为第二批全国新时代文明实践中心建设试点县。全市78个乡镇（街道）体育设施“三个一”建设达标，1818个行政村实现体育设施全覆盖。</w:t>
      </w:r>
    </w:p>
    <w:p>
      <w:pPr>
        <w:keepNext w:val="0"/>
        <w:keepLines w:val="0"/>
        <w:pageBreakBefore w:val="0"/>
        <w:widowControl w:val="0"/>
        <w:kinsoku/>
        <w:wordWrap/>
        <w:overflowPunct/>
        <w:topLinePunct w:val="0"/>
        <w:autoSpaceDE/>
        <w:autoSpaceDN/>
        <w:bidi w:val="0"/>
        <w:adjustRightInd/>
        <w:spacing w:line="580" w:lineRule="exact"/>
        <w:ind w:left="0" w:leftChars="0" w:right="0" w:firstLine="634"/>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贫困地区基本公共服务保障能力显著提高。</w:t>
      </w:r>
      <w:r>
        <w:rPr>
          <w:rFonts w:hint="default" w:ascii="Times New Roman" w:hAnsi="Times New Roman" w:eastAsia="仿宋_GB2312" w:cs="Times New Roman"/>
          <w:color w:val="auto"/>
          <w:kern w:val="2"/>
          <w:sz w:val="32"/>
          <w:szCs w:val="32"/>
          <w:lang w:val="en-US" w:eastAsia="zh-CN" w:bidi="ar-SA"/>
        </w:rPr>
        <w:t>“两不愁三保障”和饮水安全核心指标高效完成，“双基”建设水平全面提升，完成农村危房改造6</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4</w:t>
      </w:r>
      <w:r>
        <w:rPr>
          <w:rFonts w:hint="eastAsia" w:ascii="Times New Roman" w:hAnsi="Times New Roman" w:eastAsia="仿宋_GB2312" w:cs="Times New Roman"/>
          <w:color w:val="auto"/>
          <w:kern w:val="2"/>
          <w:sz w:val="32"/>
          <w:szCs w:val="32"/>
          <w:lang w:val="en-US" w:eastAsia="zh-CN" w:bidi="ar-SA"/>
        </w:rPr>
        <w:t>2万</w:t>
      </w:r>
      <w:r>
        <w:rPr>
          <w:rFonts w:hint="default" w:ascii="Times New Roman" w:hAnsi="Times New Roman" w:eastAsia="仿宋_GB2312" w:cs="Times New Roman"/>
          <w:color w:val="auto"/>
          <w:kern w:val="2"/>
          <w:sz w:val="32"/>
          <w:szCs w:val="32"/>
          <w:lang w:val="en-US" w:eastAsia="zh-CN" w:bidi="ar-SA"/>
        </w:rPr>
        <w:t>户。建档立卡户困难学生资助、“两免一补”等有序落实，“不让一个学生因家庭经济困难而失学”目标全面实现。调整现行健康脱贫综合医疗保障政策，在坚持医保制度普惠性保障功能的同时，增强对困难群众基础性、兜底性保障，逐步实现由集中资源支持脱贫攻坚向统筹基本医保、大病保险、医疗救助三重制度常态化保障平稳过渡。“三业一岗”就业扶贫模式全面推广，建成就业扶贫驿站156个，</w:t>
      </w:r>
      <w:r>
        <w:rPr>
          <w:rFonts w:hint="default" w:ascii="Times New Roman" w:hAnsi="Times New Roman" w:eastAsia="仿宋_GB2312" w:cs="Times New Roman"/>
          <w:b w:val="0"/>
          <w:bCs w:val="0"/>
          <w:color w:val="auto"/>
          <w:kern w:val="2"/>
          <w:sz w:val="32"/>
          <w:szCs w:val="32"/>
          <w:lang w:val="en-US" w:eastAsia="zh-CN" w:bidi="ar-SA"/>
        </w:rPr>
        <w:t>实现全市9.5万名贫困劳动者就业动态清零</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pacing w:after="0" w:afterLines="0" w:line="580" w:lineRule="exact"/>
        <w:ind w:left="0" w:leftChars="0"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生活服务发展成效初显。</w:t>
      </w:r>
      <w:r>
        <w:rPr>
          <w:rFonts w:hint="default" w:ascii="Times New Roman" w:hAnsi="Times New Roman" w:eastAsia="仿宋_GB2312" w:cs="Times New Roman"/>
          <w:color w:val="auto"/>
          <w:kern w:val="2"/>
          <w:sz w:val="32"/>
          <w:szCs w:val="32"/>
          <w:lang w:val="en-US" w:eastAsia="zh-CN" w:bidi="ar-SA"/>
        </w:rPr>
        <w:t>文旅融合发展加快，文化产业增加值47.94亿元，旅游产业总收入1800亿元、年均增长23.8%，游客接待量2.3亿人次、年均增长19.7%，悠然南山文化旅游景区入选国家文化和旅游部文化产业项目，万佛湖成功创建国家5A级景区，金寨、霍山成功创建国家全域旅游示范区。体育产业发展提速，</w:t>
      </w:r>
      <w:r>
        <w:rPr>
          <w:rFonts w:hint="eastAsia" w:ascii="Times New Roman" w:hAnsi="Times New Roman" w:eastAsia="仿宋_GB2312" w:cs="Times New Roman"/>
          <w:color w:val="auto"/>
          <w:kern w:val="2"/>
          <w:sz w:val="32"/>
          <w:szCs w:val="32"/>
          <w:lang w:val="en-US" w:eastAsia="zh-CN" w:bidi="ar-SA"/>
        </w:rPr>
        <w:t>全市体育产业</w:t>
      </w:r>
      <w:r>
        <w:rPr>
          <w:rFonts w:hint="default" w:ascii="Times New Roman" w:hAnsi="Times New Roman" w:eastAsia="仿宋_GB2312" w:cs="Times New Roman"/>
          <w:color w:val="auto"/>
          <w:kern w:val="2"/>
          <w:sz w:val="32"/>
          <w:szCs w:val="32"/>
          <w:highlight w:val="none"/>
          <w:lang w:val="en-US" w:eastAsia="zh-CN" w:bidi="ar-SA"/>
        </w:rPr>
        <w:t>规模以上体育用品制造企业40余家，</w:t>
      </w:r>
      <w:r>
        <w:rPr>
          <w:rFonts w:hint="default" w:ascii="Times New Roman" w:hAnsi="Times New Roman" w:eastAsia="仿宋_GB2312" w:cs="Times New Roman"/>
          <w:color w:val="auto"/>
          <w:sz w:val="32"/>
          <w:szCs w:val="32"/>
        </w:rPr>
        <w:t>建成全国体育特色小镇</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体育产业示范单位</w:t>
      </w: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rPr>
        <w:t>1个，省级体育旅游产业基地5个</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lang w:val="en-US" w:eastAsia="zh-CN" w:bidi="ar-SA"/>
        </w:rPr>
        <w:t>养老服务业发展进程加快，全市</w:t>
      </w:r>
      <w:r>
        <w:rPr>
          <w:rFonts w:hint="default" w:ascii="Times New Roman" w:hAnsi="Times New Roman" w:eastAsia="仿宋_GB2312" w:cs="Times New Roman"/>
          <w:color w:val="auto"/>
          <w:sz w:val="32"/>
          <w:szCs w:val="32"/>
        </w:rPr>
        <w:t>医养结合机构</w:t>
      </w:r>
      <w:r>
        <w:rPr>
          <w:rFonts w:hint="default" w:ascii="Times New Roman" w:hAnsi="Times New Roman" w:eastAsia="仿宋_GB2312" w:cs="Times New Roman"/>
          <w:color w:val="auto"/>
          <w:sz w:val="32"/>
          <w:szCs w:val="32"/>
          <w:lang w:val="en-US" w:eastAsia="zh-CN"/>
        </w:rPr>
        <w:t>89</w:t>
      </w:r>
      <w:r>
        <w:rPr>
          <w:rFonts w:hint="default" w:ascii="Times New Roman" w:hAnsi="Times New Roman" w:eastAsia="仿宋_GB2312" w:cs="Times New Roman"/>
          <w:color w:val="auto"/>
          <w:sz w:val="32"/>
          <w:szCs w:val="32"/>
        </w:rPr>
        <w:t>家，</w:t>
      </w:r>
      <w:r>
        <w:rPr>
          <w:rFonts w:hint="default" w:ascii="Times New Roman" w:hAnsi="Times New Roman" w:eastAsia="仿宋_GB2312" w:cs="Times New Roman"/>
          <w:color w:val="auto"/>
          <w:kern w:val="2"/>
          <w:sz w:val="32"/>
          <w:szCs w:val="32"/>
          <w:lang w:val="en-US" w:eastAsia="zh-CN" w:bidi="ar-SA"/>
        </w:rPr>
        <w:t>护理型床位占比36.3%，金寨茶西河谷森林康</w:t>
      </w:r>
      <w:r>
        <w:rPr>
          <w:rFonts w:hint="default" w:ascii="Times New Roman" w:hAnsi="Times New Roman" w:eastAsia="仿宋_GB2312" w:cs="Times New Roman"/>
          <w:color w:val="auto"/>
          <w:sz w:val="32"/>
          <w:szCs w:val="32"/>
          <w:lang w:val="en-US" w:eastAsia="zh-CN"/>
        </w:rPr>
        <w:t>养基地、霍山陡沙河温泉森林康养基地成功入选首批“国家森林康养基</w:t>
      </w:r>
      <w:r>
        <w:rPr>
          <w:rFonts w:hint="default" w:ascii="Times New Roman" w:hAnsi="Times New Roman" w:eastAsia="仿宋_GB2312" w:cs="Times New Roman"/>
          <w:color w:val="auto"/>
          <w:kern w:val="2"/>
          <w:sz w:val="32"/>
          <w:szCs w:val="32"/>
          <w:lang w:val="en-US" w:eastAsia="zh-CN" w:bidi="ar-SA"/>
        </w:rPr>
        <w:t>地”名单，紫荆花怡养小镇被省评为“长三角健康养老基地”。</w:t>
      </w:r>
    </w:p>
    <w:p>
      <w:pPr>
        <w:pStyle w:val="6"/>
        <w:rPr>
          <w:rFonts w:hint="default" w:ascii="Times New Roman" w:hAnsi="Times New Roman" w:cs="Times New Roman"/>
          <w:color w:val="auto"/>
          <w:lang w:val="en-US" w:eastAsia="zh-CN"/>
        </w:rPr>
      </w:pPr>
      <w:r>
        <w:rPr>
          <w:rFonts w:hint="default" w:ascii="Times New Roman" w:hAnsi="Times New Roman" w:cs="Times New Roman"/>
          <w:color w:val="auto"/>
        </w:rPr>
        <w:t xml:space="preserve">专栏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SEQ 专栏 \* ARABIC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bookmarkStart w:id="15" w:name="_Toc3213"/>
      <w:r>
        <w:rPr>
          <w:rFonts w:hint="default" w:ascii="Times New Roman" w:hAnsi="Times New Roman" w:cs="Times New Roman"/>
          <w:color w:val="auto"/>
          <w:lang w:val="en-US" w:eastAsia="zh-CN"/>
        </w:rPr>
        <w:t xml:space="preserve"> “十三五”时期基本公共服务发展主要目标完成情况</w:t>
      </w:r>
      <w:bookmarkEnd w:id="15"/>
    </w:p>
    <w:tbl>
      <w:tblPr>
        <w:tblStyle w:val="17"/>
        <w:tblW w:w="875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15" w:type="dxa"/>
          <w:left w:w="15" w:type="dxa"/>
          <w:bottom w:w="15" w:type="dxa"/>
          <w:right w:w="15" w:type="dxa"/>
        </w:tblCellMar>
      </w:tblPr>
      <w:tblGrid>
        <w:gridCol w:w="2397"/>
        <w:gridCol w:w="4433"/>
        <w:gridCol w:w="956"/>
        <w:gridCol w:w="96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15" w:type="dxa"/>
            <w:left w:w="15" w:type="dxa"/>
            <w:bottom w:w="15" w:type="dxa"/>
            <w:right w:w="15" w:type="dxa"/>
          </w:tblCellMar>
        </w:tblPrEx>
        <w:trPr>
          <w:trHeight w:val="677" w:hRule="exact"/>
        </w:trPr>
        <w:tc>
          <w:tcPr>
            <w:tcW w:w="2397"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kern w:val="0"/>
                <w:sz w:val="24"/>
                <w:lang w:bidi="ar"/>
              </w:rPr>
              <w:t>领</w:t>
            </w:r>
            <w:r>
              <w:rPr>
                <w:rFonts w:hint="default" w:ascii="Times New Roman" w:hAnsi="Times New Roman" w:eastAsia="楷体_GB2312" w:cs="Times New Roman"/>
                <w:b/>
                <w:color w:val="auto"/>
                <w:kern w:val="0"/>
                <w:sz w:val="24"/>
                <w:lang w:val="en-US" w:eastAsia="zh-CN" w:bidi="ar"/>
              </w:rPr>
              <w:t xml:space="preserve">  </w:t>
            </w:r>
            <w:r>
              <w:rPr>
                <w:rFonts w:hint="default" w:ascii="Times New Roman" w:hAnsi="Times New Roman" w:eastAsia="楷体_GB2312" w:cs="Times New Roman"/>
                <w:b/>
                <w:color w:val="auto"/>
                <w:kern w:val="0"/>
                <w:sz w:val="24"/>
                <w:lang w:bidi="ar"/>
              </w:rPr>
              <w:t>域</w:t>
            </w:r>
          </w:p>
        </w:tc>
        <w:tc>
          <w:tcPr>
            <w:tcW w:w="4433"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kern w:val="0"/>
                <w:sz w:val="24"/>
                <w:lang w:bidi="ar"/>
              </w:rPr>
              <w:t>指</w:t>
            </w:r>
            <w:r>
              <w:rPr>
                <w:rFonts w:hint="default" w:ascii="Times New Roman" w:hAnsi="Times New Roman" w:eastAsia="楷体_GB2312" w:cs="Times New Roman"/>
                <w:b/>
                <w:color w:val="auto"/>
                <w:kern w:val="0"/>
                <w:sz w:val="24"/>
                <w:lang w:val="en-US" w:eastAsia="zh-CN" w:bidi="ar"/>
              </w:rPr>
              <w:t xml:space="preserve">  </w:t>
            </w:r>
            <w:r>
              <w:rPr>
                <w:rFonts w:hint="default" w:ascii="Times New Roman" w:hAnsi="Times New Roman" w:eastAsia="楷体_GB2312" w:cs="Times New Roman"/>
                <w:b/>
                <w:color w:val="auto"/>
                <w:kern w:val="0"/>
                <w:sz w:val="24"/>
                <w:lang w:bidi="ar"/>
              </w:rPr>
              <w:t>标</w:t>
            </w:r>
          </w:p>
        </w:tc>
        <w:tc>
          <w:tcPr>
            <w:tcW w:w="95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kern w:val="0"/>
                <w:sz w:val="24"/>
                <w:lang w:bidi="ar"/>
              </w:rPr>
              <w:t>2020年目标</w:t>
            </w:r>
          </w:p>
        </w:tc>
        <w:tc>
          <w:tcPr>
            <w:tcW w:w="96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kern w:val="0"/>
                <w:sz w:val="24"/>
                <w:lang w:bidi="ar"/>
              </w:rPr>
              <w:t>2020年实绩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00" w:hRule="exact"/>
        </w:trPr>
        <w:tc>
          <w:tcPr>
            <w:tcW w:w="2397" w:type="dxa"/>
            <w:vMerge w:val="restart"/>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楷体_GB2312" w:cs="Times New Roman"/>
                <w:b/>
                <w:bCs/>
                <w:color w:val="auto"/>
                <w:sz w:val="24"/>
              </w:rPr>
            </w:pPr>
            <w:r>
              <w:rPr>
                <w:rFonts w:hint="default" w:ascii="Times New Roman" w:hAnsi="Times New Roman" w:eastAsia="楷体_GB2312" w:cs="Times New Roman"/>
                <w:b/>
                <w:bCs/>
                <w:color w:val="auto"/>
                <w:kern w:val="0"/>
                <w:sz w:val="24"/>
                <w:lang w:bidi="ar"/>
              </w:rPr>
              <w:t>基本公共教育</w:t>
            </w:r>
          </w:p>
        </w:tc>
        <w:tc>
          <w:tcPr>
            <w:tcW w:w="4433"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九年义务教育巩固率（%）</w:t>
            </w:r>
          </w:p>
        </w:tc>
        <w:tc>
          <w:tcPr>
            <w:tcW w:w="95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95</w:t>
            </w:r>
          </w:p>
        </w:tc>
        <w:tc>
          <w:tcPr>
            <w:tcW w:w="96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109.6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83" w:hRule="exact"/>
        </w:trPr>
        <w:tc>
          <w:tcPr>
            <w:tcW w:w="2397" w:type="dxa"/>
            <w:vMerge w:val="continue"/>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楷体_GB2312" w:cs="Times New Roman"/>
                <w:b/>
                <w:bCs/>
                <w:color w:val="auto"/>
                <w:sz w:val="24"/>
              </w:rPr>
            </w:pPr>
          </w:p>
        </w:tc>
        <w:tc>
          <w:tcPr>
            <w:tcW w:w="4433"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义务教育基本均衡县（市、区）的比例（%）</w:t>
            </w:r>
          </w:p>
        </w:tc>
        <w:tc>
          <w:tcPr>
            <w:tcW w:w="95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100</w:t>
            </w:r>
          </w:p>
        </w:tc>
        <w:tc>
          <w:tcPr>
            <w:tcW w:w="96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84" w:hRule="exact"/>
        </w:trPr>
        <w:tc>
          <w:tcPr>
            <w:tcW w:w="2397"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楷体_GB2312" w:cs="Times New Roman"/>
                <w:b/>
                <w:bCs/>
                <w:color w:val="auto"/>
                <w:sz w:val="24"/>
              </w:rPr>
            </w:pPr>
            <w:r>
              <w:rPr>
                <w:rFonts w:hint="default" w:ascii="Times New Roman" w:hAnsi="Times New Roman" w:eastAsia="楷体_GB2312" w:cs="Times New Roman"/>
                <w:b/>
                <w:bCs/>
                <w:color w:val="auto"/>
                <w:kern w:val="0"/>
                <w:sz w:val="24"/>
                <w:lang w:bidi="ar"/>
              </w:rPr>
              <w:t>基本劳动就业创业</w:t>
            </w:r>
          </w:p>
        </w:tc>
        <w:tc>
          <w:tcPr>
            <w:tcW w:w="4433"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城镇新增就业人数（万人）</w:t>
            </w:r>
          </w:p>
        </w:tc>
        <w:tc>
          <w:tcPr>
            <w:tcW w:w="95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仿宋_GB2312" w:cs="Times New Roman"/>
                <w:color w:val="auto"/>
                <w:sz w:val="22"/>
                <w:szCs w:val="22"/>
                <w:highlight w:val="none"/>
                <w:lang w:val="en-US"/>
              </w:rPr>
            </w:pPr>
            <w:r>
              <w:rPr>
                <w:rFonts w:hint="eastAsia" w:ascii="Times New Roman" w:hAnsi="Times New Roman" w:eastAsia="仿宋_GB2312" w:cs="Times New Roman"/>
                <w:color w:val="auto"/>
                <w:kern w:val="0"/>
                <w:sz w:val="22"/>
                <w:szCs w:val="22"/>
                <w:highlight w:val="none"/>
                <w:lang w:val="en-US" w:eastAsia="zh-CN" w:bidi="ar"/>
              </w:rPr>
              <w:t>[</w:t>
            </w:r>
            <w:r>
              <w:rPr>
                <w:rFonts w:hint="default" w:ascii="Times New Roman" w:hAnsi="Times New Roman" w:eastAsia="仿宋_GB2312" w:cs="Times New Roman"/>
                <w:color w:val="auto"/>
                <w:kern w:val="0"/>
                <w:sz w:val="22"/>
                <w:szCs w:val="22"/>
                <w:highlight w:val="none"/>
                <w:lang w:val="en-US" w:eastAsia="zh-CN" w:bidi="ar"/>
              </w:rPr>
              <w:t>14</w:t>
            </w:r>
            <w:r>
              <w:rPr>
                <w:rFonts w:hint="eastAsia" w:ascii="Times New Roman" w:hAnsi="Times New Roman" w:eastAsia="仿宋_GB2312" w:cs="Times New Roman"/>
                <w:color w:val="auto"/>
                <w:kern w:val="0"/>
                <w:sz w:val="22"/>
                <w:szCs w:val="22"/>
                <w:highlight w:val="none"/>
                <w:lang w:val="en-US" w:eastAsia="zh-CN" w:bidi="ar"/>
              </w:rPr>
              <w:t>]</w:t>
            </w:r>
          </w:p>
        </w:tc>
        <w:tc>
          <w:tcPr>
            <w:tcW w:w="96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w:t>
            </w:r>
            <w:r>
              <w:rPr>
                <w:rFonts w:hint="eastAsia" w:ascii="Times New Roman" w:hAnsi="Times New Roman" w:eastAsia="仿宋_GB2312" w:cs="Times New Roman"/>
                <w:color w:val="auto"/>
                <w:sz w:val="22"/>
                <w:szCs w:val="22"/>
                <w:highlight w:val="none"/>
                <w:lang w:val="en-US" w:eastAsia="zh-CN"/>
              </w:rPr>
              <w:t>14.39</w:t>
            </w:r>
            <w:r>
              <w:rPr>
                <w:rFonts w:hint="default" w:ascii="Times New Roman" w:hAnsi="Times New Roman" w:eastAsia="仿宋_GB2312" w:cs="Times New Roman"/>
                <w:color w:val="auto"/>
                <w:sz w:val="22"/>
                <w:szCs w:val="22"/>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14" w:hRule="exact"/>
        </w:trPr>
        <w:tc>
          <w:tcPr>
            <w:tcW w:w="2397" w:type="dxa"/>
            <w:vMerge w:val="restart"/>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楷体_GB2312" w:cs="Times New Roman"/>
                <w:b/>
                <w:bCs/>
                <w:color w:val="auto"/>
                <w:sz w:val="24"/>
              </w:rPr>
            </w:pPr>
            <w:r>
              <w:rPr>
                <w:rFonts w:hint="default" w:ascii="Times New Roman" w:hAnsi="Times New Roman" w:eastAsia="楷体_GB2312" w:cs="Times New Roman"/>
                <w:b/>
                <w:bCs/>
                <w:color w:val="auto"/>
                <w:kern w:val="0"/>
                <w:sz w:val="24"/>
                <w:lang w:bidi="ar"/>
              </w:rPr>
              <w:t>基本社会保险</w:t>
            </w:r>
          </w:p>
        </w:tc>
        <w:tc>
          <w:tcPr>
            <w:tcW w:w="4433"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tabs>
                <w:tab w:val="left" w:pos="462"/>
              </w:tabs>
              <w:kinsoku/>
              <w:wordWrap w:val="0"/>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基本养老保险参保率（%）</w:t>
            </w:r>
          </w:p>
        </w:tc>
        <w:tc>
          <w:tcPr>
            <w:tcW w:w="95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仿宋_GB2312" w:cs="Times New Roman"/>
                <w:color w:val="auto"/>
                <w:sz w:val="22"/>
                <w:szCs w:val="22"/>
                <w:highlight w:val="none"/>
                <w:lang w:val="en-US" w:eastAsia="zh-CN"/>
              </w:rPr>
            </w:pPr>
            <w:r>
              <w:rPr>
                <w:rFonts w:hint="eastAsia" w:ascii="Times New Roman" w:hAnsi="Times New Roman" w:eastAsia="仿宋_GB2312" w:cs="Times New Roman"/>
                <w:color w:val="auto"/>
                <w:kern w:val="0"/>
                <w:sz w:val="22"/>
                <w:szCs w:val="22"/>
                <w:highlight w:val="none"/>
                <w:lang w:val="en-US" w:eastAsia="zh-CN" w:bidi="ar"/>
              </w:rPr>
              <w:t>≥</w:t>
            </w:r>
            <w:r>
              <w:rPr>
                <w:rFonts w:hint="default" w:ascii="Times New Roman" w:hAnsi="Times New Roman" w:eastAsia="仿宋_GB2312" w:cs="Times New Roman"/>
                <w:color w:val="auto"/>
                <w:kern w:val="0"/>
                <w:sz w:val="22"/>
                <w:szCs w:val="22"/>
                <w:highlight w:val="none"/>
                <w:lang w:bidi="ar"/>
              </w:rPr>
              <w:t>9</w:t>
            </w:r>
            <w:r>
              <w:rPr>
                <w:rFonts w:hint="default" w:ascii="Times New Roman" w:hAnsi="Times New Roman" w:cs="Times New Roman"/>
                <w:color w:val="auto"/>
                <w:kern w:val="0"/>
                <w:sz w:val="22"/>
                <w:szCs w:val="22"/>
                <w:highlight w:val="none"/>
                <w:lang w:val="en-US" w:eastAsia="zh-CN" w:bidi="ar"/>
              </w:rPr>
              <w:t>5</w:t>
            </w:r>
          </w:p>
        </w:tc>
        <w:tc>
          <w:tcPr>
            <w:tcW w:w="96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sz w:val="22"/>
                <w:szCs w:val="22"/>
                <w:highlight w:val="none"/>
                <w:lang w:val="en-US" w:eastAsia="zh-CN"/>
              </w:rPr>
              <w:t>9</w:t>
            </w:r>
            <w:r>
              <w:rPr>
                <w:rFonts w:hint="eastAsia" w:ascii="Times New Roman" w:hAnsi="Times New Roman" w:eastAsia="仿宋_GB2312" w:cs="Times New Roman"/>
                <w:color w:val="auto"/>
                <w:sz w:val="22"/>
                <w:szCs w:val="22"/>
                <w:highlight w:val="none"/>
                <w:lang w:val="en-US" w:eastAsia="zh-CN"/>
              </w:rPr>
              <w:t>6.64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3" w:hRule="exact"/>
        </w:trPr>
        <w:tc>
          <w:tcPr>
            <w:tcW w:w="2397" w:type="dxa"/>
            <w:vMerge w:val="continue"/>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楷体_GB2312" w:cs="Times New Roman"/>
                <w:b/>
                <w:bCs/>
                <w:color w:val="auto"/>
                <w:sz w:val="24"/>
              </w:rPr>
            </w:pPr>
          </w:p>
        </w:tc>
        <w:tc>
          <w:tcPr>
            <w:tcW w:w="4433"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highlight w:val="none"/>
                <w:lang w:bidi="ar"/>
              </w:rPr>
              <w:t>基本医疗保险参保率（%）</w:t>
            </w:r>
          </w:p>
        </w:tc>
        <w:tc>
          <w:tcPr>
            <w:tcW w:w="95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仿宋_GB2312" w:cs="Times New Roman"/>
                <w:color w:val="auto"/>
                <w:sz w:val="22"/>
                <w:szCs w:val="22"/>
                <w:highlight w:val="none"/>
                <w:lang w:val="en-US" w:eastAsia="zh-CN"/>
              </w:rPr>
            </w:pPr>
            <w:r>
              <w:rPr>
                <w:rFonts w:hint="eastAsia" w:ascii="Times New Roman" w:hAnsi="Times New Roman" w:eastAsia="仿宋_GB2312" w:cs="Times New Roman"/>
                <w:color w:val="auto"/>
                <w:kern w:val="0"/>
                <w:sz w:val="22"/>
                <w:szCs w:val="22"/>
                <w:highlight w:val="none"/>
                <w:lang w:val="en-US" w:eastAsia="zh-CN" w:bidi="ar"/>
              </w:rPr>
              <w:t>≥</w:t>
            </w:r>
            <w:r>
              <w:rPr>
                <w:rFonts w:hint="default" w:ascii="Times New Roman" w:hAnsi="Times New Roman" w:eastAsia="仿宋_GB2312" w:cs="Times New Roman"/>
                <w:color w:val="auto"/>
                <w:kern w:val="0"/>
                <w:sz w:val="22"/>
                <w:szCs w:val="22"/>
                <w:highlight w:val="none"/>
                <w:lang w:bidi="ar"/>
              </w:rPr>
              <w:t>9</w:t>
            </w:r>
            <w:r>
              <w:rPr>
                <w:rFonts w:hint="default" w:ascii="Times New Roman" w:hAnsi="Times New Roman" w:cs="Times New Roman"/>
                <w:color w:val="auto"/>
                <w:kern w:val="0"/>
                <w:sz w:val="22"/>
                <w:szCs w:val="22"/>
                <w:highlight w:val="none"/>
                <w:lang w:val="en-US" w:eastAsia="zh-CN" w:bidi="ar"/>
              </w:rPr>
              <w:t>5</w:t>
            </w:r>
          </w:p>
        </w:tc>
        <w:tc>
          <w:tcPr>
            <w:tcW w:w="96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sz w:val="22"/>
                <w:szCs w:val="22"/>
                <w:highlight w:val="none"/>
                <w:lang w:val="en-US" w:eastAsia="zh-CN"/>
              </w:rPr>
              <w:t>112.8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3" w:hRule="exact"/>
        </w:trPr>
        <w:tc>
          <w:tcPr>
            <w:tcW w:w="2397" w:type="dxa"/>
            <w:vMerge w:val="restart"/>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楷体_GB2312" w:cs="Times New Roman"/>
                <w:b/>
                <w:bCs/>
                <w:color w:val="auto"/>
                <w:sz w:val="24"/>
              </w:rPr>
            </w:pPr>
            <w:r>
              <w:rPr>
                <w:rFonts w:hint="default" w:ascii="Times New Roman" w:hAnsi="Times New Roman" w:eastAsia="楷体_GB2312" w:cs="Times New Roman"/>
                <w:b/>
                <w:bCs/>
                <w:color w:val="auto"/>
                <w:kern w:val="0"/>
                <w:sz w:val="24"/>
                <w:lang w:bidi="ar"/>
              </w:rPr>
              <w:t>基本医疗卫生</w:t>
            </w:r>
          </w:p>
        </w:tc>
        <w:tc>
          <w:tcPr>
            <w:tcW w:w="4433"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孕产妇死亡率（1/10万）</w:t>
            </w:r>
          </w:p>
        </w:tc>
        <w:tc>
          <w:tcPr>
            <w:tcW w:w="95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13.2</w:t>
            </w:r>
          </w:p>
        </w:tc>
        <w:tc>
          <w:tcPr>
            <w:tcW w:w="96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2.71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3" w:hRule="exact"/>
        </w:trPr>
        <w:tc>
          <w:tcPr>
            <w:tcW w:w="2397" w:type="dxa"/>
            <w:vMerge w:val="continue"/>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楷体_GB2312" w:cs="Times New Roman"/>
                <w:b/>
                <w:bCs/>
                <w:color w:val="auto"/>
                <w:sz w:val="24"/>
              </w:rPr>
            </w:pPr>
          </w:p>
        </w:tc>
        <w:tc>
          <w:tcPr>
            <w:tcW w:w="4433"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婴儿死亡率（‰）</w:t>
            </w:r>
          </w:p>
        </w:tc>
        <w:tc>
          <w:tcPr>
            <w:tcW w:w="95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3.53</w:t>
            </w:r>
          </w:p>
        </w:tc>
        <w:tc>
          <w:tcPr>
            <w:tcW w:w="96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63" w:hRule="exact"/>
        </w:trPr>
        <w:tc>
          <w:tcPr>
            <w:tcW w:w="2397" w:type="dxa"/>
            <w:vMerge w:val="continue"/>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楷体_GB2312" w:cs="Times New Roman"/>
                <w:b/>
                <w:bCs/>
                <w:color w:val="auto"/>
                <w:sz w:val="24"/>
              </w:rPr>
            </w:pPr>
          </w:p>
        </w:tc>
        <w:tc>
          <w:tcPr>
            <w:tcW w:w="4433"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5岁以下儿童死亡率（‰）</w:t>
            </w:r>
          </w:p>
        </w:tc>
        <w:tc>
          <w:tcPr>
            <w:tcW w:w="95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4.81</w:t>
            </w:r>
          </w:p>
        </w:tc>
        <w:tc>
          <w:tcPr>
            <w:tcW w:w="96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4.26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73" w:hRule="exact"/>
        </w:trPr>
        <w:tc>
          <w:tcPr>
            <w:tcW w:w="2397" w:type="dxa"/>
            <w:vMerge w:val="restart"/>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楷体_GB2312" w:cs="Times New Roman"/>
                <w:b/>
                <w:bCs/>
                <w:color w:val="auto"/>
                <w:sz w:val="24"/>
              </w:rPr>
            </w:pPr>
            <w:r>
              <w:rPr>
                <w:rFonts w:hint="default" w:ascii="Times New Roman" w:hAnsi="Times New Roman" w:eastAsia="楷体_GB2312" w:cs="Times New Roman"/>
                <w:b/>
                <w:bCs/>
                <w:color w:val="auto"/>
                <w:kern w:val="0"/>
                <w:sz w:val="24"/>
                <w:lang w:bidi="ar"/>
              </w:rPr>
              <w:t>基本社会服务</w:t>
            </w:r>
          </w:p>
        </w:tc>
        <w:tc>
          <w:tcPr>
            <w:tcW w:w="4433"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每千名老年人拥有养老床位数（张）</w:t>
            </w:r>
          </w:p>
        </w:tc>
        <w:tc>
          <w:tcPr>
            <w:tcW w:w="95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仿宋_GB2312" w:cs="Times New Roman"/>
                <w:color w:val="auto"/>
                <w:sz w:val="22"/>
                <w:szCs w:val="22"/>
              </w:rPr>
            </w:pPr>
            <w:r>
              <w:rPr>
                <w:rFonts w:hint="eastAsia" w:ascii="Times New Roman" w:hAnsi="Times New Roman" w:eastAsia="仿宋_GB2312" w:cs="Times New Roman"/>
                <w:color w:val="auto"/>
                <w:kern w:val="0"/>
                <w:sz w:val="22"/>
                <w:szCs w:val="22"/>
                <w:highlight w:val="none"/>
                <w:lang w:val="en-US" w:eastAsia="zh-CN" w:bidi="ar"/>
              </w:rPr>
              <w:t>≥</w:t>
            </w:r>
            <w:r>
              <w:rPr>
                <w:rFonts w:hint="default" w:ascii="Times New Roman" w:hAnsi="Times New Roman" w:eastAsia="仿宋_GB2312" w:cs="Times New Roman"/>
                <w:color w:val="auto"/>
                <w:kern w:val="0"/>
                <w:sz w:val="22"/>
                <w:szCs w:val="22"/>
                <w:lang w:bidi="ar"/>
              </w:rPr>
              <w:t>45</w:t>
            </w:r>
          </w:p>
        </w:tc>
        <w:tc>
          <w:tcPr>
            <w:tcW w:w="96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63" w:hRule="exact"/>
        </w:trPr>
        <w:tc>
          <w:tcPr>
            <w:tcW w:w="2397" w:type="dxa"/>
            <w:vMerge w:val="continue"/>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楷体_GB2312" w:cs="Times New Roman"/>
                <w:b/>
                <w:bCs/>
                <w:color w:val="auto"/>
                <w:sz w:val="24"/>
              </w:rPr>
            </w:pPr>
          </w:p>
        </w:tc>
        <w:tc>
          <w:tcPr>
            <w:tcW w:w="4433"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其中：养老床位中护理型床位比例（%）</w:t>
            </w:r>
          </w:p>
        </w:tc>
        <w:tc>
          <w:tcPr>
            <w:tcW w:w="95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30</w:t>
            </w:r>
          </w:p>
        </w:tc>
        <w:tc>
          <w:tcPr>
            <w:tcW w:w="96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sz w:val="22"/>
                <w:szCs w:val="22"/>
                <w:highlight w:val="none"/>
                <w:lang w:val="en-US" w:eastAsia="zh-CN"/>
              </w:rPr>
              <w:t>36.3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18" w:hRule="exact"/>
        </w:trPr>
        <w:tc>
          <w:tcPr>
            <w:tcW w:w="2397" w:type="dxa"/>
            <w:vMerge w:val="continue"/>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楷体_GB2312" w:cs="Times New Roman"/>
                <w:b/>
                <w:bCs/>
                <w:color w:val="auto"/>
                <w:sz w:val="24"/>
              </w:rPr>
            </w:pPr>
          </w:p>
        </w:tc>
        <w:tc>
          <w:tcPr>
            <w:tcW w:w="4433"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生活不能自理特困人员集中供养率（%）</w:t>
            </w:r>
          </w:p>
        </w:tc>
        <w:tc>
          <w:tcPr>
            <w:tcW w:w="95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50</w:t>
            </w:r>
          </w:p>
        </w:tc>
        <w:tc>
          <w:tcPr>
            <w:tcW w:w="96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57.7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3" w:hRule="exact"/>
        </w:trPr>
        <w:tc>
          <w:tcPr>
            <w:tcW w:w="2397" w:type="dxa"/>
            <w:vMerge w:val="restart"/>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楷体_GB2312" w:cs="Times New Roman"/>
                <w:b/>
                <w:bCs/>
                <w:color w:val="auto"/>
                <w:sz w:val="24"/>
              </w:rPr>
            </w:pPr>
            <w:r>
              <w:rPr>
                <w:rFonts w:hint="default" w:ascii="Times New Roman" w:hAnsi="Times New Roman" w:eastAsia="楷体_GB2312" w:cs="Times New Roman"/>
                <w:b/>
                <w:bCs/>
                <w:color w:val="auto"/>
                <w:kern w:val="0"/>
                <w:sz w:val="24"/>
                <w:lang w:bidi="ar"/>
              </w:rPr>
              <w:t>基本住房保障</w:t>
            </w:r>
          </w:p>
        </w:tc>
        <w:tc>
          <w:tcPr>
            <w:tcW w:w="4433"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城镇棚户区住房改造（万套）</w:t>
            </w:r>
          </w:p>
        </w:tc>
        <w:tc>
          <w:tcPr>
            <w:tcW w:w="95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[9.65]</w:t>
            </w:r>
          </w:p>
        </w:tc>
        <w:tc>
          <w:tcPr>
            <w:tcW w:w="96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w:t>
            </w:r>
            <w:r>
              <w:rPr>
                <w:rFonts w:hint="default" w:ascii="Times New Roman" w:hAnsi="Times New Roman" w:eastAsia="仿宋_GB2312" w:cs="Times New Roman"/>
                <w:color w:val="auto"/>
                <w:sz w:val="22"/>
                <w:szCs w:val="22"/>
                <w:lang w:val="en-US" w:eastAsia="zh-CN"/>
              </w:rPr>
              <w:t>10.</w:t>
            </w:r>
            <w:r>
              <w:rPr>
                <w:rFonts w:hint="eastAsia" w:ascii="Times New Roman" w:hAnsi="Times New Roman" w:eastAsia="仿宋_GB2312" w:cs="Times New Roman"/>
                <w:color w:val="auto"/>
                <w:sz w:val="22"/>
                <w:szCs w:val="22"/>
                <w:lang w:val="en-US" w:eastAsia="zh-CN"/>
              </w:rPr>
              <w:t>6</w:t>
            </w:r>
            <w:r>
              <w:rPr>
                <w:rFonts w:hint="default" w:ascii="Times New Roman" w:hAnsi="Times New Roman" w:eastAsia="仿宋_GB2312" w:cs="Times New Roman"/>
                <w:color w:val="auto"/>
                <w:sz w:val="22"/>
                <w:szCs w:val="22"/>
                <w:lang w:val="en-US" w:eastAsia="zh-CN"/>
              </w:rPr>
              <w:t>7</w:t>
            </w:r>
            <w:r>
              <w:rPr>
                <w:rFonts w:hint="eastAsia" w:ascii="Times New Roman" w:hAnsi="Times New Roman" w:eastAsia="仿宋_GB2312" w:cs="Times New Roman"/>
                <w:color w:val="auto"/>
                <w:sz w:val="22"/>
                <w:szCs w:val="22"/>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73" w:hRule="exact"/>
        </w:trPr>
        <w:tc>
          <w:tcPr>
            <w:tcW w:w="2397" w:type="dxa"/>
            <w:vMerge w:val="continue"/>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楷体_GB2312" w:cs="Times New Roman"/>
                <w:b/>
                <w:bCs/>
                <w:color w:val="auto"/>
                <w:sz w:val="24"/>
              </w:rPr>
            </w:pPr>
          </w:p>
        </w:tc>
        <w:tc>
          <w:tcPr>
            <w:tcW w:w="4433"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highlight w:val="none"/>
                <w:lang w:bidi="ar"/>
              </w:rPr>
              <w:t>农村危房改造（万户）</w:t>
            </w:r>
          </w:p>
        </w:tc>
        <w:tc>
          <w:tcPr>
            <w:tcW w:w="95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[6.14]</w:t>
            </w:r>
          </w:p>
        </w:tc>
        <w:tc>
          <w:tcPr>
            <w:tcW w:w="96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w:t>
            </w:r>
            <w:r>
              <w:rPr>
                <w:rFonts w:hint="default" w:ascii="Times New Roman" w:hAnsi="Times New Roman" w:eastAsia="仿宋_GB2312" w:cs="Times New Roman"/>
                <w:color w:val="auto"/>
                <w:sz w:val="22"/>
                <w:szCs w:val="22"/>
                <w:lang w:val="en-US" w:eastAsia="zh-CN"/>
              </w:rPr>
              <w:t>6.42</w:t>
            </w:r>
            <w:r>
              <w:rPr>
                <w:rFonts w:hint="eastAsia" w:ascii="Times New Roman" w:hAnsi="Times New Roman" w:eastAsia="仿宋_GB2312" w:cs="Times New Roman"/>
                <w:color w:val="auto"/>
                <w:sz w:val="22"/>
                <w:szCs w:val="22"/>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23" w:hRule="exact"/>
        </w:trPr>
        <w:tc>
          <w:tcPr>
            <w:tcW w:w="2397" w:type="dxa"/>
            <w:vMerge w:val="restart"/>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楷体_GB2312" w:cs="Times New Roman"/>
                <w:b/>
                <w:bCs/>
                <w:color w:val="auto"/>
                <w:sz w:val="24"/>
              </w:rPr>
            </w:pPr>
            <w:r>
              <w:rPr>
                <w:rFonts w:hint="default" w:ascii="Times New Roman" w:hAnsi="Times New Roman" w:eastAsia="楷体_GB2312" w:cs="Times New Roman"/>
                <w:b/>
                <w:bCs/>
                <w:color w:val="auto"/>
                <w:kern w:val="0"/>
                <w:sz w:val="24"/>
                <w:lang w:bidi="ar"/>
              </w:rPr>
              <w:t>基本公共文化体育</w:t>
            </w:r>
          </w:p>
        </w:tc>
        <w:tc>
          <w:tcPr>
            <w:tcW w:w="4433"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公共图书馆年流通人次（万人次）</w:t>
            </w:r>
          </w:p>
        </w:tc>
        <w:tc>
          <w:tcPr>
            <w:tcW w:w="95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99</w:t>
            </w:r>
          </w:p>
        </w:tc>
        <w:tc>
          <w:tcPr>
            <w:tcW w:w="96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165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3" w:hRule="exact"/>
        </w:trPr>
        <w:tc>
          <w:tcPr>
            <w:tcW w:w="2397" w:type="dxa"/>
            <w:vMerge w:val="continue"/>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楷体_GB2312" w:cs="Times New Roman"/>
                <w:b/>
                <w:bCs/>
                <w:color w:val="auto"/>
                <w:sz w:val="24"/>
              </w:rPr>
            </w:pPr>
          </w:p>
        </w:tc>
        <w:tc>
          <w:tcPr>
            <w:tcW w:w="4433"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文化馆（站）年服务人次（万人次）</w:t>
            </w:r>
          </w:p>
        </w:tc>
        <w:tc>
          <w:tcPr>
            <w:tcW w:w="95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101</w:t>
            </w:r>
          </w:p>
        </w:tc>
        <w:tc>
          <w:tcPr>
            <w:tcW w:w="96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175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3" w:hRule="exact"/>
        </w:trPr>
        <w:tc>
          <w:tcPr>
            <w:tcW w:w="2397" w:type="dxa"/>
            <w:vMerge w:val="continue"/>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楷体_GB2312" w:cs="Times New Roman"/>
                <w:b/>
                <w:bCs/>
                <w:color w:val="auto"/>
                <w:sz w:val="24"/>
              </w:rPr>
            </w:pPr>
          </w:p>
        </w:tc>
        <w:tc>
          <w:tcPr>
            <w:tcW w:w="4433"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广播</w:t>
            </w:r>
            <w:r>
              <w:rPr>
                <w:rFonts w:hint="eastAsia" w:ascii="Times New Roman" w:hAnsi="Times New Roman" w:eastAsia="仿宋_GB2312" w:cs="Times New Roman"/>
                <w:color w:val="auto"/>
                <w:kern w:val="0"/>
                <w:sz w:val="24"/>
                <w:lang w:eastAsia="zh-CN" w:bidi="ar"/>
              </w:rPr>
              <w:t>、</w:t>
            </w:r>
            <w:r>
              <w:rPr>
                <w:rFonts w:hint="eastAsia" w:ascii="Times New Roman" w:hAnsi="Times New Roman" w:eastAsia="仿宋_GB2312" w:cs="Times New Roman"/>
                <w:color w:val="auto"/>
                <w:kern w:val="0"/>
                <w:sz w:val="24"/>
                <w:lang w:val="en-US" w:eastAsia="zh-CN" w:bidi="ar"/>
              </w:rPr>
              <w:t>电视</w:t>
            </w:r>
            <w:r>
              <w:rPr>
                <w:rFonts w:hint="default" w:ascii="Times New Roman" w:hAnsi="Times New Roman" w:eastAsia="仿宋_GB2312" w:cs="Times New Roman"/>
                <w:color w:val="auto"/>
                <w:kern w:val="0"/>
                <w:sz w:val="24"/>
                <w:lang w:bidi="ar"/>
              </w:rPr>
              <w:t>人口综合覆盖率（%）</w:t>
            </w:r>
          </w:p>
        </w:tc>
        <w:tc>
          <w:tcPr>
            <w:tcW w:w="95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99以上</w:t>
            </w:r>
          </w:p>
        </w:tc>
        <w:tc>
          <w:tcPr>
            <w:tcW w:w="96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99.91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27" w:hRule="exact"/>
        </w:trPr>
        <w:tc>
          <w:tcPr>
            <w:tcW w:w="2397" w:type="dxa"/>
            <w:vMerge w:val="continue"/>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楷体_GB2312" w:cs="Times New Roman"/>
                <w:b/>
                <w:bCs/>
                <w:color w:val="auto"/>
                <w:sz w:val="24"/>
              </w:rPr>
            </w:pPr>
          </w:p>
        </w:tc>
        <w:tc>
          <w:tcPr>
            <w:tcW w:w="4433"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国民综合阅读率（%）</w:t>
            </w:r>
          </w:p>
        </w:tc>
        <w:tc>
          <w:tcPr>
            <w:tcW w:w="95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eastAsia" w:ascii="Times New Roman" w:hAnsi="Times New Roman" w:eastAsia="仿宋_GB2312" w:cs="Times New Roman"/>
                <w:color w:val="auto"/>
                <w:sz w:val="22"/>
                <w:szCs w:val="22"/>
                <w:lang w:eastAsia="zh-CN"/>
              </w:rPr>
            </w:pPr>
            <w:r>
              <w:rPr>
                <w:rFonts w:hint="eastAsia" w:ascii="Times New Roman" w:hAnsi="Times New Roman" w:eastAsia="仿宋_GB2312" w:cs="Times New Roman"/>
                <w:color w:val="auto"/>
                <w:sz w:val="22"/>
                <w:szCs w:val="22"/>
                <w:lang w:eastAsia="zh-CN"/>
              </w:rPr>
              <w:t>—</w:t>
            </w:r>
          </w:p>
        </w:tc>
        <w:tc>
          <w:tcPr>
            <w:tcW w:w="96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eastAsia" w:ascii="Times New Roman" w:hAnsi="Times New Roman" w:eastAsia="仿宋_GB2312" w:cs="Times New Roman"/>
                <w:color w:val="auto"/>
                <w:sz w:val="22"/>
                <w:szCs w:val="22"/>
                <w:lang w:eastAsia="zh-CN"/>
              </w:rPr>
            </w:pPr>
            <w:r>
              <w:rPr>
                <w:rFonts w:hint="eastAsia" w:ascii="Times New Roman" w:hAnsi="Times New Roman" w:eastAsia="仿宋_GB2312" w:cs="Times New Roman"/>
                <w:color w:val="auto"/>
                <w:sz w:val="22"/>
                <w:szCs w:val="22"/>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3" w:hRule="exact"/>
        </w:trPr>
        <w:tc>
          <w:tcPr>
            <w:tcW w:w="2397" w:type="dxa"/>
            <w:vMerge w:val="continue"/>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楷体_GB2312" w:cs="Times New Roman"/>
                <w:b/>
                <w:bCs/>
                <w:color w:val="auto"/>
                <w:sz w:val="24"/>
              </w:rPr>
            </w:pPr>
          </w:p>
        </w:tc>
        <w:tc>
          <w:tcPr>
            <w:tcW w:w="4433"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经常参加体育锻炼人数（万人）</w:t>
            </w:r>
          </w:p>
        </w:tc>
        <w:tc>
          <w:tcPr>
            <w:tcW w:w="95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162.57</w:t>
            </w:r>
          </w:p>
        </w:tc>
        <w:tc>
          <w:tcPr>
            <w:tcW w:w="96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163.45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62" w:hRule="exact"/>
        </w:trPr>
        <w:tc>
          <w:tcPr>
            <w:tcW w:w="2397" w:type="dxa"/>
            <w:vMerge w:val="restart"/>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楷体_GB2312" w:cs="Times New Roman"/>
                <w:b/>
                <w:bCs/>
                <w:color w:val="auto"/>
                <w:sz w:val="24"/>
              </w:rPr>
            </w:pPr>
            <w:r>
              <w:rPr>
                <w:rFonts w:hint="default" w:ascii="Times New Roman" w:hAnsi="Times New Roman" w:eastAsia="楷体_GB2312" w:cs="Times New Roman"/>
                <w:b/>
                <w:bCs/>
                <w:color w:val="auto"/>
                <w:kern w:val="0"/>
                <w:sz w:val="24"/>
                <w:lang w:bidi="ar"/>
              </w:rPr>
              <w:t>残疾人基本公共服务</w:t>
            </w:r>
          </w:p>
        </w:tc>
        <w:tc>
          <w:tcPr>
            <w:tcW w:w="4433"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困难残疾人生活补贴和重度残疾人护理补贴覆盖率（%）</w:t>
            </w:r>
          </w:p>
        </w:tc>
        <w:tc>
          <w:tcPr>
            <w:tcW w:w="95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100</w:t>
            </w:r>
          </w:p>
        </w:tc>
        <w:tc>
          <w:tcPr>
            <w:tcW w:w="96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35" w:hRule="exact"/>
        </w:trPr>
        <w:tc>
          <w:tcPr>
            <w:tcW w:w="2397" w:type="dxa"/>
            <w:vMerge w:val="continue"/>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overflowPunct/>
              <w:topLinePunct w:val="0"/>
              <w:autoSpaceDE/>
              <w:autoSpaceDN/>
              <w:bidi w:val="0"/>
              <w:adjustRightInd/>
              <w:snapToGrid/>
              <w:spacing w:line="240" w:lineRule="auto"/>
              <w:ind w:left="0" w:leftChars="0" w:right="0"/>
              <w:jc w:val="both"/>
              <w:textAlignment w:val="auto"/>
              <w:rPr>
                <w:rFonts w:hint="default" w:ascii="Times New Roman" w:hAnsi="Times New Roman" w:eastAsia="楷体_GB2312" w:cs="Times New Roman"/>
                <w:color w:val="auto"/>
                <w:sz w:val="24"/>
              </w:rPr>
            </w:pPr>
          </w:p>
        </w:tc>
        <w:tc>
          <w:tcPr>
            <w:tcW w:w="4433"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残疾人基本康复服务覆盖率（%）</w:t>
            </w:r>
          </w:p>
        </w:tc>
        <w:tc>
          <w:tcPr>
            <w:tcW w:w="95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85</w:t>
            </w:r>
          </w:p>
        </w:tc>
        <w:tc>
          <w:tcPr>
            <w:tcW w:w="966" w:type="dxa"/>
            <w:tcBorders>
              <w:tl2br w:val="nil"/>
              <w:tr2bl w:val="nil"/>
            </w:tcBorders>
            <w:shd w:val="clear" w:color="auto" w:fill="FFFFFF"/>
            <w:tcMar>
              <w:top w:w="120" w:type="dxa"/>
              <w:left w:w="60" w:type="dxa"/>
              <w:bottom w:w="120" w:type="dxa"/>
              <w:right w:w="60"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99.26</w:t>
            </w:r>
          </w:p>
        </w:tc>
      </w:tr>
    </w:tbl>
    <w:p>
      <w:pPr>
        <w:spacing w:line="440" w:lineRule="exact"/>
        <w:rPr>
          <w:rFonts w:hint="default" w:ascii="Times New Roman" w:hAnsi="Times New Roman" w:eastAsia="仿宋_GB2312" w:cs="Times New Roman"/>
          <w:color w:val="auto"/>
          <w:spacing w:val="8"/>
          <w:sz w:val="24"/>
        </w:rPr>
      </w:pPr>
      <w:bookmarkStart w:id="16" w:name="_Toc2113"/>
      <w:r>
        <w:rPr>
          <w:rFonts w:hint="default" w:ascii="Times New Roman" w:hAnsi="Times New Roman" w:eastAsia="仿宋_GB2312" w:cs="Times New Roman"/>
          <w:color w:val="auto"/>
          <w:spacing w:val="8"/>
          <w:sz w:val="24"/>
        </w:rPr>
        <w:t>注：[</w:t>
      </w:r>
      <w:r>
        <w:rPr>
          <w:rFonts w:hint="eastAsia" w:ascii="Times New Roman" w:hAnsi="Times New Roman" w:eastAsia="仿宋_GB2312" w:cs="Times New Roman"/>
          <w:color w:val="auto"/>
          <w:spacing w:val="8"/>
          <w:sz w:val="24"/>
          <w:lang w:val="en-US" w:eastAsia="zh-CN"/>
        </w:rPr>
        <w:t xml:space="preserve">  </w:t>
      </w:r>
      <w:r>
        <w:rPr>
          <w:rFonts w:hint="default" w:ascii="Times New Roman" w:hAnsi="Times New Roman" w:eastAsia="仿宋_GB2312" w:cs="Times New Roman"/>
          <w:color w:val="auto"/>
          <w:spacing w:val="8"/>
          <w:sz w:val="24"/>
        </w:rPr>
        <w:t>]内数据为五年累计数。</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rPr>
          <w:rFonts w:hint="default" w:ascii="Times New Roman" w:hAnsi="Times New Roman" w:eastAsia="楷体_GB2312" w:cs="Times New Roman"/>
          <w:b/>
          <w:bCs/>
          <w:color w:val="auto"/>
          <w:sz w:val="32"/>
          <w:szCs w:val="32"/>
          <w:lang w:val="en-US" w:eastAsia="zh-CN"/>
        </w:rPr>
      </w:pPr>
      <w:bookmarkStart w:id="17" w:name="_Toc21819"/>
      <w:bookmarkStart w:id="18" w:name="_Toc31817"/>
      <w:bookmarkStart w:id="19" w:name="_Toc8440"/>
      <w:bookmarkStart w:id="20" w:name="_Toc13584"/>
      <w:r>
        <w:rPr>
          <w:rFonts w:hint="default" w:ascii="Times New Roman" w:hAnsi="Times New Roman" w:eastAsia="楷体_GB2312" w:cs="Times New Roman"/>
          <w:b/>
          <w:bCs/>
          <w:color w:val="auto"/>
          <w:sz w:val="32"/>
          <w:szCs w:val="32"/>
          <w:lang w:val="en-US" w:eastAsia="zh-CN"/>
        </w:rPr>
        <w:t>第二节</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lang w:val="en-US" w:eastAsia="zh-CN"/>
        </w:rPr>
        <w:t>机遇挑战</w:t>
      </w:r>
      <w:bookmarkEnd w:id="16"/>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“十四五”时期，</w:t>
      </w:r>
      <w:r>
        <w:rPr>
          <w:rFonts w:hint="default" w:ascii="Times New Roman" w:hAnsi="Times New Roman" w:eastAsia="仿宋_GB2312" w:cs="Times New Roman"/>
          <w:color w:val="auto"/>
          <w:sz w:val="32"/>
          <w:szCs w:val="32"/>
        </w:rPr>
        <w:t>人民群众日益增长的美好生活需要对</w:t>
      </w:r>
      <w:r>
        <w:rPr>
          <w:rFonts w:hint="default" w:ascii="Times New Roman" w:hAnsi="Times New Roman" w:eastAsia="仿宋_GB2312" w:cs="Times New Roman"/>
          <w:color w:val="auto"/>
          <w:kern w:val="2"/>
          <w:sz w:val="32"/>
          <w:szCs w:val="32"/>
          <w:lang w:val="en-US" w:eastAsia="zh-CN" w:bidi="ar-SA"/>
        </w:rPr>
        <w:t>提升公共服务水平、做好民生保障工作提出新的更高要求，公共服务发展机遇与挑战并存。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高质量发展为公共服务发展打开新空间。</w:t>
      </w:r>
      <w:r>
        <w:rPr>
          <w:rFonts w:hint="default" w:ascii="Times New Roman" w:hAnsi="Times New Roman" w:eastAsia="仿宋_GB2312" w:cs="Times New Roman"/>
          <w:color w:val="auto"/>
          <w:kern w:val="2"/>
          <w:sz w:val="32"/>
          <w:szCs w:val="32"/>
          <w:lang w:val="en-US" w:eastAsia="zh-CN" w:bidi="ar-SA"/>
        </w:rPr>
        <w:t>我国已转向高质量发展阶段，经济社会发展长期向好，居民收入提高、</w:t>
      </w:r>
      <w:r>
        <w:rPr>
          <w:rFonts w:hint="default" w:ascii="Times New Roman" w:hAnsi="Times New Roman" w:eastAsia="仿宋_GB2312" w:cs="Times New Roman"/>
          <w:color w:val="auto"/>
          <w:kern w:val="2"/>
          <w:sz w:val="32"/>
          <w:szCs w:val="32"/>
          <w:highlight w:val="none"/>
          <w:lang w:val="en-US" w:eastAsia="zh-CN" w:bidi="ar-SA"/>
        </w:rPr>
        <w:t>消费观念转型升级，多样化、优质化、个性化需求意愿更加强烈，有利于我市创新公共服务发展模式，开拓发展型、享受型等高端公共服务业态，丰富优质化、个性化、便捷化公共服务产品供给。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bCs/>
          <w:color w:val="auto"/>
          <w:sz w:val="32"/>
          <w:szCs w:val="32"/>
          <w:highlight w:val="none"/>
        </w:rPr>
        <w:t>革命老区振兴</w:t>
      </w:r>
      <w:r>
        <w:rPr>
          <w:rFonts w:hint="default" w:ascii="Times New Roman" w:hAnsi="Times New Roman" w:eastAsia="楷体_GB2312" w:cs="Times New Roman"/>
          <w:b/>
          <w:bCs/>
          <w:color w:val="auto"/>
          <w:sz w:val="32"/>
          <w:szCs w:val="32"/>
          <w:highlight w:val="none"/>
          <w:lang w:val="en-US" w:eastAsia="zh-CN"/>
        </w:rPr>
        <w:t>为公共服务发展提供新思路</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我市是</w:t>
      </w:r>
      <w:r>
        <w:rPr>
          <w:rFonts w:hint="default" w:ascii="Times New Roman" w:hAnsi="Times New Roman" w:eastAsia="仿宋_GB2312" w:cs="Times New Roman"/>
          <w:b w:val="0"/>
          <w:bCs w:val="0"/>
          <w:color w:val="auto"/>
          <w:sz w:val="32"/>
          <w:szCs w:val="32"/>
          <w:lang w:eastAsia="zh-CN"/>
        </w:rPr>
        <w:t>大别山区域中心城市、鄂豫皖革命根据地的核心地区，</w:t>
      </w:r>
      <w:r>
        <w:rPr>
          <w:rFonts w:hint="default" w:ascii="Times New Roman" w:hAnsi="Times New Roman" w:eastAsia="仿宋_GB2312" w:cs="Times New Roman"/>
          <w:b w:val="0"/>
          <w:bCs w:val="0"/>
          <w:color w:val="auto"/>
          <w:sz w:val="32"/>
          <w:szCs w:val="32"/>
          <w:lang w:val="en-US" w:eastAsia="zh-CN"/>
        </w:rPr>
        <w:t>国家、省</w:t>
      </w:r>
      <w:r>
        <w:rPr>
          <w:rFonts w:hint="default" w:ascii="Times New Roman" w:hAnsi="Times New Roman" w:eastAsia="仿宋_GB2312" w:cs="Times New Roman"/>
          <w:b w:val="0"/>
          <w:bCs w:val="0"/>
          <w:color w:val="auto"/>
          <w:sz w:val="32"/>
          <w:szCs w:val="32"/>
          <w:lang w:eastAsia="zh-CN"/>
        </w:rPr>
        <w:t>高度重视大别山革命老区发展，持续完善政策体系，不断加大扶持力度，</w:t>
      </w:r>
      <w:r>
        <w:rPr>
          <w:rFonts w:hint="default" w:ascii="Times New Roman" w:hAnsi="Times New Roman" w:eastAsia="仿宋_GB2312" w:cs="Times New Roman"/>
          <w:b w:val="0"/>
          <w:bCs w:val="0"/>
          <w:color w:val="auto"/>
          <w:sz w:val="32"/>
          <w:szCs w:val="32"/>
          <w:lang w:val="en-US" w:eastAsia="zh-CN"/>
        </w:rPr>
        <w:t>为我市基础设施网络完善、</w:t>
      </w:r>
      <w:r>
        <w:rPr>
          <w:rFonts w:hint="default" w:ascii="Times New Roman" w:hAnsi="Times New Roman" w:eastAsia="仿宋_GB2312" w:cs="Times New Roman"/>
          <w:color w:val="auto"/>
          <w:sz w:val="32"/>
          <w:szCs w:val="32"/>
        </w:rPr>
        <w:t>红色资源开发保护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文化旅游产业发展</w:t>
      </w:r>
      <w:r>
        <w:rPr>
          <w:rFonts w:hint="default" w:ascii="Times New Roman" w:hAnsi="Times New Roman" w:eastAsia="仿宋_GB2312" w:cs="Times New Roman"/>
          <w:b w:val="0"/>
          <w:bCs w:val="0"/>
          <w:color w:val="auto"/>
          <w:sz w:val="32"/>
          <w:szCs w:val="32"/>
          <w:lang w:val="en-US" w:eastAsia="zh-CN"/>
        </w:rPr>
        <w:t>和社会事业建设提供</w:t>
      </w:r>
      <w:r>
        <w:rPr>
          <w:rFonts w:hint="default" w:ascii="Times New Roman" w:hAnsi="Times New Roman" w:eastAsia="仿宋_GB2312" w:cs="Times New Roman"/>
          <w:b w:val="0"/>
          <w:bCs w:val="0"/>
          <w:color w:val="auto"/>
          <w:sz w:val="32"/>
          <w:szCs w:val="32"/>
          <w:lang w:eastAsia="zh-CN"/>
        </w:rPr>
        <w:t>基本遵循。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区域战略联动叠加为公共服务发展创造新平台。</w:t>
      </w:r>
      <w:r>
        <w:rPr>
          <w:rFonts w:hint="default" w:ascii="Times New Roman" w:hAnsi="Times New Roman" w:eastAsia="仿宋_GB2312" w:cs="Times New Roman"/>
          <w:color w:val="auto"/>
          <w:kern w:val="2"/>
          <w:sz w:val="32"/>
          <w:szCs w:val="32"/>
          <w:lang w:val="en-US" w:eastAsia="zh-CN" w:bidi="ar-SA"/>
        </w:rPr>
        <w:t>长三角一体化发展、合肥都市圈等区域战略交汇实施，特别是合六同城化加快推进、松江区对口帮扶我市，为我市</w:t>
      </w:r>
      <w:r>
        <w:rPr>
          <w:rFonts w:hint="default" w:ascii="Times New Roman" w:hAnsi="Times New Roman" w:eastAsia="仿宋_GB2312" w:cs="Times New Roman"/>
          <w:b w:val="0"/>
          <w:bCs w:val="0"/>
          <w:color w:val="auto"/>
          <w:kern w:val="2"/>
          <w:sz w:val="32"/>
          <w:szCs w:val="32"/>
          <w:lang w:val="en-US" w:eastAsia="zh-CN" w:bidi="ar-SA"/>
        </w:rPr>
        <w:t>加快推进“双招双引”，</w:t>
      </w:r>
      <w:r>
        <w:rPr>
          <w:rFonts w:hint="default" w:ascii="Times New Roman" w:hAnsi="Times New Roman" w:eastAsia="仿宋_GB2312" w:cs="Times New Roman"/>
          <w:color w:val="auto"/>
          <w:sz w:val="32"/>
          <w:szCs w:val="32"/>
          <w:lang w:val="en-US" w:eastAsia="zh-CN"/>
        </w:rPr>
        <w:t>借助</w:t>
      </w:r>
      <w:r>
        <w:rPr>
          <w:rFonts w:hint="default" w:ascii="Times New Roman" w:hAnsi="Times New Roman" w:eastAsia="仿宋_GB2312" w:cs="Times New Roman"/>
          <w:color w:val="auto"/>
          <w:sz w:val="32"/>
          <w:szCs w:val="32"/>
        </w:rPr>
        <w:t>市场逻辑，运用资本力量，</w:t>
      </w:r>
      <w:r>
        <w:rPr>
          <w:rFonts w:hint="default" w:ascii="Times New Roman" w:hAnsi="Times New Roman" w:eastAsia="仿宋_GB2312" w:cs="Times New Roman"/>
          <w:b w:val="0"/>
          <w:bCs w:val="0"/>
          <w:color w:val="auto"/>
          <w:kern w:val="2"/>
          <w:sz w:val="32"/>
          <w:szCs w:val="32"/>
          <w:lang w:val="en-US" w:eastAsia="zh-CN" w:bidi="ar-SA"/>
        </w:rPr>
        <w:t>主动</w:t>
      </w:r>
      <w:r>
        <w:rPr>
          <w:rFonts w:hint="default" w:ascii="Times New Roman" w:hAnsi="Times New Roman" w:eastAsia="仿宋_GB2312" w:cs="Times New Roman"/>
          <w:color w:val="auto"/>
          <w:kern w:val="2"/>
          <w:sz w:val="32"/>
          <w:szCs w:val="32"/>
          <w:lang w:val="en-US" w:eastAsia="zh-CN" w:bidi="ar-SA"/>
        </w:rPr>
        <w:t>借力先进地区全面深化公共服务领域合作提供强大动力，有利于我市</w:t>
      </w:r>
      <w:r>
        <w:rPr>
          <w:rFonts w:hint="default" w:ascii="Times New Roman" w:hAnsi="Times New Roman" w:eastAsia="仿宋_GB2312" w:cs="Times New Roman"/>
          <w:color w:val="auto"/>
          <w:sz w:val="32"/>
          <w:szCs w:val="40"/>
          <w:lang w:val="en-US" w:eastAsia="zh-CN"/>
        </w:rPr>
        <w:t>汇聚</w:t>
      </w:r>
      <w:r>
        <w:rPr>
          <w:rFonts w:hint="default" w:ascii="Times New Roman" w:hAnsi="Times New Roman" w:eastAsia="仿宋_GB2312" w:cs="Times New Roman"/>
          <w:color w:val="auto"/>
          <w:kern w:val="2"/>
          <w:sz w:val="32"/>
          <w:szCs w:val="32"/>
          <w:lang w:val="en-US" w:eastAsia="zh-CN" w:bidi="ar-SA"/>
        </w:rPr>
        <w:t>更多优质公共服务资源、</w:t>
      </w:r>
      <w:r>
        <w:rPr>
          <w:rFonts w:hint="default" w:ascii="Times New Roman" w:hAnsi="Times New Roman" w:eastAsia="仿宋_GB2312" w:cs="Times New Roman"/>
          <w:b w:val="0"/>
          <w:bCs w:val="0"/>
          <w:color w:val="auto"/>
          <w:kern w:val="2"/>
          <w:sz w:val="32"/>
          <w:szCs w:val="32"/>
          <w:lang w:val="en-US" w:eastAsia="zh-CN" w:bidi="ar-SA"/>
        </w:rPr>
        <w:t>推进重大项目建设、打造优质人才队伍、拓展生活服务发展空间</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600" w:lineRule="exact"/>
        <w:ind w:right="0"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新技术广泛应用为公共服务发展提供新支撑。</w:t>
      </w:r>
      <w:r>
        <w:rPr>
          <w:rFonts w:hint="default" w:ascii="Times New Roman" w:hAnsi="Times New Roman" w:eastAsia="仿宋_GB2312" w:cs="Times New Roman"/>
          <w:color w:val="auto"/>
          <w:kern w:val="2"/>
          <w:sz w:val="32"/>
          <w:szCs w:val="32"/>
          <w:lang w:val="en-US" w:eastAsia="zh-CN" w:bidi="ar-SA"/>
        </w:rPr>
        <w:t>以信息技术为代表的新一轮科技革命深入推进，互联网、5G、大数据、人工智能等新技术应用场景的不断拓展延伸，为</w:t>
      </w:r>
      <w:r>
        <w:rPr>
          <w:rFonts w:hint="default" w:ascii="Times New Roman" w:hAnsi="Times New Roman" w:eastAsia="仿宋_GB2312" w:cs="Times New Roman"/>
          <w:color w:val="auto"/>
          <w:sz w:val="32"/>
          <w:szCs w:val="32"/>
        </w:rPr>
        <w:t>统筹推进“智慧六安”</w:t>
      </w:r>
      <w:r>
        <w:rPr>
          <w:rFonts w:hint="default" w:ascii="Times New Roman" w:hAnsi="Times New Roman" w:eastAsia="仿宋_GB2312" w:cs="Times New Roman"/>
          <w:color w:val="auto"/>
          <w:sz w:val="32"/>
          <w:szCs w:val="32"/>
          <w:lang w:eastAsia="zh-CN"/>
        </w:rPr>
        <w:t>“数字政府”</w:t>
      </w:r>
      <w:r>
        <w:rPr>
          <w:rFonts w:hint="default" w:ascii="Times New Roman" w:hAnsi="Times New Roman" w:eastAsia="仿宋_GB2312" w:cs="Times New Roman"/>
          <w:color w:val="auto"/>
          <w:sz w:val="32"/>
          <w:szCs w:val="32"/>
        </w:rPr>
        <w:t>建设</w:t>
      </w:r>
      <w:r>
        <w:rPr>
          <w:rFonts w:hint="default" w:ascii="Times New Roman" w:hAnsi="Times New Roman" w:eastAsia="仿宋_GB2312" w:cs="Times New Roman"/>
          <w:color w:val="auto"/>
          <w:sz w:val="32"/>
          <w:szCs w:val="32"/>
          <w:lang w:eastAsia="zh-CN"/>
        </w:rPr>
        <w:t>，加快</w:t>
      </w:r>
      <w:r>
        <w:rPr>
          <w:rFonts w:hint="default" w:ascii="Times New Roman" w:hAnsi="Times New Roman" w:eastAsia="仿宋_GB2312" w:cs="Times New Roman"/>
          <w:color w:val="auto"/>
          <w:sz w:val="32"/>
          <w:szCs w:val="32"/>
        </w:rPr>
        <w:t>各类惠民应用开发</w:t>
      </w:r>
      <w:r>
        <w:rPr>
          <w:rFonts w:hint="default" w:ascii="Times New Roman" w:hAnsi="Times New Roman" w:eastAsia="仿宋_GB2312" w:cs="Times New Roman"/>
          <w:color w:val="auto"/>
          <w:sz w:val="32"/>
          <w:szCs w:val="32"/>
          <w:lang w:eastAsia="zh-CN"/>
        </w:rPr>
        <w:t>，发展“</w:t>
      </w:r>
      <w:r>
        <w:rPr>
          <w:rFonts w:hint="default" w:ascii="Times New Roman" w:hAnsi="Times New Roman" w:eastAsia="仿宋_GB2312" w:cs="Times New Roman"/>
          <w:color w:val="auto"/>
          <w:sz w:val="32"/>
          <w:szCs w:val="32"/>
        </w:rPr>
        <w:t>互联网</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医疗、养老、社会保障等新兴服务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推动公共服务便利可及</w:t>
      </w:r>
      <w:r>
        <w:rPr>
          <w:rFonts w:hint="default" w:ascii="Times New Roman" w:hAnsi="Times New Roman" w:eastAsia="仿宋_GB2312" w:cs="Times New Roman"/>
          <w:color w:val="auto"/>
          <w:kern w:val="2"/>
          <w:sz w:val="32"/>
          <w:szCs w:val="32"/>
          <w:lang w:val="en-US" w:eastAsia="zh-CN" w:bidi="ar-SA"/>
        </w:rPr>
        <w:t>提供技术支撑。</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但同时也要清醒看到，我市公共服务发展仍然面临诸多挑战。</w:t>
      </w:r>
      <w:r>
        <w:rPr>
          <w:rFonts w:hint="default" w:ascii="Times New Roman" w:hAnsi="Times New Roman" w:eastAsia="仿宋_GB2312" w:cs="Times New Roman"/>
          <w:b w:val="0"/>
          <w:bCs w:val="0"/>
          <w:color w:val="auto"/>
          <w:kern w:val="2"/>
          <w:sz w:val="32"/>
          <w:szCs w:val="32"/>
          <w:lang w:val="en-US" w:eastAsia="zh-CN" w:bidi="ar-SA"/>
        </w:rPr>
        <w:t>世界正经历百年未有之大变局，叠加新冠肺炎疫情全球大流行</w:t>
      </w:r>
      <w:r>
        <w:rPr>
          <w:rFonts w:hint="default" w:ascii="Times New Roman" w:hAnsi="Times New Roman" w:eastAsia="仿宋_GB2312" w:cs="Times New Roman"/>
          <w:color w:val="auto"/>
          <w:kern w:val="2"/>
          <w:sz w:val="32"/>
          <w:szCs w:val="32"/>
          <w:lang w:val="en-US" w:eastAsia="zh-CN" w:bidi="ar-SA"/>
        </w:rPr>
        <w:t>，我市发展环境更趋复杂，公共服务发展不确定性不稳定性增加，社会就业、医疗卫生等重点民生领域负担明显加重；人口老龄化速度加快、程度加深，</w:t>
      </w:r>
      <w:r>
        <w:rPr>
          <w:rFonts w:hint="default" w:ascii="Times New Roman" w:hAnsi="Times New Roman" w:eastAsia="仿宋_GB2312" w:cs="Times New Roman"/>
          <w:color w:val="auto"/>
          <w:sz w:val="32"/>
          <w:szCs w:val="40"/>
        </w:rPr>
        <w:t>全市60岁以上老年人口93.4万人，其中65岁及以上人口74.1万人，占总人口比重16.86%</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kern w:val="2"/>
          <w:sz w:val="32"/>
          <w:szCs w:val="32"/>
          <w:lang w:val="en-US" w:eastAsia="zh-CN" w:bidi="ar-SA"/>
        </w:rPr>
        <w:t>加之</w:t>
      </w:r>
      <w:r>
        <w:rPr>
          <w:rFonts w:hint="default" w:ascii="Times New Roman" w:hAnsi="Times New Roman" w:eastAsia="仿宋_GB2312" w:cs="Times New Roman"/>
          <w:color w:val="auto"/>
          <w:sz w:val="32"/>
          <w:szCs w:val="32"/>
        </w:rPr>
        <w:t>三孩生育政策的实施，</w:t>
      </w:r>
      <w:r>
        <w:rPr>
          <w:rFonts w:hint="default" w:ascii="Times New Roman" w:hAnsi="Times New Roman" w:eastAsia="仿宋_GB2312" w:cs="Times New Roman"/>
          <w:color w:val="auto"/>
          <w:sz w:val="32"/>
          <w:szCs w:val="32"/>
          <w:lang w:val="en-US" w:eastAsia="zh-CN"/>
        </w:rPr>
        <w:t>解决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一老一小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问题面临更大压力</w:t>
      </w:r>
      <w:r>
        <w:rPr>
          <w:rFonts w:hint="default" w:ascii="Times New Roman" w:hAnsi="Times New Roman" w:eastAsia="仿宋_GB2312" w:cs="Times New Roman"/>
          <w:color w:val="auto"/>
          <w:kern w:val="2"/>
          <w:sz w:val="32"/>
          <w:szCs w:val="32"/>
          <w:lang w:val="en-US" w:eastAsia="zh-CN" w:bidi="ar-SA"/>
        </w:rPr>
        <w:t>；新型城镇化步伐</w:t>
      </w:r>
      <w:r>
        <w:rPr>
          <w:rFonts w:hint="default" w:ascii="Times New Roman" w:hAnsi="Times New Roman" w:eastAsia="仿宋_GB2312" w:cs="Times New Roman"/>
          <w:color w:val="auto"/>
          <w:sz w:val="32"/>
          <w:szCs w:val="32"/>
        </w:rPr>
        <w:t>加快农业转移人口市民化进程，</w:t>
      </w:r>
      <w:r>
        <w:rPr>
          <w:rFonts w:hint="default" w:ascii="Times New Roman" w:hAnsi="Times New Roman" w:eastAsia="仿宋_GB2312" w:cs="Times New Roman"/>
          <w:color w:val="auto"/>
          <w:sz w:val="32"/>
          <w:szCs w:val="32"/>
          <w:lang w:val="en-US" w:eastAsia="zh-CN"/>
        </w:rPr>
        <w:t>城区内</w:t>
      </w:r>
      <w:r>
        <w:rPr>
          <w:rFonts w:hint="default" w:ascii="Times New Roman" w:hAnsi="Times New Roman" w:eastAsia="仿宋_GB2312" w:cs="Times New Roman"/>
          <w:color w:val="auto"/>
          <w:kern w:val="2"/>
          <w:sz w:val="32"/>
          <w:szCs w:val="32"/>
          <w:lang w:val="en-US" w:eastAsia="zh-CN" w:bidi="ar-SA"/>
        </w:rPr>
        <w:t>公共服务供给压力进一步增加，均等化、优质化城乡公共服务发展亟需加速推进。我市经济基础薄弱，财政收入与公共服务支出刚性增长矛盾更加突出，影响公共服务供给体量及质量，特别是与先进发达地区相比差距明显；城乡间、区域间及部分人群间公共服务供需差异不断凸显，对公共服务的供给结构、资源布局等带来较大影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color w:val="auto"/>
          <w:kern w:val="2"/>
          <w:sz w:val="32"/>
          <w:szCs w:val="32"/>
          <w:lang w:val="en-US" w:eastAsia="zh-CN" w:bidi="ar-SA"/>
        </w:rPr>
        <w:t>为此，必须保持清醒认识，把握战略机遇期的深刻变化，有效应对各种风险和挑战，紧扣社会主要矛盾变化，围绕公共服务短板弱项、重点难点和堵点痛点，综合施策、统筹解决，全面推动我市公共服务高质量发展。</w:t>
      </w:r>
    </w:p>
    <w:p>
      <w:pPr>
        <w:pStyle w:val="3"/>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exact"/>
        <w:textAlignment w:val="auto"/>
        <w:rPr>
          <w:rFonts w:hint="default" w:ascii="Times New Roman" w:hAnsi="Times New Roman" w:cs="Times New Roman"/>
          <w:color w:val="auto"/>
          <w:lang w:val="en-US" w:eastAsia="zh-CN"/>
        </w:rPr>
      </w:pPr>
      <w:bookmarkStart w:id="21" w:name="_Toc17973"/>
      <w:bookmarkStart w:id="22" w:name="_Toc12860"/>
      <w:bookmarkStart w:id="23" w:name="_Toc11946"/>
      <w:bookmarkStart w:id="24" w:name="_Toc11431"/>
      <w:bookmarkStart w:id="25" w:name="_Toc3836"/>
      <w:r>
        <w:rPr>
          <w:rFonts w:hint="default" w:ascii="Times New Roman" w:hAnsi="Times New Roman" w:cs="Times New Roman"/>
          <w:color w:val="auto"/>
          <w:lang w:val="en-US" w:eastAsia="zh-CN"/>
        </w:rPr>
        <w:t>第二章  总体思路</w:t>
      </w:r>
      <w:bookmarkEnd w:id="21"/>
      <w:bookmarkEnd w:id="22"/>
      <w:bookmarkEnd w:id="23"/>
      <w:bookmarkEnd w:id="24"/>
      <w:bookmarkEnd w:id="25"/>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rPr>
          <w:rFonts w:hint="default" w:ascii="Times New Roman" w:hAnsi="Times New Roman" w:eastAsia="楷体_GB2312" w:cs="Times New Roman"/>
          <w:b/>
          <w:bCs/>
          <w:color w:val="auto"/>
          <w:sz w:val="32"/>
          <w:szCs w:val="32"/>
          <w:lang w:val="en-US" w:eastAsia="zh-CN"/>
        </w:rPr>
      </w:pPr>
      <w:bookmarkStart w:id="26" w:name="_Toc6632"/>
      <w:bookmarkStart w:id="27" w:name="_Toc9876"/>
      <w:bookmarkStart w:id="28" w:name="_Toc8889"/>
      <w:bookmarkStart w:id="29" w:name="_Toc30420"/>
      <w:bookmarkStart w:id="30" w:name="_Toc9305"/>
      <w:bookmarkStart w:id="31" w:name="_Toc4749"/>
      <w:r>
        <w:rPr>
          <w:rFonts w:hint="default" w:ascii="Times New Roman" w:hAnsi="Times New Roman" w:eastAsia="楷体_GB2312" w:cs="Times New Roman"/>
          <w:b/>
          <w:bCs/>
          <w:color w:val="auto"/>
          <w:sz w:val="32"/>
          <w:szCs w:val="32"/>
          <w:lang w:val="en-US" w:eastAsia="zh-CN"/>
        </w:rPr>
        <w:t>第一节</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lang w:val="en-US" w:eastAsia="zh-CN"/>
        </w:rPr>
        <w:t>指导思想</w:t>
      </w:r>
      <w:bookmarkEnd w:id="26"/>
      <w:bookmarkEnd w:id="27"/>
      <w:bookmarkEnd w:id="28"/>
      <w:bookmarkEnd w:id="29"/>
      <w:bookmarkEnd w:id="30"/>
      <w:bookmarkEnd w:id="31"/>
    </w:p>
    <w:p>
      <w:pPr>
        <w:pStyle w:val="16"/>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firstLine="640"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color w:val="auto"/>
          <w:kern w:val="2"/>
          <w:sz w:val="32"/>
          <w:szCs w:val="32"/>
          <w:lang w:val="en-US" w:eastAsia="zh-CN" w:bidi="ar-SA"/>
        </w:rPr>
        <w:t>高举中国特色社会主义伟大旗帜，以习近平新时代中国特色社会主义思想为指导，认真学习贯彻党的十九大和十九届历次全会精神，深入贯彻习近平总书记对安徽作出的系列重要讲话指示批示，统筹推进“五位一体”总体布局，协调推进“四个全面”战略布局，立足新发展阶段，完整、准确、全面贯彻新发展理念，</w:t>
      </w:r>
      <w:r>
        <w:rPr>
          <w:rFonts w:hint="default" w:ascii="Times New Roman" w:hAnsi="Times New Roman" w:eastAsia="仿宋_GB2312" w:cs="Times New Roman"/>
          <w:color w:val="auto"/>
          <w:sz w:val="32"/>
          <w:szCs w:val="32"/>
        </w:rPr>
        <w:t>服务和融入新发展格局，</w:t>
      </w:r>
      <w:r>
        <w:rPr>
          <w:rFonts w:hint="default" w:ascii="Times New Roman" w:hAnsi="Times New Roman" w:eastAsia="仿宋_GB2312" w:cs="Times New Roman"/>
          <w:color w:val="auto"/>
          <w:sz w:val="32"/>
          <w:szCs w:val="32"/>
          <w:lang w:eastAsia="zh-CN"/>
        </w:rPr>
        <w:t>以</w:t>
      </w:r>
      <w:r>
        <w:rPr>
          <w:rFonts w:hint="default" w:ascii="Times New Roman" w:hAnsi="Times New Roman" w:eastAsia="仿宋_GB2312" w:cs="Times New Roman"/>
          <w:color w:val="auto"/>
          <w:sz w:val="32"/>
          <w:szCs w:val="32"/>
        </w:rPr>
        <w:t>推动高质量发展</w:t>
      </w:r>
      <w:r>
        <w:rPr>
          <w:rFonts w:hint="default" w:ascii="Times New Roman" w:hAnsi="Times New Roman" w:eastAsia="仿宋_GB2312" w:cs="Times New Roman"/>
          <w:color w:val="auto"/>
          <w:sz w:val="32"/>
          <w:szCs w:val="32"/>
          <w:lang w:eastAsia="zh-CN"/>
        </w:rPr>
        <w:t>为主题，以深化供给侧结构性改革为主线，以改革创新为根本动力，以满足人民日益增长的美好生活需要为根本目的，科学合理界定基本公共服务与非基本公共服务范围，正确把握处理政府和市场关系，</w:t>
      </w:r>
      <w:r>
        <w:rPr>
          <w:rFonts w:hint="default" w:ascii="Times New Roman" w:hAnsi="Times New Roman" w:eastAsia="仿宋_GB2312" w:cs="Times New Roman"/>
          <w:color w:val="auto"/>
          <w:kern w:val="2"/>
          <w:sz w:val="32"/>
          <w:szCs w:val="32"/>
          <w:lang w:val="en-US" w:eastAsia="zh-CN" w:bidi="ar-SA"/>
        </w:rPr>
        <w:t>着力推进公共服务扩容提质，</w:t>
      </w:r>
      <w:r>
        <w:rPr>
          <w:rFonts w:hint="default" w:ascii="Times New Roman" w:hAnsi="Times New Roman" w:eastAsia="仿宋_GB2312" w:cs="Times New Roman"/>
          <w:color w:val="auto"/>
          <w:sz w:val="32"/>
          <w:szCs w:val="32"/>
        </w:rPr>
        <w:t>切实兜牢基本民生保障网底，</w:t>
      </w:r>
      <w:r>
        <w:rPr>
          <w:rFonts w:hint="default" w:ascii="Times New Roman" w:hAnsi="Times New Roman" w:eastAsia="仿宋_GB2312" w:cs="Times New Roman"/>
          <w:color w:val="auto"/>
          <w:kern w:val="2"/>
          <w:sz w:val="32"/>
          <w:szCs w:val="32"/>
          <w:lang w:val="en-US" w:eastAsia="zh-CN" w:bidi="ar-SA"/>
        </w:rPr>
        <w:t>推动公共服务更加高效、均等、可及，</w:t>
      </w:r>
      <w:r>
        <w:rPr>
          <w:rFonts w:hint="default" w:ascii="Times New Roman" w:hAnsi="Times New Roman" w:eastAsia="仿宋_GB2312" w:cs="Times New Roman"/>
          <w:color w:val="auto"/>
          <w:sz w:val="32"/>
          <w:szCs w:val="32"/>
          <w:lang w:val="en-US" w:eastAsia="zh-CN"/>
        </w:rPr>
        <w:t>为加快“一区四地一屏障”建设、全面增进六安老区人民更大福祉、</w:t>
      </w:r>
      <w:r>
        <w:rPr>
          <w:rFonts w:hint="default" w:ascii="Times New Roman" w:hAnsi="Times New Roman" w:eastAsia="仿宋_GB2312" w:cs="Times New Roman"/>
          <w:color w:val="auto"/>
          <w:sz w:val="32"/>
          <w:szCs w:val="32"/>
          <w:lang w:eastAsia="zh-CN"/>
        </w:rPr>
        <w:t>奋力开创新阶段现代化幸福六安建设新</w:t>
      </w:r>
      <w:r>
        <w:rPr>
          <w:rFonts w:hint="default" w:ascii="Times New Roman" w:hAnsi="Times New Roman" w:eastAsia="仿宋_GB2312" w:cs="Times New Roman"/>
          <w:color w:val="auto"/>
          <w:sz w:val="32"/>
          <w:szCs w:val="32"/>
          <w:lang w:val="en-US" w:eastAsia="zh-CN"/>
        </w:rPr>
        <w:t>局面提供重要支撑</w:t>
      </w:r>
      <w:r>
        <w:rPr>
          <w:rFonts w:hint="default" w:ascii="Times New Roman" w:hAnsi="Times New Roman" w:eastAsia="仿宋_GB2312" w:cs="Times New Roman"/>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rPr>
          <w:rFonts w:hint="default" w:ascii="Times New Roman" w:hAnsi="Times New Roman" w:eastAsia="楷体_GB2312" w:cs="Times New Roman"/>
          <w:b/>
          <w:bCs/>
          <w:color w:val="auto"/>
          <w:sz w:val="32"/>
          <w:szCs w:val="32"/>
          <w:highlight w:val="yellow"/>
          <w:lang w:val="en-US" w:eastAsia="zh-CN"/>
        </w:rPr>
      </w:pPr>
      <w:bookmarkStart w:id="32" w:name="_Toc5386"/>
      <w:bookmarkStart w:id="33" w:name="_Toc12751"/>
      <w:bookmarkStart w:id="34" w:name="_Toc11791"/>
      <w:bookmarkStart w:id="35" w:name="_Toc15090"/>
      <w:bookmarkStart w:id="36" w:name="_Toc10595"/>
      <w:bookmarkStart w:id="37" w:name="_Toc21260"/>
      <w:r>
        <w:rPr>
          <w:rFonts w:hint="default" w:ascii="Times New Roman" w:hAnsi="Times New Roman" w:eastAsia="楷体_GB2312" w:cs="Times New Roman"/>
          <w:b/>
          <w:bCs/>
          <w:color w:val="auto"/>
          <w:sz w:val="32"/>
          <w:szCs w:val="32"/>
          <w:lang w:val="en-US" w:eastAsia="zh-CN"/>
        </w:rPr>
        <w:t>第二节</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lang w:val="en-US" w:eastAsia="zh-CN"/>
        </w:rPr>
        <w:t>基本原则</w:t>
      </w:r>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bCs/>
          <w:color w:val="auto"/>
          <w:sz w:val="32"/>
          <w:szCs w:val="32"/>
          <w:highlight w:val="none"/>
        </w:rPr>
        <w:t>保障基本</w:t>
      </w:r>
      <w:r>
        <w:rPr>
          <w:rFonts w:hint="default" w:ascii="Times New Roman" w:hAnsi="Times New Roman" w:eastAsia="楷体_GB2312" w:cs="Times New Roman"/>
          <w:b/>
          <w:bCs/>
          <w:color w:val="auto"/>
          <w:sz w:val="32"/>
          <w:szCs w:val="32"/>
          <w:highlight w:val="none"/>
          <w:lang w:eastAsia="zh-CN"/>
        </w:rPr>
        <w:t>、补齐短板。</w:t>
      </w:r>
      <w:r>
        <w:rPr>
          <w:rFonts w:hint="default" w:ascii="Times New Roman" w:hAnsi="Times New Roman" w:eastAsia="仿宋_GB2312" w:cs="Times New Roman"/>
          <w:b w:val="0"/>
          <w:bCs w:val="0"/>
          <w:color w:val="auto"/>
          <w:kern w:val="2"/>
          <w:sz w:val="32"/>
          <w:szCs w:val="32"/>
          <w:highlight w:val="none"/>
          <w:lang w:val="en-US" w:eastAsia="zh-CN" w:bidi="ar-SA"/>
        </w:rPr>
        <w:t>强化政府基本公共服务职能，</w:t>
      </w:r>
      <w:r>
        <w:rPr>
          <w:rFonts w:hint="default" w:ascii="Times New Roman" w:hAnsi="Times New Roman" w:eastAsia="仿宋_GB2312" w:cs="Times New Roman"/>
          <w:b w:val="0"/>
          <w:bCs w:val="0"/>
          <w:color w:val="auto"/>
          <w:kern w:val="2"/>
          <w:sz w:val="32"/>
          <w:szCs w:val="32"/>
          <w:lang w:val="en-US" w:eastAsia="zh-CN" w:bidi="ar-SA"/>
        </w:rPr>
        <w:t>优先保障基本公共服务投入，聚焦人民群众“急愁难盼”，</w:t>
      </w:r>
      <w:r>
        <w:rPr>
          <w:rFonts w:hint="default" w:ascii="Times New Roman" w:hAnsi="Times New Roman" w:eastAsia="仿宋_GB2312" w:cs="Times New Roman"/>
          <w:color w:val="auto"/>
          <w:kern w:val="2"/>
          <w:sz w:val="32"/>
          <w:szCs w:val="32"/>
          <w:lang w:val="en-US" w:eastAsia="zh-CN" w:bidi="ar-SA"/>
        </w:rPr>
        <w:t>加快补齐短板弱项，持续</w:t>
      </w:r>
      <w:r>
        <w:rPr>
          <w:rFonts w:hint="default" w:ascii="Times New Roman" w:hAnsi="Times New Roman" w:eastAsia="仿宋_GB2312" w:cs="Times New Roman"/>
          <w:b w:val="0"/>
          <w:bCs w:val="0"/>
          <w:color w:val="auto"/>
          <w:kern w:val="2"/>
          <w:sz w:val="32"/>
          <w:szCs w:val="32"/>
          <w:lang w:val="en-US" w:eastAsia="zh-CN" w:bidi="ar-SA"/>
        </w:rPr>
        <w:t>推进基本公共服务资源</w:t>
      </w:r>
      <w:r>
        <w:rPr>
          <w:rFonts w:hint="default" w:ascii="Times New Roman" w:hAnsi="Times New Roman" w:eastAsia="仿宋_GB2312" w:cs="Times New Roman"/>
          <w:color w:val="auto"/>
          <w:kern w:val="2"/>
          <w:sz w:val="32"/>
          <w:szCs w:val="32"/>
          <w:lang w:val="en-US" w:eastAsia="zh-CN" w:bidi="ar-SA"/>
        </w:rPr>
        <w:t>向农村、基层和低收入群体倾斜，切实提升基本公共服务均等化水平。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bCs/>
          <w:color w:val="auto"/>
          <w:sz w:val="32"/>
          <w:szCs w:val="32"/>
          <w:highlight w:val="none"/>
        </w:rPr>
        <w:t>多元参与、扩大供给。</w:t>
      </w:r>
      <w:r>
        <w:rPr>
          <w:rFonts w:hint="default" w:ascii="Times New Roman" w:hAnsi="Times New Roman" w:eastAsia="仿宋_GB2312" w:cs="Times New Roman"/>
          <w:b w:val="0"/>
          <w:bCs w:val="0"/>
          <w:color w:val="auto"/>
          <w:sz w:val="32"/>
          <w:szCs w:val="32"/>
          <w:highlight w:val="none"/>
          <w:lang w:val="en-US" w:eastAsia="zh-CN"/>
        </w:rPr>
        <w:t>放宽市场准入，</w:t>
      </w:r>
      <w:r>
        <w:rPr>
          <w:rFonts w:hint="default" w:ascii="Times New Roman" w:hAnsi="Times New Roman" w:eastAsia="仿宋_GB2312" w:cs="Times New Roman"/>
          <w:b w:val="0"/>
          <w:bCs w:val="0"/>
          <w:color w:val="auto"/>
          <w:kern w:val="2"/>
          <w:sz w:val="32"/>
          <w:szCs w:val="32"/>
          <w:lang w:val="en-US" w:eastAsia="zh-CN" w:bidi="ar-SA"/>
        </w:rPr>
        <w:t>鼓励和引导社会力量参与，积极发挥行业协会、商会等社会组织作用，充分</w:t>
      </w:r>
      <w:r>
        <w:rPr>
          <w:rFonts w:hint="default" w:ascii="Times New Roman" w:hAnsi="Times New Roman" w:eastAsia="仿宋_GB2312" w:cs="Times New Roman"/>
          <w:b w:val="0"/>
          <w:bCs w:val="0"/>
          <w:color w:val="auto"/>
          <w:kern w:val="2"/>
          <w:sz w:val="32"/>
          <w:szCs w:val="32"/>
          <w:highlight w:val="none"/>
          <w:lang w:val="en-US" w:eastAsia="zh-CN" w:bidi="ar-SA"/>
        </w:rPr>
        <w:t>调动国有经济和事业单位主动性和创造性，</w:t>
      </w:r>
      <w:r>
        <w:rPr>
          <w:rFonts w:hint="default" w:ascii="Times New Roman" w:hAnsi="Times New Roman" w:eastAsia="仿宋_GB2312" w:cs="Times New Roman"/>
          <w:b w:val="0"/>
          <w:bCs w:val="0"/>
          <w:color w:val="auto"/>
          <w:kern w:val="2"/>
          <w:sz w:val="32"/>
          <w:szCs w:val="32"/>
          <w:lang w:val="en-US" w:eastAsia="zh-CN" w:bidi="ar-SA"/>
        </w:rPr>
        <w:t>推动非基本公共服务市场化、多元化、优质化｡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bCs/>
          <w:color w:val="auto"/>
          <w:sz w:val="32"/>
          <w:szCs w:val="32"/>
          <w:highlight w:val="none"/>
        </w:rPr>
        <w:t>创新</w:t>
      </w:r>
      <w:r>
        <w:rPr>
          <w:rFonts w:hint="default" w:ascii="Times New Roman" w:hAnsi="Times New Roman" w:eastAsia="楷体_GB2312" w:cs="Times New Roman"/>
          <w:b/>
          <w:bCs/>
          <w:color w:val="auto"/>
          <w:sz w:val="32"/>
          <w:szCs w:val="32"/>
          <w:highlight w:val="none"/>
          <w:lang w:eastAsia="zh-CN"/>
        </w:rPr>
        <w:t>服务</w:t>
      </w:r>
      <w:r>
        <w:rPr>
          <w:rFonts w:hint="default" w:ascii="Times New Roman" w:hAnsi="Times New Roman" w:eastAsia="楷体_GB2312" w:cs="Times New Roman"/>
          <w:b/>
          <w:bCs/>
          <w:color w:val="auto"/>
          <w:sz w:val="32"/>
          <w:szCs w:val="32"/>
          <w:highlight w:val="none"/>
        </w:rPr>
        <w:t>、提升质量。</w:t>
      </w:r>
      <w:r>
        <w:rPr>
          <w:rFonts w:hint="default" w:ascii="Times New Roman" w:hAnsi="Times New Roman" w:eastAsia="仿宋_GB2312" w:cs="Times New Roman"/>
          <w:b w:val="0"/>
          <w:bCs w:val="0"/>
          <w:color w:val="auto"/>
          <w:sz w:val="32"/>
          <w:szCs w:val="32"/>
          <w:highlight w:val="none"/>
        </w:rPr>
        <w:t>以全面深化改革破除体制障碍</w:t>
      </w:r>
      <w:r>
        <w:rPr>
          <w:rFonts w:hint="default" w:ascii="Times New Roman" w:hAnsi="Times New Roman" w:eastAsia="仿宋_GB2312" w:cs="Times New Roman"/>
          <w:color w:val="auto"/>
          <w:kern w:val="2"/>
          <w:sz w:val="32"/>
          <w:szCs w:val="32"/>
          <w:highlight w:val="none"/>
          <w:lang w:val="en-US" w:eastAsia="zh-CN" w:bidi="ar-SA"/>
        </w:rPr>
        <w:t>，强化服务供需对接，优化资源配置，推进新技术深度应用，持续创新供给方式，扩大优质公共服务产品供给，不断丰富市民选择，全面提高公共服务供给质效。</w:t>
      </w:r>
    </w:p>
    <w:p>
      <w:pPr>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highlight w:val="none"/>
        </w:rPr>
        <w:t>尽力而为、量力而行。</w:t>
      </w:r>
      <w:r>
        <w:rPr>
          <w:rFonts w:hint="default" w:ascii="Times New Roman" w:hAnsi="Times New Roman" w:eastAsia="仿宋_GB2312" w:cs="Times New Roman"/>
          <w:color w:val="auto"/>
          <w:sz w:val="32"/>
          <w:szCs w:val="32"/>
        </w:rPr>
        <w:t>综合考虑经济发展状况和财力负担的可持续性，积极而为切实履行保基本职责，</w:t>
      </w:r>
      <w:r>
        <w:rPr>
          <w:rFonts w:hint="default" w:ascii="Times New Roman" w:hAnsi="Times New Roman" w:eastAsia="仿宋_GB2312" w:cs="Times New Roman"/>
          <w:color w:val="auto"/>
          <w:kern w:val="2"/>
          <w:sz w:val="32"/>
          <w:szCs w:val="32"/>
          <w:lang w:val="en-US" w:eastAsia="zh-CN" w:bidi="ar-SA"/>
        </w:rPr>
        <w:t>健全投入保障机制，合理引导社会预期，动态调整保障标准，</w:t>
      </w:r>
      <w:r>
        <w:rPr>
          <w:rFonts w:hint="default" w:ascii="Times New Roman" w:hAnsi="Times New Roman" w:eastAsia="仿宋_GB2312" w:cs="Times New Roman"/>
          <w:color w:val="auto"/>
          <w:sz w:val="32"/>
          <w:szCs w:val="32"/>
        </w:rPr>
        <w:t>有序推进公共服务保障水平与经济社会发展水平相适应</w:t>
      </w:r>
      <w:r>
        <w:rPr>
          <w:rFonts w:hint="default" w:ascii="Times New Roman" w:hAnsi="Times New Roman" w:eastAsia="仿宋_GB2312" w:cs="Times New Roman"/>
          <w:color w:val="auto"/>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rPr>
          <w:rFonts w:hint="default" w:ascii="Times New Roman" w:hAnsi="Times New Roman" w:eastAsia="楷体_GB2312" w:cs="Times New Roman"/>
          <w:b/>
          <w:bCs/>
          <w:color w:val="auto"/>
          <w:sz w:val="32"/>
          <w:szCs w:val="32"/>
          <w:lang w:val="en-US" w:eastAsia="zh-CN"/>
        </w:rPr>
      </w:pPr>
      <w:bookmarkStart w:id="38" w:name="_Toc14503"/>
      <w:bookmarkStart w:id="39" w:name="_Toc15350"/>
      <w:bookmarkStart w:id="40" w:name="_Toc29862"/>
      <w:bookmarkStart w:id="41" w:name="_Toc21349"/>
      <w:bookmarkStart w:id="42" w:name="_Toc24871"/>
      <w:r>
        <w:rPr>
          <w:rFonts w:hint="default" w:ascii="Times New Roman" w:hAnsi="Times New Roman" w:eastAsia="楷体_GB2312" w:cs="Times New Roman"/>
          <w:b/>
          <w:bCs/>
          <w:color w:val="auto"/>
          <w:sz w:val="32"/>
          <w:szCs w:val="32"/>
          <w:lang w:val="en-US" w:eastAsia="zh-CN"/>
        </w:rPr>
        <w:t>第三节</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lang w:val="en-US" w:eastAsia="zh-CN"/>
        </w:rPr>
        <w:t>主要目标</w:t>
      </w:r>
      <w:bookmarkEnd w:id="38"/>
      <w:bookmarkEnd w:id="39"/>
      <w:bookmarkEnd w:id="40"/>
      <w:bookmarkEnd w:id="41"/>
      <w:bookmarkEnd w:id="42"/>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到2025年，基本公共服务制度体系更加完善，基本公共服务均等化水平明显提高，政府保障基本、社会多元参与、全民共建共享的公共服务供给格局基本形成，多样化、个性化、品质化生活服务成为公共服务体系的有益补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——制度规范更加完善。</w:t>
      </w:r>
      <w:r>
        <w:rPr>
          <w:rFonts w:hint="default" w:ascii="Times New Roman" w:hAnsi="Times New Roman" w:eastAsia="仿宋_GB2312" w:cs="Times New Roman"/>
          <w:color w:val="auto"/>
          <w:sz w:val="32"/>
          <w:szCs w:val="32"/>
          <w:lang w:val="en-US" w:eastAsia="zh-CN"/>
        </w:rPr>
        <w:t>公共服务实施机制更加完善，统筹协调、财政保障、监督问责等制度全面建立，基本公共服务标准体系更加健全，</w:t>
      </w:r>
      <w:r>
        <w:rPr>
          <w:rFonts w:hint="default" w:ascii="Times New Roman" w:hAnsi="Times New Roman" w:eastAsia="仿宋_GB2312" w:cs="Times New Roman"/>
          <w:color w:val="auto"/>
          <w:sz w:val="32"/>
          <w:szCs w:val="32"/>
        </w:rPr>
        <w:t>基层服务机构标准化管理</w:t>
      </w:r>
      <w:r>
        <w:rPr>
          <w:rFonts w:hint="default" w:ascii="Times New Roman" w:hAnsi="Times New Roman" w:eastAsia="仿宋_GB2312" w:cs="Times New Roman"/>
          <w:color w:val="auto"/>
          <w:sz w:val="32"/>
          <w:szCs w:val="32"/>
          <w:lang w:val="en-US" w:eastAsia="zh-CN"/>
        </w:rPr>
        <w:t>稳步推进，各领域制度规范基本完备、衔接配套。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——资源配置更加优化。</w:t>
      </w:r>
      <w:r>
        <w:rPr>
          <w:rFonts w:hint="default" w:ascii="Times New Roman" w:hAnsi="Times New Roman" w:eastAsia="仿宋_GB2312" w:cs="Times New Roman"/>
          <w:color w:val="auto"/>
          <w:sz w:val="32"/>
          <w:szCs w:val="32"/>
          <w:lang w:val="en-US" w:eastAsia="zh-CN"/>
        </w:rPr>
        <w:t>公共服务资源布局与区域功能、人口分布的协调性不断增强，公共服务设施短板有效补齐，</w:t>
      </w:r>
      <w:r>
        <w:rPr>
          <w:rFonts w:hint="default" w:ascii="Times New Roman" w:hAnsi="Times New Roman" w:eastAsia="仿宋_GB2312" w:cs="Times New Roman"/>
          <w:color w:val="auto"/>
          <w:sz w:val="32"/>
          <w:szCs w:val="32"/>
        </w:rPr>
        <w:t>公共服务覆盖面、受益面</w:t>
      </w:r>
      <w:r>
        <w:rPr>
          <w:rFonts w:hint="default" w:ascii="Times New Roman" w:hAnsi="Times New Roman" w:eastAsia="仿宋_GB2312" w:cs="Times New Roman"/>
          <w:color w:val="auto"/>
          <w:sz w:val="32"/>
          <w:szCs w:val="32"/>
          <w:lang w:val="en-US" w:eastAsia="zh-CN"/>
        </w:rPr>
        <w:t>持续扩大，功能完善的高品质生活空间逐步建成。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 w:cs="Times New Roman"/>
          <w:b/>
          <w:bCs/>
          <w:color w:val="auto"/>
          <w:kern w:val="2"/>
          <w:sz w:val="32"/>
          <w:szCs w:val="32"/>
          <w:lang w:val="en-US" w:eastAsia="zh-CN" w:bidi="ar-SA"/>
        </w:rPr>
        <w:t>——供给方式更加多元。</w:t>
      </w:r>
      <w:r>
        <w:rPr>
          <w:rFonts w:hint="default" w:ascii="Times New Roman" w:hAnsi="Times New Roman" w:eastAsia="仿宋_GB2312" w:cs="Times New Roman"/>
          <w:b w:val="0"/>
          <w:bCs w:val="0"/>
          <w:color w:val="auto"/>
          <w:kern w:val="2"/>
          <w:sz w:val="32"/>
          <w:szCs w:val="32"/>
          <w:lang w:val="en-US" w:eastAsia="zh-CN" w:bidi="ar-SA"/>
        </w:rPr>
        <w:t>市场作用充分发挥，有为政府和有效市场实现更好结合，公共服务有效供给持续扩大，服务体系效率明显提升，多元主体积极参与、平等竞争的公共服务供给格局基本形成。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w:t>
      </w:r>
      <w:r>
        <w:rPr>
          <w:rFonts w:hint="default" w:ascii="Times New Roman" w:hAnsi="Times New Roman" w:eastAsia="楷体_GB2312" w:cs="Times New Roman"/>
          <w:b/>
          <w:bCs/>
          <w:color w:val="auto"/>
          <w:kern w:val="2"/>
          <w:sz w:val="32"/>
          <w:szCs w:val="32"/>
          <w:highlight w:val="none"/>
          <w:lang w:val="en-US" w:eastAsia="zh-CN" w:bidi="ar-SA"/>
        </w:rPr>
        <w:t>服务质量显著提升。</w:t>
      </w:r>
      <w:r>
        <w:rPr>
          <w:rFonts w:hint="default" w:ascii="Times New Roman" w:hAnsi="Times New Roman" w:eastAsia="仿宋_GB2312" w:cs="Times New Roman"/>
          <w:color w:val="auto"/>
          <w:sz w:val="32"/>
          <w:szCs w:val="32"/>
        </w:rPr>
        <w:t>个性化、高端化服务供给业态不断涌现，</w:t>
      </w:r>
      <w:r>
        <w:rPr>
          <w:rFonts w:hint="default" w:ascii="Times New Roman" w:hAnsi="Times New Roman" w:eastAsia="仿宋_GB2312" w:cs="Times New Roman"/>
          <w:color w:val="auto"/>
          <w:sz w:val="32"/>
          <w:szCs w:val="32"/>
          <w:lang w:val="en-US" w:eastAsia="zh-CN"/>
        </w:rPr>
        <w:t>品牌建设卓有成效，</w:t>
      </w:r>
      <w:r>
        <w:rPr>
          <w:rFonts w:hint="default" w:ascii="Times New Roman" w:hAnsi="Times New Roman" w:eastAsia="仿宋_GB2312" w:cs="Times New Roman"/>
          <w:b w:val="0"/>
          <w:bCs w:val="0"/>
          <w:color w:val="auto"/>
          <w:kern w:val="2"/>
          <w:sz w:val="32"/>
          <w:szCs w:val="32"/>
          <w:lang w:val="en-US" w:eastAsia="zh-CN" w:bidi="ar-SA"/>
        </w:rPr>
        <w:t>数字化应用更加深入，</w:t>
      </w:r>
      <w:r>
        <w:rPr>
          <w:rFonts w:hint="default" w:ascii="Times New Roman" w:hAnsi="Times New Roman" w:eastAsia="仿宋_GB2312" w:cs="Times New Roman"/>
          <w:color w:val="auto"/>
          <w:sz w:val="32"/>
          <w:szCs w:val="32"/>
          <w:lang w:eastAsia="zh-CN"/>
        </w:rPr>
        <w:t>人才队伍更加专业，</w:t>
      </w:r>
      <w:r>
        <w:rPr>
          <w:rFonts w:hint="default" w:ascii="Times New Roman" w:hAnsi="Times New Roman" w:eastAsia="仿宋_GB2312" w:cs="Times New Roman"/>
          <w:b w:val="0"/>
          <w:bCs w:val="0"/>
          <w:color w:val="auto"/>
          <w:kern w:val="2"/>
          <w:sz w:val="32"/>
          <w:szCs w:val="32"/>
          <w:lang w:val="en-US" w:eastAsia="zh-CN" w:bidi="ar-SA"/>
        </w:rPr>
        <w:t>服务内容更加丰富、选择更加多样</w:t>
      </w:r>
      <w:r>
        <w:rPr>
          <w:rFonts w:hint="default" w:ascii="Times New Roman" w:hAnsi="Times New Roman" w:eastAsia="仿宋_GB2312" w:cs="Times New Roman"/>
          <w:color w:val="auto"/>
          <w:sz w:val="32"/>
          <w:szCs w:val="32"/>
          <w:lang w:eastAsia="zh-CN"/>
        </w:rPr>
        <w:t>、保障更加有力，</w:t>
      </w:r>
      <w:r>
        <w:rPr>
          <w:rFonts w:hint="default" w:ascii="Times New Roman" w:hAnsi="Times New Roman" w:eastAsia="仿宋_GB2312" w:cs="Times New Roman"/>
          <w:b w:val="0"/>
          <w:bCs w:val="0"/>
          <w:color w:val="auto"/>
          <w:kern w:val="2"/>
          <w:sz w:val="32"/>
          <w:szCs w:val="32"/>
          <w:lang w:val="en-US" w:eastAsia="zh-CN" w:bidi="ar-SA"/>
        </w:rPr>
        <w:t>供给体系对多元服务需求的适配性明显增强。</w:t>
      </w:r>
    </w:p>
    <w:p>
      <w:pPr>
        <w:pStyle w:val="6"/>
        <w:rPr>
          <w:rFonts w:hint="default" w:ascii="Times New Roman" w:hAnsi="Times New Roman" w:eastAsia="黑体" w:cs="Times New Roman"/>
          <w:color w:val="auto"/>
          <w:lang w:val="en-US" w:eastAsia="zh-CN"/>
        </w:rPr>
      </w:pPr>
      <w:r>
        <w:rPr>
          <w:rFonts w:hint="default" w:ascii="Times New Roman" w:hAnsi="Times New Roman" w:cs="Times New Roman"/>
          <w:color w:val="auto"/>
        </w:rPr>
        <w:t xml:space="preserve">专栏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SEQ 专栏 \* ARABIC </w:instrText>
      </w:r>
      <w:r>
        <w:rPr>
          <w:rFonts w:hint="default" w:ascii="Times New Roman" w:hAnsi="Times New Roman" w:cs="Times New Roman"/>
          <w:color w:val="auto"/>
        </w:rPr>
        <w:fldChar w:fldCharType="separate"/>
      </w:r>
      <w:r>
        <w:rPr>
          <w:rFonts w:hint="default" w:ascii="Times New Roman" w:hAnsi="Times New Roman" w:cs="Times New Roman"/>
          <w:color w:val="auto"/>
        </w:rPr>
        <w:t>2</w:t>
      </w:r>
      <w:r>
        <w:rPr>
          <w:rFonts w:hint="default" w:ascii="Times New Roman" w:hAnsi="Times New Roman" w:cs="Times New Roman"/>
          <w:color w:val="auto"/>
        </w:rPr>
        <w:fldChar w:fldCharType="end"/>
      </w:r>
      <w:bookmarkStart w:id="43" w:name="_Toc19577"/>
      <w:r>
        <w:rPr>
          <w:rFonts w:hint="default" w:ascii="Times New Roman" w:hAnsi="Times New Roman" w:cs="Times New Roman"/>
          <w:color w:val="auto"/>
          <w:lang w:val="en-US" w:eastAsia="zh-CN"/>
        </w:rPr>
        <w:t xml:space="preserve"> </w:t>
      </w:r>
      <w:r>
        <w:rPr>
          <w:rFonts w:hint="default" w:ascii="Times New Roman" w:hAnsi="Times New Roman" w:eastAsia="黑体" w:cs="Times New Roman"/>
          <w:bCs w:val="0"/>
          <w:color w:val="auto"/>
          <w:kern w:val="2"/>
          <w:sz w:val="28"/>
          <w:szCs w:val="24"/>
        </w:rPr>
        <w:t>“十四五”社会发展与公共服务主要指标</w:t>
      </w:r>
      <w:bookmarkEnd w:id="43"/>
    </w:p>
    <w:tbl>
      <w:tblPr>
        <w:tblStyle w:val="17"/>
        <w:tblW w:w="86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88"/>
        <w:gridCol w:w="4248"/>
        <w:gridCol w:w="1044"/>
        <w:gridCol w:w="1243"/>
        <w:gridCol w:w="9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8" w:hRule="atLeast"/>
          <w:jc w:val="center"/>
        </w:trPr>
        <w:tc>
          <w:tcPr>
            <w:tcW w:w="1188" w:type="dxa"/>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bookmarkStart w:id="44" w:name="_Toc21441"/>
            <w:r>
              <w:rPr>
                <w:rFonts w:hint="default" w:ascii="Times New Roman" w:hAnsi="Times New Roman" w:eastAsia="楷体_GB2312" w:cs="Times New Roman"/>
                <w:b/>
                <w:bCs/>
                <w:color w:val="auto"/>
                <w:kern w:val="0"/>
                <w:sz w:val="24"/>
              </w:rPr>
              <w:t>类</w:t>
            </w:r>
            <w:r>
              <w:rPr>
                <w:rFonts w:hint="default" w:ascii="Times New Roman" w:hAnsi="Times New Roman" w:eastAsia="楷体_GB2312" w:cs="Times New Roman"/>
                <w:b/>
                <w:bCs/>
                <w:color w:val="auto"/>
                <w:kern w:val="0"/>
                <w:sz w:val="24"/>
                <w:lang w:val="en-US" w:eastAsia="zh-CN"/>
              </w:rPr>
              <w:t xml:space="preserve">  </w:t>
            </w:r>
            <w:r>
              <w:rPr>
                <w:rFonts w:hint="default" w:ascii="Times New Roman" w:hAnsi="Times New Roman" w:eastAsia="楷体_GB2312" w:cs="Times New Roman"/>
                <w:b/>
                <w:bCs/>
                <w:color w:val="auto"/>
                <w:kern w:val="0"/>
                <w:sz w:val="24"/>
              </w:rPr>
              <w:t>别</w:t>
            </w:r>
          </w:p>
        </w:tc>
        <w:tc>
          <w:tcPr>
            <w:tcW w:w="4248" w:type="dxa"/>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r>
              <w:rPr>
                <w:rFonts w:hint="default" w:ascii="Times New Roman" w:hAnsi="Times New Roman" w:eastAsia="楷体_GB2312" w:cs="Times New Roman"/>
                <w:b/>
                <w:bCs/>
                <w:color w:val="auto"/>
                <w:kern w:val="0"/>
                <w:sz w:val="24"/>
              </w:rPr>
              <w:t>指</w:t>
            </w:r>
            <w:r>
              <w:rPr>
                <w:rFonts w:hint="default" w:ascii="Times New Roman" w:hAnsi="Times New Roman" w:eastAsia="楷体_GB2312" w:cs="Times New Roman"/>
                <w:b/>
                <w:bCs/>
                <w:color w:val="auto"/>
                <w:kern w:val="0"/>
                <w:sz w:val="24"/>
                <w:lang w:val="en-US" w:eastAsia="zh-CN"/>
              </w:rPr>
              <w:t xml:space="preserve">  </w:t>
            </w:r>
            <w:r>
              <w:rPr>
                <w:rFonts w:hint="default" w:ascii="Times New Roman" w:hAnsi="Times New Roman" w:eastAsia="楷体_GB2312" w:cs="Times New Roman"/>
                <w:b/>
                <w:bCs/>
                <w:color w:val="auto"/>
                <w:kern w:val="0"/>
                <w:sz w:val="24"/>
              </w:rPr>
              <w:t>标</w:t>
            </w:r>
          </w:p>
        </w:tc>
        <w:tc>
          <w:tcPr>
            <w:tcW w:w="1044" w:type="dxa"/>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r>
              <w:rPr>
                <w:rFonts w:hint="default" w:ascii="Times New Roman" w:hAnsi="Times New Roman" w:eastAsia="楷体_GB2312" w:cs="Times New Roman"/>
                <w:b/>
                <w:bCs/>
                <w:color w:val="auto"/>
                <w:kern w:val="0"/>
                <w:sz w:val="24"/>
              </w:rPr>
              <w:t>2020年</w:t>
            </w:r>
          </w:p>
        </w:tc>
        <w:tc>
          <w:tcPr>
            <w:tcW w:w="1243" w:type="dxa"/>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r>
              <w:rPr>
                <w:rFonts w:hint="default" w:ascii="Times New Roman" w:hAnsi="Times New Roman" w:eastAsia="楷体_GB2312" w:cs="Times New Roman"/>
                <w:b/>
                <w:bCs/>
                <w:color w:val="auto"/>
                <w:kern w:val="0"/>
                <w:sz w:val="24"/>
              </w:rPr>
              <w:t>2025年</w:t>
            </w:r>
          </w:p>
        </w:tc>
        <w:tc>
          <w:tcPr>
            <w:tcW w:w="952" w:type="dxa"/>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r>
              <w:rPr>
                <w:rFonts w:hint="default" w:ascii="Times New Roman" w:hAnsi="Times New Roman" w:eastAsia="楷体_GB2312" w:cs="Times New Roman"/>
                <w:b/>
                <w:bCs/>
                <w:color w:val="auto"/>
                <w:kern w:val="0"/>
                <w:sz w:val="24"/>
              </w:rPr>
              <w:t>属</w:t>
            </w:r>
            <w:r>
              <w:rPr>
                <w:rFonts w:hint="default" w:ascii="Times New Roman" w:hAnsi="Times New Roman" w:eastAsia="楷体_GB2312" w:cs="Times New Roman"/>
                <w:b/>
                <w:bCs/>
                <w:color w:val="auto"/>
                <w:kern w:val="0"/>
                <w:sz w:val="24"/>
                <w:lang w:val="en-US" w:eastAsia="zh-CN"/>
              </w:rPr>
              <w:t xml:space="preserve">  </w:t>
            </w:r>
            <w:r>
              <w:rPr>
                <w:rFonts w:hint="default" w:ascii="Times New Roman" w:hAnsi="Times New Roman" w:eastAsia="楷体_GB2312" w:cs="Times New Roman"/>
                <w:b/>
                <w:bCs/>
                <w:color w:val="auto"/>
                <w:kern w:val="0"/>
                <w:sz w:val="24"/>
              </w:rPr>
              <w:t>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jc w:val="center"/>
        </w:trPr>
        <w:tc>
          <w:tcPr>
            <w:tcW w:w="1188" w:type="dxa"/>
            <w:vMerge w:val="restart"/>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r>
              <w:rPr>
                <w:rFonts w:hint="default" w:ascii="Times New Roman" w:hAnsi="Times New Roman" w:eastAsia="楷体_GB2312" w:cs="Times New Roman"/>
                <w:b/>
                <w:bCs/>
                <w:color w:val="auto"/>
                <w:kern w:val="0"/>
                <w:sz w:val="24"/>
              </w:rPr>
              <w:t>幼有所育</w:t>
            </w:r>
          </w:p>
        </w:tc>
        <w:tc>
          <w:tcPr>
            <w:tcW w:w="4248" w:type="dxa"/>
            <w:tcBorders>
              <w:tl2br w:val="nil"/>
              <w:tr2bl w:val="nil"/>
            </w:tcBorders>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每千人口拥有3岁以下婴幼儿托位数（个）</w:t>
            </w:r>
          </w:p>
        </w:tc>
        <w:tc>
          <w:tcPr>
            <w:tcW w:w="1044" w:type="dxa"/>
            <w:tcBorders>
              <w:tl2br w:val="nil"/>
              <w:tr2bl w:val="nil"/>
            </w:tcBorders>
            <w:vAlign w:val="center"/>
          </w:tcPr>
          <w:p>
            <w:pPr>
              <w:widowControl/>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0.</w:t>
            </w:r>
            <w:r>
              <w:rPr>
                <w:rFonts w:hint="default" w:ascii="Times New Roman" w:hAnsi="Times New Roman" w:eastAsia="仿宋_GB2312" w:cs="Times New Roman"/>
                <w:color w:val="auto"/>
                <w:kern w:val="0"/>
                <w:sz w:val="24"/>
                <w:highlight w:val="none"/>
                <w:lang w:val="en-US" w:eastAsia="zh-CN"/>
              </w:rPr>
              <w:t>035</w:t>
            </w:r>
          </w:p>
        </w:tc>
        <w:tc>
          <w:tcPr>
            <w:tcW w:w="1243"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&gt;2.3</w:t>
            </w:r>
          </w:p>
        </w:tc>
        <w:tc>
          <w:tcPr>
            <w:tcW w:w="952" w:type="dxa"/>
            <w:tcBorders>
              <w:tl2br w:val="nil"/>
              <w:tr2bl w:val="nil"/>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1188" w:type="dxa"/>
            <w:vMerge w:val="continue"/>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p>
        </w:tc>
        <w:tc>
          <w:tcPr>
            <w:tcW w:w="4248" w:type="dxa"/>
            <w:tcBorders>
              <w:tl2br w:val="nil"/>
              <w:tr2bl w:val="nil"/>
            </w:tcBorders>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孤儿和事实无人抚养儿童保障覆盖率（%）</w:t>
            </w:r>
          </w:p>
        </w:tc>
        <w:tc>
          <w:tcPr>
            <w:tcW w:w="1044"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lang w:eastAsia="zh-CN"/>
              </w:rPr>
              <w:t>——</w:t>
            </w:r>
          </w:p>
        </w:tc>
        <w:tc>
          <w:tcPr>
            <w:tcW w:w="1243"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应保尽保</w:t>
            </w:r>
          </w:p>
        </w:tc>
        <w:tc>
          <w:tcPr>
            <w:tcW w:w="952" w:type="dxa"/>
            <w:tcBorders>
              <w:tl2br w:val="nil"/>
              <w:tr2bl w:val="nil"/>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1188" w:type="dxa"/>
            <w:vMerge w:val="restart"/>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r>
              <w:rPr>
                <w:rFonts w:hint="default" w:ascii="Times New Roman" w:hAnsi="Times New Roman" w:eastAsia="楷体_GB2312" w:cs="Times New Roman"/>
                <w:b/>
                <w:bCs/>
                <w:color w:val="auto"/>
                <w:kern w:val="0"/>
                <w:sz w:val="24"/>
              </w:rPr>
              <w:t>学有所教</w:t>
            </w:r>
          </w:p>
        </w:tc>
        <w:tc>
          <w:tcPr>
            <w:tcW w:w="4248" w:type="dxa"/>
            <w:tcBorders>
              <w:tl2br w:val="nil"/>
              <w:tr2bl w:val="nil"/>
            </w:tcBorders>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学前教育毛入园率（%）</w:t>
            </w:r>
          </w:p>
        </w:tc>
        <w:tc>
          <w:tcPr>
            <w:tcW w:w="1044" w:type="dxa"/>
            <w:tcBorders>
              <w:tl2br w:val="nil"/>
              <w:tr2bl w:val="nil"/>
            </w:tcBorders>
            <w:vAlign w:val="center"/>
          </w:tcPr>
          <w:p>
            <w:pPr>
              <w:widowControl/>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94.57</w:t>
            </w:r>
          </w:p>
        </w:tc>
        <w:tc>
          <w:tcPr>
            <w:tcW w:w="1243"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＞9</w:t>
            </w:r>
            <w:r>
              <w:rPr>
                <w:rFonts w:hint="eastAsia" w:ascii="Times New Roman" w:hAnsi="Times New Roman" w:eastAsia="仿宋_GB2312" w:cs="Times New Roman"/>
                <w:color w:val="auto"/>
                <w:kern w:val="0"/>
                <w:sz w:val="24"/>
                <w:lang w:val="en-US" w:eastAsia="zh-CN"/>
              </w:rPr>
              <w:t>6</w:t>
            </w:r>
          </w:p>
        </w:tc>
        <w:tc>
          <w:tcPr>
            <w:tcW w:w="952" w:type="dxa"/>
            <w:tcBorders>
              <w:tl2br w:val="nil"/>
              <w:tr2bl w:val="nil"/>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1188" w:type="dxa"/>
            <w:vMerge w:val="continue"/>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p>
        </w:tc>
        <w:tc>
          <w:tcPr>
            <w:tcW w:w="4248" w:type="dxa"/>
            <w:tcBorders>
              <w:tl2br w:val="nil"/>
              <w:tr2bl w:val="nil"/>
            </w:tcBorders>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九年义务教育巩固率（%）</w:t>
            </w:r>
          </w:p>
        </w:tc>
        <w:tc>
          <w:tcPr>
            <w:tcW w:w="1044" w:type="dxa"/>
            <w:tcBorders>
              <w:tl2br w:val="nil"/>
              <w:tr2bl w:val="nil"/>
            </w:tcBorders>
            <w:vAlign w:val="center"/>
          </w:tcPr>
          <w:p>
            <w:pPr>
              <w:widowControl/>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109.6</w:t>
            </w:r>
          </w:p>
        </w:tc>
        <w:tc>
          <w:tcPr>
            <w:tcW w:w="1243"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eastAsia="zh-CN"/>
              </w:rPr>
              <w:t>＞</w:t>
            </w:r>
            <w:r>
              <w:rPr>
                <w:rFonts w:hint="default" w:ascii="Times New Roman" w:hAnsi="Times New Roman" w:eastAsia="仿宋_GB2312" w:cs="Times New Roman"/>
                <w:color w:val="auto"/>
                <w:kern w:val="0"/>
                <w:sz w:val="24"/>
                <w:lang w:val="en-US" w:eastAsia="zh-CN"/>
              </w:rPr>
              <w:t>95</w:t>
            </w:r>
          </w:p>
        </w:tc>
        <w:tc>
          <w:tcPr>
            <w:tcW w:w="952" w:type="dxa"/>
            <w:tcBorders>
              <w:tl2br w:val="nil"/>
              <w:tr2bl w:val="nil"/>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1188" w:type="dxa"/>
            <w:vMerge w:val="continue"/>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p>
        </w:tc>
        <w:tc>
          <w:tcPr>
            <w:tcW w:w="4248" w:type="dxa"/>
            <w:tcBorders>
              <w:tl2br w:val="nil"/>
              <w:tr2bl w:val="nil"/>
            </w:tcBorders>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高中阶段教育毛入学率（%）</w:t>
            </w:r>
          </w:p>
        </w:tc>
        <w:tc>
          <w:tcPr>
            <w:tcW w:w="1044" w:type="dxa"/>
            <w:tcBorders>
              <w:tl2br w:val="nil"/>
              <w:tr2bl w:val="nil"/>
            </w:tcBorders>
            <w:vAlign w:val="center"/>
          </w:tcPr>
          <w:p>
            <w:pPr>
              <w:widowControl/>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119.44</w:t>
            </w:r>
          </w:p>
        </w:tc>
        <w:tc>
          <w:tcPr>
            <w:tcW w:w="1243"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eastAsia="zh-CN"/>
              </w:rPr>
              <w:t>＞</w:t>
            </w:r>
            <w:r>
              <w:rPr>
                <w:rFonts w:hint="default" w:ascii="Times New Roman" w:hAnsi="Times New Roman" w:eastAsia="仿宋_GB2312" w:cs="Times New Roman"/>
                <w:color w:val="auto"/>
                <w:kern w:val="0"/>
                <w:sz w:val="24"/>
                <w:lang w:val="en-US" w:eastAsia="zh-CN"/>
              </w:rPr>
              <w:t>93</w:t>
            </w:r>
          </w:p>
        </w:tc>
        <w:tc>
          <w:tcPr>
            <w:tcW w:w="952" w:type="dxa"/>
            <w:tcBorders>
              <w:tl2br w:val="nil"/>
              <w:tr2bl w:val="nil"/>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1188" w:type="dxa"/>
            <w:vMerge w:val="continue"/>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p>
        </w:tc>
        <w:tc>
          <w:tcPr>
            <w:tcW w:w="4248" w:type="dxa"/>
            <w:tcBorders>
              <w:tl2br w:val="nil"/>
              <w:tr2bl w:val="nil"/>
            </w:tcBorders>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劳动年龄人口平均受教育年限（年）</w:t>
            </w:r>
          </w:p>
        </w:tc>
        <w:tc>
          <w:tcPr>
            <w:tcW w:w="1044"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10.03</w:t>
            </w:r>
          </w:p>
        </w:tc>
        <w:tc>
          <w:tcPr>
            <w:tcW w:w="1243"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10.</w:t>
            </w:r>
            <w:r>
              <w:rPr>
                <w:rFonts w:hint="eastAsia" w:ascii="Times New Roman" w:hAnsi="Times New Roman" w:eastAsia="仿宋_GB2312" w:cs="Times New Roman"/>
                <w:color w:val="auto"/>
                <w:kern w:val="0"/>
                <w:sz w:val="24"/>
                <w:lang w:val="en-US" w:eastAsia="zh-CN"/>
              </w:rPr>
              <w:t>4</w:t>
            </w:r>
          </w:p>
        </w:tc>
        <w:tc>
          <w:tcPr>
            <w:tcW w:w="952" w:type="dxa"/>
            <w:tcBorders>
              <w:tl2br w:val="nil"/>
              <w:tr2bl w:val="nil"/>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2" w:hRule="atLeast"/>
          <w:jc w:val="center"/>
        </w:trPr>
        <w:tc>
          <w:tcPr>
            <w:tcW w:w="1188" w:type="dxa"/>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r>
              <w:rPr>
                <w:rFonts w:hint="default" w:ascii="Times New Roman" w:hAnsi="Times New Roman" w:eastAsia="楷体_GB2312" w:cs="Times New Roman"/>
                <w:b/>
                <w:bCs/>
                <w:color w:val="auto"/>
                <w:kern w:val="0"/>
                <w:sz w:val="24"/>
              </w:rPr>
              <w:t>劳有所得</w:t>
            </w:r>
          </w:p>
        </w:tc>
        <w:tc>
          <w:tcPr>
            <w:tcW w:w="4248" w:type="dxa"/>
            <w:tcBorders>
              <w:tl2br w:val="nil"/>
              <w:tr2bl w:val="nil"/>
            </w:tcBorders>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参加各类补贴性职业技能培训人数（万人）</w:t>
            </w:r>
          </w:p>
        </w:tc>
        <w:tc>
          <w:tcPr>
            <w:tcW w:w="1044" w:type="dxa"/>
            <w:tcBorders>
              <w:tl2br w:val="nil"/>
              <w:tr2bl w:val="nil"/>
            </w:tcBorders>
            <w:vAlign w:val="center"/>
          </w:tcPr>
          <w:p>
            <w:pPr>
              <w:widowControl/>
              <w:jc w:val="center"/>
              <w:rPr>
                <w:rFonts w:hint="default" w:ascii="Times New Roman" w:hAnsi="Times New Roman" w:eastAsia="仿宋_GB2312" w:cs="Times New Roman"/>
                <w:color w:val="auto"/>
                <w:kern w:val="0"/>
                <w:sz w:val="24"/>
                <w:highlight w:val="none"/>
                <w:lang w:val="en-US" w:eastAsia="zh-CN"/>
              </w:rPr>
            </w:pPr>
            <w:r>
              <w:rPr>
                <w:rFonts w:hint="eastAsia" w:ascii="Times New Roman" w:hAnsi="Times New Roman" w:eastAsia="仿宋_GB2312" w:cs="Times New Roman"/>
                <w:color w:val="auto"/>
                <w:kern w:val="0"/>
                <w:sz w:val="24"/>
                <w:highlight w:val="none"/>
                <w:lang w:val="en-US" w:eastAsia="zh-CN"/>
              </w:rPr>
              <w:t>[18]</w:t>
            </w:r>
          </w:p>
        </w:tc>
        <w:tc>
          <w:tcPr>
            <w:tcW w:w="1243"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[20]</w:t>
            </w:r>
          </w:p>
        </w:tc>
        <w:tc>
          <w:tcPr>
            <w:tcW w:w="952" w:type="dxa"/>
            <w:tcBorders>
              <w:tl2br w:val="nil"/>
              <w:tr2bl w:val="nil"/>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1188" w:type="dxa"/>
            <w:vMerge w:val="restart"/>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r>
              <w:rPr>
                <w:rFonts w:hint="default" w:ascii="Times New Roman" w:hAnsi="Times New Roman" w:eastAsia="楷体_GB2312" w:cs="Times New Roman"/>
                <w:b/>
                <w:bCs/>
                <w:color w:val="auto"/>
                <w:kern w:val="0"/>
                <w:sz w:val="24"/>
              </w:rPr>
              <w:t>病有所医</w:t>
            </w:r>
          </w:p>
        </w:tc>
        <w:tc>
          <w:tcPr>
            <w:tcW w:w="4248" w:type="dxa"/>
            <w:tcBorders>
              <w:tl2br w:val="nil"/>
              <w:tr2bl w:val="nil"/>
            </w:tcBorders>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人均预期寿命（岁）</w:t>
            </w:r>
          </w:p>
        </w:tc>
        <w:tc>
          <w:tcPr>
            <w:tcW w:w="1044"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rPr>
            </w:pPr>
            <w:r>
              <w:rPr>
                <w:rFonts w:hint="eastAsia" w:ascii="Times New Roman" w:hAnsi="Times New Roman" w:eastAsia="仿宋_GB2312" w:cs="Times New Roman"/>
                <w:color w:val="auto"/>
                <w:kern w:val="0"/>
                <w:sz w:val="24"/>
                <w:lang w:val="en-US" w:eastAsia="zh-CN"/>
              </w:rPr>
              <w:t>77.96</w:t>
            </w:r>
          </w:p>
        </w:tc>
        <w:tc>
          <w:tcPr>
            <w:tcW w:w="1243"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78.8</w:t>
            </w:r>
          </w:p>
        </w:tc>
        <w:tc>
          <w:tcPr>
            <w:tcW w:w="952" w:type="dxa"/>
            <w:tcBorders>
              <w:tl2br w:val="nil"/>
              <w:tr2bl w:val="nil"/>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2" w:hRule="atLeast"/>
          <w:jc w:val="center"/>
        </w:trPr>
        <w:tc>
          <w:tcPr>
            <w:tcW w:w="1188" w:type="dxa"/>
            <w:vMerge w:val="continue"/>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p>
        </w:tc>
        <w:tc>
          <w:tcPr>
            <w:tcW w:w="4248" w:type="dxa"/>
            <w:tcBorders>
              <w:tl2br w:val="nil"/>
              <w:tr2bl w:val="nil"/>
            </w:tcBorders>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每千人口执业（助理）医师数（人）</w:t>
            </w:r>
          </w:p>
        </w:tc>
        <w:tc>
          <w:tcPr>
            <w:tcW w:w="1044" w:type="dxa"/>
            <w:tcBorders>
              <w:tl2br w:val="nil"/>
              <w:tr2bl w:val="nil"/>
            </w:tcBorders>
            <w:vAlign w:val="center"/>
          </w:tcPr>
          <w:p>
            <w:pPr>
              <w:widowControl/>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2.</w:t>
            </w:r>
            <w:r>
              <w:rPr>
                <w:rFonts w:hint="eastAsia" w:ascii="Times New Roman" w:hAnsi="Times New Roman" w:eastAsia="仿宋_GB2312" w:cs="Times New Roman"/>
                <w:color w:val="auto"/>
                <w:kern w:val="0"/>
                <w:sz w:val="24"/>
                <w:highlight w:val="none"/>
                <w:lang w:val="en-US" w:eastAsia="zh-CN"/>
              </w:rPr>
              <w:t>81</w:t>
            </w:r>
          </w:p>
        </w:tc>
        <w:tc>
          <w:tcPr>
            <w:tcW w:w="1243"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3.4</w:t>
            </w:r>
          </w:p>
        </w:tc>
        <w:tc>
          <w:tcPr>
            <w:tcW w:w="952" w:type="dxa"/>
            <w:tcBorders>
              <w:tl2br w:val="nil"/>
              <w:tr2bl w:val="nil"/>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2" w:hRule="atLeast"/>
          <w:jc w:val="center"/>
        </w:trPr>
        <w:tc>
          <w:tcPr>
            <w:tcW w:w="1188" w:type="dxa"/>
            <w:vMerge w:val="continue"/>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p>
        </w:tc>
        <w:tc>
          <w:tcPr>
            <w:tcW w:w="4248" w:type="dxa"/>
            <w:tcBorders>
              <w:tl2br w:val="nil"/>
              <w:tr2bl w:val="nil"/>
            </w:tcBorders>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每千人口拥有注册护士数（人）</w:t>
            </w:r>
          </w:p>
        </w:tc>
        <w:tc>
          <w:tcPr>
            <w:tcW w:w="1044" w:type="dxa"/>
            <w:tcBorders>
              <w:tl2br w:val="nil"/>
              <w:tr2bl w:val="nil"/>
            </w:tcBorders>
            <w:vAlign w:val="center"/>
          </w:tcPr>
          <w:p>
            <w:pPr>
              <w:widowControl/>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2.</w:t>
            </w:r>
            <w:r>
              <w:rPr>
                <w:rFonts w:hint="default" w:ascii="Times New Roman" w:hAnsi="Times New Roman" w:eastAsia="仿宋_GB2312" w:cs="Times New Roman"/>
                <w:color w:val="auto"/>
                <w:kern w:val="0"/>
                <w:sz w:val="24"/>
                <w:highlight w:val="none"/>
                <w:lang w:val="en-US" w:eastAsia="zh-CN"/>
              </w:rPr>
              <w:t>21</w:t>
            </w:r>
          </w:p>
        </w:tc>
        <w:tc>
          <w:tcPr>
            <w:tcW w:w="1243"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3.2</w:t>
            </w:r>
          </w:p>
        </w:tc>
        <w:tc>
          <w:tcPr>
            <w:tcW w:w="952" w:type="dxa"/>
            <w:tcBorders>
              <w:tl2br w:val="nil"/>
              <w:tr2bl w:val="nil"/>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1188" w:type="dxa"/>
            <w:vMerge w:val="continue"/>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p>
        </w:tc>
        <w:tc>
          <w:tcPr>
            <w:tcW w:w="4248" w:type="dxa"/>
            <w:tcBorders>
              <w:tl2br w:val="nil"/>
              <w:tr2bl w:val="nil"/>
            </w:tcBorders>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基本医疗保险参保率（%）</w:t>
            </w:r>
          </w:p>
        </w:tc>
        <w:tc>
          <w:tcPr>
            <w:tcW w:w="1044" w:type="dxa"/>
            <w:tcBorders>
              <w:tl2br w:val="nil"/>
              <w:tr2bl w:val="nil"/>
            </w:tcBorders>
            <w:vAlign w:val="center"/>
          </w:tcPr>
          <w:p>
            <w:pPr>
              <w:widowControl/>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＞99</w:t>
            </w:r>
          </w:p>
        </w:tc>
        <w:tc>
          <w:tcPr>
            <w:tcW w:w="1243"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highlight w:val="none"/>
              </w:rPr>
              <w:t>＞</w:t>
            </w:r>
            <w:r>
              <w:rPr>
                <w:rFonts w:hint="eastAsia" w:ascii="Times New Roman" w:hAnsi="Times New Roman" w:eastAsia="仿宋_GB2312" w:cs="Times New Roman"/>
                <w:color w:val="auto"/>
                <w:kern w:val="0"/>
                <w:sz w:val="24"/>
                <w:highlight w:val="none"/>
                <w:lang w:val="en-US" w:eastAsia="zh-CN"/>
              </w:rPr>
              <w:t>95</w:t>
            </w:r>
          </w:p>
        </w:tc>
        <w:tc>
          <w:tcPr>
            <w:tcW w:w="952" w:type="dxa"/>
            <w:tcBorders>
              <w:tl2br w:val="nil"/>
              <w:tr2bl w:val="nil"/>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1188" w:type="dxa"/>
            <w:vMerge w:val="restart"/>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r>
              <w:rPr>
                <w:rFonts w:hint="default" w:ascii="Times New Roman" w:hAnsi="Times New Roman" w:eastAsia="楷体_GB2312" w:cs="Times New Roman"/>
                <w:b/>
                <w:bCs/>
                <w:color w:val="auto"/>
                <w:kern w:val="0"/>
                <w:sz w:val="24"/>
              </w:rPr>
              <w:t>老有所养</w:t>
            </w:r>
          </w:p>
        </w:tc>
        <w:tc>
          <w:tcPr>
            <w:tcW w:w="4248" w:type="dxa"/>
            <w:tcBorders>
              <w:tl2br w:val="nil"/>
              <w:tr2bl w:val="nil"/>
            </w:tcBorders>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养老机构护理型床位占比（%）</w:t>
            </w:r>
          </w:p>
        </w:tc>
        <w:tc>
          <w:tcPr>
            <w:tcW w:w="1044" w:type="dxa"/>
            <w:tcBorders>
              <w:tl2br w:val="nil"/>
              <w:tr2bl w:val="nil"/>
            </w:tcBorders>
            <w:vAlign w:val="center"/>
          </w:tcPr>
          <w:p>
            <w:pPr>
              <w:widowControl/>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36.3</w:t>
            </w:r>
          </w:p>
        </w:tc>
        <w:tc>
          <w:tcPr>
            <w:tcW w:w="1243"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eastAsia="zh-CN"/>
              </w:rPr>
              <w:t>≥</w:t>
            </w:r>
            <w:r>
              <w:rPr>
                <w:rFonts w:hint="default" w:ascii="Times New Roman" w:hAnsi="Times New Roman" w:eastAsia="仿宋_GB2312" w:cs="Times New Roman"/>
                <w:color w:val="auto"/>
                <w:kern w:val="0"/>
                <w:sz w:val="24"/>
                <w:lang w:val="en-US" w:eastAsia="zh-CN"/>
              </w:rPr>
              <w:t>55</w:t>
            </w:r>
          </w:p>
        </w:tc>
        <w:tc>
          <w:tcPr>
            <w:tcW w:w="952" w:type="dxa"/>
            <w:tcBorders>
              <w:tl2br w:val="nil"/>
              <w:tr2bl w:val="nil"/>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1188" w:type="dxa"/>
            <w:vMerge w:val="continue"/>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p>
        </w:tc>
        <w:tc>
          <w:tcPr>
            <w:tcW w:w="4248" w:type="dxa"/>
            <w:tcBorders>
              <w:tl2br w:val="nil"/>
              <w:tr2bl w:val="nil"/>
            </w:tcBorders>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新建城区、居住(小)区配套建设养老服务设施达标率（%）</w:t>
            </w:r>
          </w:p>
        </w:tc>
        <w:tc>
          <w:tcPr>
            <w:tcW w:w="1044" w:type="dxa"/>
            <w:tcBorders>
              <w:tl2br w:val="nil"/>
              <w:tr2bl w:val="nil"/>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highlight w:val="yellow"/>
              </w:rPr>
              <w:t>——</w:t>
            </w:r>
          </w:p>
        </w:tc>
        <w:tc>
          <w:tcPr>
            <w:tcW w:w="1243"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100</w:t>
            </w:r>
          </w:p>
        </w:tc>
        <w:tc>
          <w:tcPr>
            <w:tcW w:w="952" w:type="dxa"/>
            <w:tcBorders>
              <w:tl2br w:val="nil"/>
              <w:tr2bl w:val="nil"/>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1188" w:type="dxa"/>
            <w:vMerge w:val="continue"/>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p>
        </w:tc>
        <w:tc>
          <w:tcPr>
            <w:tcW w:w="4248" w:type="dxa"/>
            <w:tcBorders>
              <w:tl2br w:val="nil"/>
              <w:tr2bl w:val="nil"/>
            </w:tcBorders>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基本养老保险参保率（%）</w:t>
            </w:r>
          </w:p>
        </w:tc>
        <w:tc>
          <w:tcPr>
            <w:tcW w:w="1044" w:type="dxa"/>
            <w:tcBorders>
              <w:tl2br w:val="nil"/>
              <w:tr2bl w:val="nil"/>
            </w:tcBorders>
            <w:vAlign w:val="center"/>
          </w:tcPr>
          <w:p>
            <w:pPr>
              <w:widowControl/>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9</w:t>
            </w:r>
            <w:r>
              <w:rPr>
                <w:rFonts w:hint="eastAsia" w:ascii="Times New Roman" w:hAnsi="Times New Roman" w:eastAsia="仿宋_GB2312" w:cs="Times New Roman"/>
                <w:color w:val="auto"/>
                <w:kern w:val="0"/>
                <w:sz w:val="24"/>
                <w:highlight w:val="none"/>
                <w:lang w:val="en-US" w:eastAsia="zh-CN"/>
              </w:rPr>
              <w:t>6.64</w:t>
            </w:r>
          </w:p>
        </w:tc>
        <w:tc>
          <w:tcPr>
            <w:tcW w:w="1243"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eastAsia="zh-CN"/>
              </w:rPr>
              <w:t>＞</w:t>
            </w:r>
            <w:r>
              <w:rPr>
                <w:rFonts w:hint="default" w:ascii="Times New Roman" w:hAnsi="Times New Roman" w:eastAsia="仿宋_GB2312" w:cs="Times New Roman"/>
                <w:color w:val="auto"/>
                <w:kern w:val="0"/>
                <w:sz w:val="24"/>
                <w:lang w:val="en-US" w:eastAsia="zh-CN"/>
              </w:rPr>
              <w:t>95</w:t>
            </w:r>
          </w:p>
        </w:tc>
        <w:tc>
          <w:tcPr>
            <w:tcW w:w="952" w:type="dxa"/>
            <w:tcBorders>
              <w:tl2br w:val="nil"/>
              <w:tr2bl w:val="nil"/>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2" w:hRule="atLeast"/>
          <w:jc w:val="center"/>
        </w:trPr>
        <w:tc>
          <w:tcPr>
            <w:tcW w:w="1188" w:type="dxa"/>
            <w:vMerge w:val="continue"/>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p>
        </w:tc>
        <w:tc>
          <w:tcPr>
            <w:tcW w:w="4248" w:type="dxa"/>
            <w:tcBorders>
              <w:tl2br w:val="nil"/>
              <w:tr2bl w:val="nil"/>
            </w:tcBorders>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养老服务床位总量（万张）</w:t>
            </w:r>
          </w:p>
        </w:tc>
        <w:tc>
          <w:tcPr>
            <w:tcW w:w="1044" w:type="dxa"/>
            <w:tcBorders>
              <w:tl2br w:val="nil"/>
              <w:tr2bl w:val="nil"/>
            </w:tcBorders>
            <w:vAlign w:val="center"/>
          </w:tcPr>
          <w:p>
            <w:pPr>
              <w:widowControl/>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4.0</w:t>
            </w:r>
            <w:r>
              <w:rPr>
                <w:rFonts w:hint="eastAsia" w:ascii="Times New Roman" w:hAnsi="Times New Roman" w:eastAsia="仿宋_GB2312" w:cs="Times New Roman"/>
                <w:color w:val="auto"/>
                <w:kern w:val="0"/>
                <w:sz w:val="24"/>
                <w:highlight w:val="none"/>
                <w:lang w:val="en-US" w:eastAsia="zh-CN"/>
              </w:rPr>
              <w:t>9</w:t>
            </w:r>
          </w:p>
        </w:tc>
        <w:tc>
          <w:tcPr>
            <w:tcW w:w="1243"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4.5</w:t>
            </w:r>
          </w:p>
        </w:tc>
        <w:tc>
          <w:tcPr>
            <w:tcW w:w="952" w:type="dxa"/>
            <w:tcBorders>
              <w:tl2br w:val="nil"/>
              <w:tr2bl w:val="nil"/>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4" w:hRule="atLeast"/>
          <w:jc w:val="center"/>
        </w:trPr>
        <w:tc>
          <w:tcPr>
            <w:tcW w:w="1188" w:type="dxa"/>
            <w:vMerge w:val="restart"/>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r>
              <w:rPr>
                <w:rFonts w:hint="default" w:ascii="Times New Roman" w:hAnsi="Times New Roman" w:eastAsia="楷体_GB2312" w:cs="Times New Roman"/>
                <w:b/>
                <w:bCs/>
                <w:color w:val="auto"/>
                <w:kern w:val="0"/>
                <w:sz w:val="24"/>
              </w:rPr>
              <w:t>住有所居</w:t>
            </w:r>
          </w:p>
        </w:tc>
        <w:tc>
          <w:tcPr>
            <w:tcW w:w="4248" w:type="dxa"/>
            <w:tcBorders>
              <w:tl2br w:val="nil"/>
              <w:tr2bl w:val="nil"/>
            </w:tcBorders>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城镇户籍低保、低收入家庭申请公租房的保障率（%）</w:t>
            </w:r>
          </w:p>
        </w:tc>
        <w:tc>
          <w:tcPr>
            <w:tcW w:w="1044"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100</w:t>
            </w:r>
          </w:p>
        </w:tc>
        <w:tc>
          <w:tcPr>
            <w:tcW w:w="1243"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lang w:eastAsia="zh-CN"/>
              </w:rPr>
              <w:t>应保尽保</w:t>
            </w:r>
          </w:p>
        </w:tc>
        <w:tc>
          <w:tcPr>
            <w:tcW w:w="952" w:type="dxa"/>
            <w:tcBorders>
              <w:tl2br w:val="nil"/>
              <w:tr2bl w:val="nil"/>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1188" w:type="dxa"/>
            <w:vMerge w:val="continue"/>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p>
        </w:tc>
        <w:tc>
          <w:tcPr>
            <w:tcW w:w="4248" w:type="dxa"/>
            <w:tcBorders>
              <w:tl2br w:val="nil"/>
              <w:tr2bl w:val="nil"/>
            </w:tcBorders>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符合条件的农村低收入群体住房安全保障率（%）</w:t>
            </w:r>
          </w:p>
        </w:tc>
        <w:tc>
          <w:tcPr>
            <w:tcW w:w="1044" w:type="dxa"/>
            <w:tcBorders>
              <w:tl2br w:val="nil"/>
              <w:tr2bl w:val="nil"/>
            </w:tcBorders>
            <w:vAlign w:val="center"/>
          </w:tcPr>
          <w:p>
            <w:pPr>
              <w:widowControl/>
              <w:jc w:val="center"/>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w:t>
            </w:r>
          </w:p>
        </w:tc>
        <w:tc>
          <w:tcPr>
            <w:tcW w:w="1243"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lang w:eastAsia="zh-CN"/>
              </w:rPr>
              <w:t>应保尽保</w:t>
            </w:r>
          </w:p>
        </w:tc>
        <w:tc>
          <w:tcPr>
            <w:tcW w:w="952" w:type="dxa"/>
            <w:tcBorders>
              <w:tl2br w:val="nil"/>
              <w:tr2bl w:val="nil"/>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1188" w:type="dxa"/>
            <w:vMerge w:val="continue"/>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p>
        </w:tc>
        <w:tc>
          <w:tcPr>
            <w:tcW w:w="4248" w:type="dxa"/>
            <w:tcBorders>
              <w:tl2br w:val="nil"/>
              <w:tr2bl w:val="nil"/>
            </w:tcBorders>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城镇老旧小区改造（个）</w:t>
            </w:r>
          </w:p>
        </w:tc>
        <w:tc>
          <w:tcPr>
            <w:tcW w:w="1044" w:type="dxa"/>
            <w:tcBorders>
              <w:tl2br w:val="nil"/>
              <w:tr2bl w:val="nil"/>
            </w:tcBorders>
            <w:vAlign w:val="center"/>
          </w:tcPr>
          <w:p>
            <w:pPr>
              <w:widowControl/>
              <w:jc w:val="center"/>
              <w:rPr>
                <w:rFonts w:hint="default" w:ascii="Times New Roman" w:hAnsi="Times New Roman" w:eastAsia="仿宋_GB2312" w:cs="Times New Roman"/>
                <w:color w:val="auto"/>
                <w:kern w:val="0"/>
                <w:sz w:val="24"/>
                <w:highlight w:val="none"/>
                <w:lang w:val="en-US" w:eastAsia="zh-CN"/>
              </w:rPr>
            </w:pPr>
            <w:r>
              <w:rPr>
                <w:rFonts w:hint="eastAsia" w:ascii="Times New Roman" w:hAnsi="Times New Roman" w:eastAsia="仿宋_GB2312" w:cs="Times New Roman"/>
                <w:color w:val="auto"/>
                <w:kern w:val="0"/>
                <w:sz w:val="24"/>
                <w:highlight w:val="none"/>
                <w:lang w:val="en-US" w:eastAsia="zh-CN"/>
              </w:rPr>
              <w:t>[103]</w:t>
            </w:r>
          </w:p>
        </w:tc>
        <w:tc>
          <w:tcPr>
            <w:tcW w:w="1243"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[205]</w:t>
            </w:r>
          </w:p>
        </w:tc>
        <w:tc>
          <w:tcPr>
            <w:tcW w:w="952" w:type="dxa"/>
            <w:tcBorders>
              <w:tl2br w:val="nil"/>
              <w:tr2bl w:val="nil"/>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2" w:hRule="atLeast"/>
          <w:jc w:val="center"/>
        </w:trPr>
        <w:tc>
          <w:tcPr>
            <w:tcW w:w="1188" w:type="dxa"/>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r>
              <w:rPr>
                <w:rFonts w:hint="default" w:ascii="Times New Roman" w:hAnsi="Times New Roman" w:eastAsia="楷体_GB2312" w:cs="Times New Roman"/>
                <w:b/>
                <w:bCs/>
                <w:color w:val="auto"/>
                <w:kern w:val="0"/>
                <w:sz w:val="24"/>
              </w:rPr>
              <w:t>弱有所扶</w:t>
            </w:r>
          </w:p>
        </w:tc>
        <w:tc>
          <w:tcPr>
            <w:tcW w:w="4248" w:type="dxa"/>
            <w:tcBorders>
              <w:tl2br w:val="nil"/>
              <w:tr2bl w:val="nil"/>
            </w:tcBorders>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困难残疾人生活补贴和重度残疾人护理补贴目标人群覆盖率（%）</w:t>
            </w:r>
          </w:p>
        </w:tc>
        <w:tc>
          <w:tcPr>
            <w:tcW w:w="1044"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100</w:t>
            </w:r>
          </w:p>
        </w:tc>
        <w:tc>
          <w:tcPr>
            <w:tcW w:w="1243"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100</w:t>
            </w:r>
          </w:p>
        </w:tc>
        <w:tc>
          <w:tcPr>
            <w:tcW w:w="952" w:type="dxa"/>
            <w:tcBorders>
              <w:tl2br w:val="nil"/>
              <w:tr2bl w:val="nil"/>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jc w:val="center"/>
        </w:trPr>
        <w:tc>
          <w:tcPr>
            <w:tcW w:w="1188" w:type="dxa"/>
            <w:vMerge w:val="restart"/>
            <w:tcBorders>
              <w:tl2br w:val="nil"/>
              <w:tr2bl w:val="nil"/>
            </w:tcBorders>
            <w:vAlign w:val="center"/>
          </w:tcPr>
          <w:p>
            <w:pPr>
              <w:widowControl/>
              <w:jc w:val="center"/>
              <w:rPr>
                <w:rFonts w:hint="default" w:ascii="Times New Roman" w:hAnsi="Times New Roman" w:eastAsia="楷体_GB2312" w:cs="Times New Roman"/>
                <w:b/>
                <w:bCs/>
                <w:color w:val="auto"/>
                <w:kern w:val="0"/>
                <w:sz w:val="24"/>
              </w:rPr>
            </w:pPr>
            <w:r>
              <w:rPr>
                <w:rFonts w:hint="default" w:ascii="Times New Roman" w:hAnsi="Times New Roman" w:eastAsia="楷体_GB2312" w:cs="Times New Roman"/>
                <w:b/>
                <w:bCs/>
                <w:color w:val="auto"/>
                <w:kern w:val="0"/>
                <w:sz w:val="24"/>
              </w:rPr>
              <w:t>文体服务保障</w:t>
            </w:r>
          </w:p>
        </w:tc>
        <w:tc>
          <w:tcPr>
            <w:tcW w:w="4248" w:type="dxa"/>
            <w:tcBorders>
              <w:tl2br w:val="nil"/>
              <w:tr2bl w:val="nil"/>
            </w:tcBorders>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每万人接受公共文化设施服务次数（次）</w:t>
            </w:r>
          </w:p>
        </w:tc>
        <w:tc>
          <w:tcPr>
            <w:tcW w:w="1044"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9600</w:t>
            </w:r>
          </w:p>
        </w:tc>
        <w:tc>
          <w:tcPr>
            <w:tcW w:w="1243"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15000</w:t>
            </w:r>
          </w:p>
        </w:tc>
        <w:tc>
          <w:tcPr>
            <w:tcW w:w="952" w:type="dxa"/>
            <w:tcBorders>
              <w:tl2br w:val="nil"/>
              <w:tr2bl w:val="nil"/>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1188" w:type="dxa"/>
            <w:vMerge w:val="continue"/>
            <w:tcBorders>
              <w:tl2br w:val="nil"/>
              <w:tr2bl w:val="nil"/>
            </w:tcBorders>
            <w:vAlign w:val="center"/>
          </w:tcPr>
          <w:p>
            <w:pPr>
              <w:widowControl/>
              <w:jc w:val="center"/>
              <w:rPr>
                <w:rFonts w:hint="default" w:ascii="Times New Roman" w:hAnsi="Times New Roman" w:eastAsia="楷体_GB2312" w:cs="Times New Roman"/>
                <w:color w:val="auto"/>
                <w:kern w:val="0"/>
                <w:sz w:val="24"/>
              </w:rPr>
            </w:pPr>
          </w:p>
        </w:tc>
        <w:tc>
          <w:tcPr>
            <w:tcW w:w="4248" w:type="dxa"/>
            <w:tcBorders>
              <w:tl2br w:val="nil"/>
              <w:tr2bl w:val="nil"/>
            </w:tcBorders>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人均体育场地面积（平方米）</w:t>
            </w:r>
          </w:p>
        </w:tc>
        <w:tc>
          <w:tcPr>
            <w:tcW w:w="1044" w:type="dxa"/>
            <w:tcBorders>
              <w:tl2br w:val="nil"/>
              <w:tr2bl w:val="nil"/>
            </w:tcBorders>
            <w:vAlign w:val="center"/>
          </w:tcPr>
          <w:p>
            <w:pPr>
              <w:widowControl/>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2.</w:t>
            </w:r>
            <w:r>
              <w:rPr>
                <w:rFonts w:hint="default" w:ascii="Times New Roman" w:hAnsi="Times New Roman" w:eastAsia="仿宋_GB2312" w:cs="Times New Roman"/>
                <w:color w:val="auto"/>
                <w:kern w:val="0"/>
                <w:sz w:val="24"/>
                <w:highlight w:val="none"/>
                <w:lang w:val="en-US" w:eastAsia="zh-CN"/>
              </w:rPr>
              <w:t>09</w:t>
            </w:r>
          </w:p>
        </w:tc>
        <w:tc>
          <w:tcPr>
            <w:tcW w:w="1243"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2.6</w:t>
            </w:r>
          </w:p>
        </w:tc>
        <w:tc>
          <w:tcPr>
            <w:tcW w:w="952" w:type="dxa"/>
            <w:tcBorders>
              <w:tl2br w:val="nil"/>
              <w:tr2bl w:val="nil"/>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1188" w:type="dxa"/>
            <w:vMerge w:val="continue"/>
            <w:tcBorders>
              <w:tl2br w:val="nil"/>
              <w:tr2bl w:val="nil"/>
            </w:tcBorders>
            <w:vAlign w:val="center"/>
          </w:tcPr>
          <w:p>
            <w:pPr>
              <w:widowControl/>
              <w:jc w:val="center"/>
              <w:rPr>
                <w:rFonts w:hint="default" w:ascii="Times New Roman" w:hAnsi="Times New Roman" w:eastAsia="楷体_GB2312" w:cs="Times New Roman"/>
                <w:color w:val="auto"/>
                <w:kern w:val="0"/>
                <w:sz w:val="24"/>
              </w:rPr>
            </w:pPr>
          </w:p>
        </w:tc>
        <w:tc>
          <w:tcPr>
            <w:tcW w:w="4248" w:type="dxa"/>
            <w:tcBorders>
              <w:tl2br w:val="nil"/>
              <w:tr2bl w:val="nil"/>
            </w:tcBorders>
            <w:vAlign w:val="center"/>
          </w:tcPr>
          <w:p>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每百户居民拥有社区综合服务设施面积（平方米）</w:t>
            </w:r>
          </w:p>
        </w:tc>
        <w:tc>
          <w:tcPr>
            <w:tcW w:w="1044" w:type="dxa"/>
            <w:tcBorders>
              <w:tl2br w:val="nil"/>
              <w:tr2bl w:val="nil"/>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highlight w:val="yellow"/>
              </w:rPr>
              <w:t>——</w:t>
            </w:r>
          </w:p>
        </w:tc>
        <w:tc>
          <w:tcPr>
            <w:tcW w:w="1243" w:type="dxa"/>
            <w:tcBorders>
              <w:tl2br w:val="nil"/>
              <w:tr2bl w:val="nil"/>
            </w:tcBorders>
            <w:vAlign w:val="center"/>
          </w:tcPr>
          <w:p>
            <w:pPr>
              <w:widowControl/>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3</w:t>
            </w:r>
            <w:r>
              <w:rPr>
                <w:rFonts w:hint="eastAsia" w:ascii="Times New Roman" w:hAnsi="Times New Roman" w:eastAsia="仿宋_GB2312" w:cs="Times New Roman"/>
                <w:color w:val="auto"/>
                <w:kern w:val="0"/>
                <w:sz w:val="24"/>
                <w:lang w:val="en-US" w:eastAsia="zh-CN"/>
              </w:rPr>
              <w:t>5</w:t>
            </w:r>
          </w:p>
        </w:tc>
        <w:tc>
          <w:tcPr>
            <w:tcW w:w="952" w:type="dxa"/>
            <w:tcBorders>
              <w:tl2br w:val="nil"/>
              <w:tr2bl w:val="nil"/>
            </w:tcBorders>
            <w:vAlign w:val="center"/>
          </w:tcPr>
          <w:p>
            <w:pPr>
              <w:widowControl/>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预期性</w:t>
            </w:r>
          </w:p>
        </w:tc>
      </w:tr>
    </w:tbl>
    <w:p>
      <w:pPr>
        <w:spacing w:line="500" w:lineRule="exact"/>
        <w:ind w:firstLine="480" w:firstLineChars="200"/>
        <w:jc w:val="left"/>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1.</w:t>
      </w:r>
      <w:r>
        <w:rPr>
          <w:rFonts w:hint="default" w:ascii="Times New Roman" w:hAnsi="Times New Roman" w:eastAsia="仿宋_GB2312" w:cs="Times New Roman"/>
          <w:color w:val="auto"/>
          <w:sz w:val="24"/>
        </w:rPr>
        <w:t>[  ]内数据为五年累计数。</w:t>
      </w:r>
    </w:p>
    <w:p>
      <w:pPr>
        <w:spacing w:line="500" w:lineRule="exact"/>
        <w:ind w:firstLine="480" w:firstLineChars="200"/>
        <w:jc w:val="left"/>
        <w:rPr>
          <w:rFonts w:hint="default" w:ascii="Times New Roman" w:hAnsi="Times New Roman" w:eastAsia="仿宋_GB2312" w:cs="Times New Roman"/>
          <w:color w:val="auto"/>
          <w:sz w:val="24"/>
        </w:rPr>
      </w:pPr>
      <w:r>
        <w:rPr>
          <w:rFonts w:hint="eastAsia" w:ascii="Times New Roman" w:hAnsi="Times New Roman" w:eastAsia="仿宋_GB2312" w:cs="Times New Roman"/>
          <w:color w:val="auto"/>
          <w:sz w:val="24"/>
          <w:lang w:val="en-US" w:eastAsia="zh-CN"/>
        </w:rPr>
        <w:t>2.</w:t>
      </w:r>
      <w:r>
        <w:rPr>
          <w:rFonts w:hint="default" w:ascii="Times New Roman" w:hAnsi="Times New Roman" w:eastAsia="仿宋_GB2312" w:cs="Times New Roman"/>
          <w:color w:val="auto"/>
          <w:sz w:val="24"/>
        </w:rPr>
        <w:t>新建城区、居住（小）区配套建设养老服务设施达标率：按照《国务院关于加快发展养老服务业的若干意见》规定，各地在制定相关规划时，必须按照人均用地不少于0.1平方米的标准，分区分级规划设置养老服务设施；凡新建城区和居住（小）区，要按标准要求配套建设养老服务设施。</w:t>
      </w:r>
    </w:p>
    <w:p>
      <w:pPr>
        <w:spacing w:line="500" w:lineRule="exact"/>
        <w:ind w:firstLine="480" w:firstLineChars="200"/>
        <w:jc w:val="left"/>
        <w:rPr>
          <w:rFonts w:hint="default" w:ascii="Times New Roman" w:hAnsi="Times New Roman" w:eastAsia="仿宋_GB2312" w:cs="Times New Roman"/>
          <w:color w:val="auto"/>
          <w:sz w:val="24"/>
        </w:rPr>
      </w:pPr>
      <w:r>
        <w:rPr>
          <w:rFonts w:hint="eastAsia" w:ascii="Times New Roman" w:hAnsi="Times New Roman" w:eastAsia="仿宋_GB2312" w:cs="Times New Roman"/>
          <w:color w:val="auto"/>
          <w:sz w:val="24"/>
          <w:lang w:val="en-US" w:eastAsia="zh-CN"/>
        </w:rPr>
        <w:t>3</w:t>
      </w:r>
      <w:r>
        <w:rPr>
          <w:rFonts w:hint="default" w:ascii="Times New Roman" w:hAnsi="Times New Roman" w:eastAsia="仿宋_GB2312" w:cs="Times New Roman"/>
          <w:color w:val="auto"/>
          <w:sz w:val="24"/>
        </w:rPr>
        <w:t>.公共文化设施包括公共图书馆、文化馆（站）、美术馆、博物馆和艺术演出场所。</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firstLine="480" w:firstLineChars="200"/>
        <w:textAlignment w:val="auto"/>
        <w:rPr>
          <w:rFonts w:hint="default" w:ascii="Times New Roman" w:hAnsi="Times New Roman" w:eastAsia="仿宋_GB2312" w:cs="Times New Roman"/>
          <w:color w:val="auto"/>
          <w:sz w:val="24"/>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_GB2312" w:cs="Times New Roman"/>
          <w:color w:val="auto"/>
          <w:sz w:val="24"/>
          <w:lang w:val="en-US" w:eastAsia="zh-CN"/>
        </w:rPr>
        <w:t>4</w:t>
      </w:r>
      <w:r>
        <w:rPr>
          <w:rFonts w:hint="default" w:ascii="Times New Roman" w:hAnsi="Times New Roman" w:eastAsia="仿宋_GB2312" w:cs="Times New Roman"/>
          <w:color w:val="auto"/>
          <w:sz w:val="24"/>
        </w:rPr>
        <w:t>.人均体育场地面积：体育场地内可供开展训练、比赛和健身活动的有效面积与人口的比值。</w:t>
      </w:r>
    </w:p>
    <w:p>
      <w:pPr>
        <w:pStyle w:val="3"/>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exact"/>
        <w:textAlignment w:val="auto"/>
        <w:rPr>
          <w:rFonts w:hint="default" w:ascii="Times New Roman" w:hAnsi="Times New Roman" w:cs="Times New Roman"/>
          <w:color w:val="auto"/>
          <w:lang w:val="en-US" w:eastAsia="zh-CN"/>
        </w:rPr>
      </w:pPr>
      <w:bookmarkStart w:id="45" w:name="_Toc29783"/>
      <w:bookmarkStart w:id="46" w:name="_Toc31092"/>
      <w:bookmarkStart w:id="47" w:name="_Toc2166"/>
      <w:bookmarkStart w:id="48" w:name="_Toc11104"/>
      <w:r>
        <w:rPr>
          <w:rFonts w:hint="default" w:ascii="Times New Roman" w:hAnsi="Times New Roman" w:cs="Times New Roman"/>
          <w:color w:val="auto"/>
          <w:lang w:val="en-US" w:eastAsia="zh-CN"/>
        </w:rPr>
        <w:t>第三章  普惠安全的托育照护服务</w:t>
      </w:r>
      <w:bookmarkEnd w:id="44"/>
      <w:bookmarkEnd w:id="45"/>
      <w:bookmarkEnd w:id="46"/>
      <w:bookmarkEnd w:id="47"/>
      <w:bookmarkEnd w:id="48"/>
    </w:p>
    <w:p>
      <w:pPr>
        <w:keepNext w:val="0"/>
        <w:keepLines w:val="0"/>
        <w:pageBreakBefore w:val="0"/>
        <w:widowControl w:val="0"/>
        <w:kinsoku/>
        <w:wordWrap/>
        <w:overflowPunct/>
        <w:topLinePunct w:val="0"/>
        <w:autoSpaceDE/>
        <w:autoSpaceDN/>
        <w:bidi w:val="0"/>
        <w:snapToGrid/>
        <w:spacing w:line="600" w:lineRule="exact"/>
        <w:ind w:left="0" w:leftChars="0" w:firstLine="640"/>
        <w:jc w:val="both"/>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highlight w:val="none"/>
          <w:lang w:eastAsia="zh-CN"/>
        </w:rPr>
        <w:t>建立健全婴幼儿照护服务体系，推动婴幼儿健康服务水平、家庭育儿能力提升，</w:t>
      </w:r>
      <w:r>
        <w:rPr>
          <w:rFonts w:hint="default" w:ascii="Times New Roman" w:hAnsi="Times New Roman" w:eastAsia="仿宋_GB2312" w:cs="Times New Roman"/>
          <w:color w:val="auto"/>
          <w:sz w:val="32"/>
          <w:szCs w:val="32"/>
          <w:highlight w:val="none"/>
        </w:rPr>
        <w:t>创新发展多样化、多层次服务模式，促进婴幼儿照护服务健康有序发展。</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rPr>
          <w:rFonts w:hint="default" w:ascii="Times New Roman" w:hAnsi="Times New Roman" w:eastAsia="楷体_GB2312" w:cs="Times New Roman"/>
          <w:b/>
          <w:bCs/>
          <w:color w:val="auto"/>
          <w:sz w:val="32"/>
          <w:szCs w:val="32"/>
          <w:lang w:val="en-US" w:eastAsia="zh-CN"/>
        </w:rPr>
      </w:pPr>
      <w:bookmarkStart w:id="49" w:name="_Toc19775"/>
      <w:bookmarkStart w:id="50" w:name="_Toc15205"/>
      <w:bookmarkStart w:id="51" w:name="_Toc2604"/>
      <w:bookmarkStart w:id="52" w:name="_Toc87883517"/>
      <w:bookmarkStart w:id="53" w:name="_Toc25351"/>
      <w:bookmarkStart w:id="54" w:name="_Toc23264"/>
      <w:r>
        <w:rPr>
          <w:rFonts w:hint="default" w:ascii="Times New Roman" w:hAnsi="Times New Roman" w:eastAsia="楷体_GB2312" w:cs="Times New Roman"/>
          <w:b/>
          <w:bCs/>
          <w:color w:val="auto"/>
          <w:sz w:val="32"/>
          <w:szCs w:val="32"/>
          <w:lang w:val="en-US" w:eastAsia="zh-CN"/>
        </w:rPr>
        <w:t>第一节</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lang w:val="en-US" w:eastAsia="zh-CN"/>
        </w:rPr>
        <w:t>幼有所育</w:t>
      </w:r>
      <w:bookmarkEnd w:id="49"/>
      <w:bookmarkEnd w:id="50"/>
      <w:bookmarkEnd w:id="51"/>
      <w:bookmarkEnd w:id="52"/>
      <w:bookmarkEnd w:id="53"/>
      <w:bookmarkEnd w:id="54"/>
    </w:p>
    <w:p>
      <w:pPr>
        <w:pStyle w:val="16"/>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3" w:firstLineChars="200"/>
        <w:jc w:val="both"/>
        <w:textAlignment w:val="auto"/>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楷体_GB2312" w:cs="Times New Roman"/>
          <w:b/>
          <w:bCs/>
          <w:color w:val="auto"/>
          <w:sz w:val="32"/>
          <w:szCs w:val="32"/>
          <w:lang w:val="en-US" w:eastAsia="zh-CN"/>
        </w:rPr>
        <w:t>提高优生优育健康服务水平。</w:t>
      </w:r>
      <w:r>
        <w:rPr>
          <w:rFonts w:hint="default" w:ascii="Times New Roman" w:hAnsi="Times New Roman" w:eastAsia="仿宋_GB2312" w:cs="Times New Roman"/>
          <w:color w:val="auto"/>
          <w:kern w:val="2"/>
          <w:sz w:val="32"/>
          <w:szCs w:val="32"/>
          <w:lang w:val="en-US" w:eastAsia="zh-CN" w:bidi="ar-SA"/>
        </w:rPr>
        <w:t>免费开展婚前孕前优生健康检查、产前筛查、孕产健康指导、新生儿疾病筛查等服务，控制和减少出生缺陷。健全生育保险制度，孕产妇和新生儿按规定参加基本医疗保险、大病保险并享受相关待遇。积极推广婴幼儿“家庭医生”服务，强化新生儿满月、婴幼儿和学龄前儿童发育监测和筛查评估。规范、保障免疫规划疫苗供应，提高儿童免疫规划疫苗接种率。</w:t>
      </w:r>
      <w:r>
        <w:rPr>
          <w:rFonts w:hint="default" w:ascii="Times New Roman" w:hAnsi="Times New Roman" w:eastAsia="仿宋_GB2312" w:cs="Times New Roman"/>
          <w:color w:val="auto"/>
          <w:sz w:val="32"/>
          <w:szCs w:val="32"/>
          <w:lang w:val="en-US" w:eastAsia="zh-CN"/>
        </w:rPr>
        <w:t>推动儿童福利机构就近与公立医疗机构合作开辟“绿色通道”。</w:t>
      </w:r>
    </w:p>
    <w:p>
      <w:pPr>
        <w:spacing w:line="600" w:lineRule="exact"/>
        <w:ind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提升家庭育儿能力。</w:t>
      </w:r>
      <w:r>
        <w:rPr>
          <w:rFonts w:hint="default" w:ascii="Times New Roman" w:hAnsi="Times New Roman" w:eastAsia="仿宋_GB2312" w:cs="Times New Roman"/>
          <w:color w:val="auto"/>
          <w:sz w:val="32"/>
          <w:szCs w:val="40"/>
        </w:rPr>
        <w:t>切实做好基本公共卫生服务、妇幼保健服务工作，</w:t>
      </w:r>
      <w:r>
        <w:rPr>
          <w:rFonts w:hint="default" w:ascii="Times New Roman" w:hAnsi="Times New Roman" w:eastAsia="仿宋_GB2312" w:cs="Times New Roman"/>
          <w:color w:val="auto"/>
          <w:sz w:val="32"/>
          <w:szCs w:val="32"/>
          <w:lang w:val="en-US" w:eastAsia="zh-CN"/>
        </w:rPr>
        <w:t>鼓励有条件的医疗机构</w:t>
      </w:r>
      <w:r>
        <w:rPr>
          <w:rFonts w:hint="default" w:ascii="Times New Roman" w:hAnsi="Times New Roman" w:eastAsia="仿宋_GB2312" w:cs="Times New Roman"/>
          <w:color w:val="auto"/>
          <w:sz w:val="32"/>
          <w:szCs w:val="40"/>
        </w:rPr>
        <w:t>为婴幼儿家庭开展新生儿访视、膳食营养、生长发育、预防接种、安全防护、疾病防控等服务。</w:t>
      </w:r>
      <w:r>
        <w:rPr>
          <w:rFonts w:hint="default" w:ascii="Times New Roman" w:hAnsi="Times New Roman" w:eastAsia="仿宋_GB2312" w:cs="Times New Roman"/>
          <w:color w:val="auto"/>
          <w:sz w:val="32"/>
          <w:szCs w:val="40"/>
          <w:lang w:val="en-US" w:eastAsia="zh-CN"/>
        </w:rPr>
        <w:t>引导社会多元主体通过亲子活动、入户指导、家庭课堂等方式参与家庭教育指导服务。鼓励有条件的社区建立婴幼儿照护服务指导中心。</w:t>
      </w:r>
      <w:r>
        <w:rPr>
          <w:rFonts w:hint="default" w:ascii="Times New Roman" w:hAnsi="Times New Roman" w:eastAsia="仿宋_GB2312" w:cs="Times New Roman"/>
          <w:color w:val="auto"/>
          <w:sz w:val="32"/>
          <w:szCs w:val="40"/>
        </w:rPr>
        <w:t>依法落实国家及安徽省产假、护理假、育儿假等政策，</w:t>
      </w:r>
      <w:r>
        <w:rPr>
          <w:rFonts w:hint="default" w:ascii="Times New Roman" w:hAnsi="Times New Roman" w:eastAsia="仿宋_GB2312" w:cs="Times New Roman"/>
          <w:color w:val="auto"/>
          <w:sz w:val="32"/>
          <w:szCs w:val="40"/>
          <w:lang w:val="en-US" w:eastAsia="zh-CN"/>
        </w:rPr>
        <w:t>鼓励用人单位采取灵活安排工作时间等措施为家庭婴幼儿照护创造便利条件。</w:t>
      </w:r>
      <w:r>
        <w:rPr>
          <w:rFonts w:hint="default" w:ascii="Times New Roman" w:hAnsi="Times New Roman" w:eastAsia="仿宋_GB2312" w:cs="Times New Roman"/>
          <w:b w:val="0"/>
          <w:bCs w:val="0"/>
          <w:color w:val="auto"/>
          <w:kern w:val="2"/>
          <w:sz w:val="32"/>
          <w:szCs w:val="40"/>
          <w:lang w:val="en-US" w:eastAsia="zh-CN" w:bidi="ar-SA"/>
        </w:rPr>
        <w:t>加强对家庭的婴幼儿早期发展指导。</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rPr>
          <w:rFonts w:hint="default" w:ascii="Times New Roman" w:hAnsi="Times New Roman" w:eastAsia="楷体_GB2312" w:cs="Times New Roman"/>
          <w:b/>
          <w:bCs/>
          <w:color w:val="auto"/>
          <w:sz w:val="32"/>
          <w:szCs w:val="32"/>
          <w:lang w:val="en-US" w:eastAsia="zh-CN"/>
        </w:rPr>
      </w:pPr>
      <w:bookmarkStart w:id="55" w:name="_Toc16857"/>
      <w:bookmarkStart w:id="56" w:name="_Toc19966"/>
      <w:bookmarkStart w:id="57" w:name="_Toc5063"/>
      <w:bookmarkStart w:id="58" w:name="_Toc30619"/>
      <w:bookmarkStart w:id="59" w:name="_Toc87883518"/>
      <w:bookmarkStart w:id="60" w:name="_Toc18314"/>
      <w:r>
        <w:rPr>
          <w:rFonts w:hint="default" w:ascii="Times New Roman" w:hAnsi="Times New Roman" w:eastAsia="楷体_GB2312" w:cs="Times New Roman"/>
          <w:b/>
          <w:bCs/>
          <w:color w:val="auto"/>
          <w:sz w:val="32"/>
          <w:szCs w:val="32"/>
          <w:lang w:val="en-US" w:eastAsia="zh-CN"/>
        </w:rPr>
        <w:t>第二节</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lang w:val="en-US" w:eastAsia="zh-CN"/>
        </w:rPr>
        <w:t>幼有善育</w:t>
      </w:r>
      <w:bookmarkEnd w:id="55"/>
      <w:bookmarkEnd w:id="56"/>
      <w:bookmarkEnd w:id="57"/>
      <w:bookmarkEnd w:id="58"/>
      <w:bookmarkEnd w:id="59"/>
      <w:bookmarkEnd w:id="60"/>
    </w:p>
    <w:p>
      <w:pPr>
        <w:pStyle w:val="16"/>
        <w:keepNext w:val="0"/>
        <w:keepLines w:val="0"/>
        <w:pageBreakBefore w:val="0"/>
        <w:widowControl w:val="0"/>
        <w:kinsoku/>
        <w:wordWrap/>
        <w:overflowPunct/>
        <w:topLinePunct w:val="0"/>
        <w:autoSpaceDE/>
        <w:autoSpaceDN/>
        <w:bidi w:val="0"/>
        <w:snapToGrid/>
        <w:spacing w:after="0" w:afterLines="0" w:line="600" w:lineRule="exact"/>
        <w:ind w:left="0" w:leftChars="0"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highlight w:val="none"/>
          <w:lang w:val="en-US" w:eastAsia="zh-CN"/>
        </w:rPr>
        <w:t>扩大普惠性托育服务资源供给。</w:t>
      </w:r>
      <w:r>
        <w:rPr>
          <w:rFonts w:hint="default" w:ascii="Times New Roman" w:hAnsi="Times New Roman" w:eastAsia="仿宋_GB2312" w:cs="Times New Roman"/>
          <w:color w:val="auto"/>
          <w:sz w:val="32"/>
          <w:szCs w:val="32"/>
          <w:lang w:val="en-US" w:eastAsia="zh-CN"/>
        </w:rPr>
        <w:t>构建主体多元、形式多样、政策完备、应享尽享、应护尽护</w:t>
      </w:r>
      <w:r>
        <w:rPr>
          <w:rFonts w:hint="default" w:ascii="Times New Roman" w:hAnsi="Times New Roman" w:eastAsia="仿宋_GB2312" w:cs="Times New Roman"/>
          <w:color w:val="auto"/>
          <w:sz w:val="32"/>
          <w:szCs w:val="32"/>
          <w:lang w:eastAsia="zh-CN"/>
        </w:rPr>
        <w:t>的婴幼儿照护服务体系，</w:t>
      </w:r>
      <w:r>
        <w:rPr>
          <w:rFonts w:hint="default" w:ascii="Times New Roman" w:hAnsi="Times New Roman" w:eastAsia="仿宋_GB2312" w:cs="Times New Roman"/>
          <w:color w:val="auto"/>
          <w:sz w:val="32"/>
          <w:szCs w:val="32"/>
          <w:lang w:val="en-US" w:eastAsia="zh-CN"/>
        </w:rPr>
        <w:t>基本实现全市城乡社区托育机构全覆盖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各县（区）将需要独立占</w:t>
      </w:r>
      <w:r>
        <w:rPr>
          <w:rFonts w:hint="default" w:ascii="Times New Roman" w:hAnsi="Times New Roman" w:eastAsia="仿宋_GB2312" w:cs="Times New Roman"/>
          <w:color w:val="auto"/>
          <w:sz w:val="32"/>
          <w:szCs w:val="32"/>
          <w:lang w:eastAsia="zh-CN"/>
        </w:rPr>
        <w:t>地的婴幼儿照护服务机构建设布局纳入</w:t>
      </w:r>
      <w:r>
        <w:rPr>
          <w:rFonts w:hint="default" w:ascii="Times New Roman" w:hAnsi="Times New Roman" w:eastAsia="仿宋_GB2312" w:cs="Times New Roman"/>
          <w:color w:val="auto"/>
          <w:sz w:val="32"/>
          <w:szCs w:val="32"/>
          <w:lang w:val="en-US" w:eastAsia="zh-CN"/>
        </w:rPr>
        <w:t>相关规划</w:t>
      </w:r>
      <w:r>
        <w:rPr>
          <w:rFonts w:hint="default" w:ascii="Times New Roman" w:hAnsi="Times New Roman" w:eastAsia="仿宋_GB2312" w:cs="Times New Roman"/>
          <w:color w:val="auto"/>
          <w:sz w:val="32"/>
          <w:szCs w:val="32"/>
          <w:lang w:eastAsia="zh-CN"/>
        </w:rPr>
        <w:t>。实施普惠托育服务专项行动，支持引导社会组织、国有企业、事业单位等社会力量参与普惠托育</w:t>
      </w:r>
      <w:r>
        <w:rPr>
          <w:rFonts w:hint="default" w:ascii="Times New Roman" w:hAnsi="Times New Roman"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lang w:eastAsia="zh-CN"/>
        </w:rPr>
        <w:t>，推动各县区</w:t>
      </w:r>
      <w:r>
        <w:rPr>
          <w:rFonts w:hint="default" w:ascii="Times New Roman" w:hAnsi="Times New Roman" w:eastAsia="仿宋_GB2312" w:cs="Times New Roman"/>
          <w:color w:val="auto"/>
          <w:sz w:val="32"/>
          <w:szCs w:val="32"/>
          <w:lang w:val="en-US" w:eastAsia="zh-CN"/>
        </w:rPr>
        <w:t>积极开展“一乡镇一街道一普惠”试点，加快建设</w:t>
      </w:r>
      <w:r>
        <w:rPr>
          <w:rFonts w:hint="default" w:ascii="Times New Roman" w:hAnsi="Times New Roman" w:eastAsia="仿宋_GB2312" w:cs="Times New Roman"/>
          <w:color w:val="auto"/>
          <w:sz w:val="32"/>
          <w:szCs w:val="32"/>
          <w:lang w:eastAsia="zh-CN"/>
        </w:rPr>
        <w:t>承担指导功能的示范性、综合性托育服务中心。支持有条件的公办幼儿园和普惠性民办幼儿园开设托班或扩大托班规模。鼓励用人单位通过自建自营或委托运营的方式，单独或联合同一区域、同一商务楼字内的相关单位共同举办托育机构，为职工提供福利性托育服务，有条件的可向附近居民开放</w:t>
      </w:r>
      <w:r>
        <w:rPr>
          <w:rFonts w:hint="default" w:ascii="Times New Roman" w:hAnsi="Times New Roman" w:eastAsia="仿宋_GB2312" w:cs="Times New Roman"/>
          <w:color w:val="auto"/>
          <w:sz w:val="32"/>
          <w:szCs w:val="40"/>
        </w:rPr>
        <w:t>。鼓励党政机关、事业单位、医疗机构、院校、国有企业、工业园区等带头示范。</w:t>
      </w:r>
    </w:p>
    <w:p>
      <w:pPr>
        <w:spacing w:line="600" w:lineRule="exact"/>
        <w:ind w:firstLine="643"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bCs/>
          <w:color w:val="auto"/>
          <w:sz w:val="32"/>
          <w:szCs w:val="32"/>
          <w:lang w:val="en-US" w:eastAsia="zh-CN"/>
        </w:rPr>
        <w:t>推动托育照护规范</w:t>
      </w:r>
      <w:r>
        <w:rPr>
          <w:rFonts w:hint="default" w:ascii="Times New Roman" w:hAnsi="Times New Roman" w:eastAsia="楷体_GB2312" w:cs="Times New Roman"/>
          <w:b/>
          <w:bCs/>
          <w:color w:val="auto"/>
          <w:sz w:val="32"/>
          <w:szCs w:val="32"/>
          <w:highlight w:val="none"/>
          <w:lang w:val="en-US" w:eastAsia="zh-CN"/>
        </w:rPr>
        <w:t>化发展</w:t>
      </w:r>
      <w:r>
        <w:rPr>
          <w:rFonts w:hint="default" w:ascii="Times New Roman" w:hAnsi="Times New Roman" w:eastAsia="楷体_GB2312" w:cs="Times New Roman"/>
          <w:b/>
          <w:bCs/>
          <w:color w:val="auto"/>
          <w:sz w:val="32"/>
          <w:szCs w:val="32"/>
          <w:lang w:val="en-US" w:eastAsia="zh-CN"/>
        </w:rPr>
        <w:t>。</w:t>
      </w:r>
      <w:r>
        <w:rPr>
          <w:rFonts w:hint="default" w:ascii="Times New Roman" w:hAnsi="Times New Roman" w:eastAsia="仿宋_GB2312" w:cs="Times New Roman"/>
          <w:color w:val="auto"/>
          <w:sz w:val="32"/>
          <w:szCs w:val="32"/>
          <w:lang w:eastAsia="zh-CN"/>
        </w:rPr>
        <w:t>落实国家支持婴幼儿照护服务的有关政策，建立健全婴幼儿照护服务机构设施建设规范、服务标准、</w:t>
      </w:r>
      <w:r>
        <w:rPr>
          <w:rFonts w:hint="default" w:ascii="Times New Roman" w:hAnsi="Times New Roman" w:eastAsia="仿宋_GB2312" w:cs="Times New Roman"/>
          <w:color w:val="auto"/>
          <w:sz w:val="32"/>
          <w:szCs w:val="32"/>
          <w:lang w:bidi="ar"/>
        </w:rPr>
        <w:t>备案登记、信息公示</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质量评估</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eastAsia="zh-CN"/>
        </w:rPr>
        <w:t>日常监督及安全管理等服务制度</w:t>
      </w:r>
      <w:r>
        <w:rPr>
          <w:rFonts w:hint="default" w:ascii="Times New Roman" w:hAnsi="Times New Roman" w:eastAsia="仿宋_GB2312" w:cs="Times New Roman"/>
          <w:color w:val="auto"/>
          <w:sz w:val="32"/>
          <w:szCs w:val="32"/>
          <w:lang w:bidi="ar"/>
        </w:rPr>
        <w:t>。</w:t>
      </w:r>
      <w:r>
        <w:rPr>
          <w:rFonts w:hint="default" w:ascii="Times New Roman" w:hAnsi="Times New Roman" w:eastAsia="仿宋_GB2312" w:cs="Times New Roman"/>
          <w:color w:val="auto"/>
          <w:sz w:val="32"/>
          <w:szCs w:val="32"/>
          <w:lang w:val="en-US" w:eastAsia="zh-CN" w:bidi="ar"/>
        </w:rPr>
        <w:t>支持托育机构</w:t>
      </w:r>
      <w:r>
        <w:rPr>
          <w:rFonts w:hint="default" w:ascii="Times New Roman" w:hAnsi="Times New Roman" w:eastAsia="仿宋_GB2312" w:cs="Times New Roman"/>
          <w:color w:val="auto"/>
          <w:sz w:val="32"/>
          <w:szCs w:val="40"/>
        </w:rPr>
        <w:t>连锁化、专业化</w:t>
      </w:r>
      <w:r>
        <w:rPr>
          <w:rFonts w:hint="default" w:ascii="Times New Roman" w:hAnsi="Times New Roman" w:eastAsia="仿宋_GB2312" w:cs="Times New Roman"/>
          <w:color w:val="auto"/>
          <w:sz w:val="32"/>
          <w:szCs w:val="40"/>
          <w:lang w:val="en-US" w:eastAsia="zh-CN"/>
        </w:rPr>
        <w:t>发展，培育壮大一批特色鲜明、管理规范、服务标准的托育服务骨干企业，大力引进沪苏浙知名婴幼儿照护机构在我市开展连锁经营</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rPr>
        <w:t>加强婴幼儿照护服务队伍建设，</w:t>
      </w:r>
      <w:r>
        <w:rPr>
          <w:rFonts w:hint="default" w:ascii="Times New Roman" w:hAnsi="Times New Roman" w:eastAsia="仿宋_GB2312" w:cs="Times New Roman"/>
          <w:color w:val="auto"/>
          <w:sz w:val="32"/>
          <w:szCs w:val="32"/>
          <w:lang w:bidi="ar"/>
        </w:rPr>
        <w:t>依法逐步实行婴幼儿照护工作人员职业资格准入制度</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rPr>
        <w:t>开展从业人员入职前培养和入职后培训</w:t>
      </w:r>
      <w:r>
        <w:rPr>
          <w:rFonts w:hint="default" w:ascii="Times New Roman" w:hAnsi="Times New Roman" w:eastAsia="仿宋_GB2312" w:cs="Times New Roman"/>
          <w:color w:val="auto"/>
          <w:sz w:val="32"/>
          <w:szCs w:val="32"/>
          <w:lang w:bidi="ar"/>
        </w:rPr>
        <w:t>，</w:t>
      </w:r>
      <w:r>
        <w:rPr>
          <w:rFonts w:hint="default" w:ascii="Times New Roman" w:hAnsi="Times New Roman" w:eastAsia="仿宋_GB2312" w:cs="Times New Roman"/>
          <w:color w:val="auto"/>
          <w:sz w:val="32"/>
          <w:szCs w:val="32"/>
          <w:highlight w:val="none"/>
          <w:lang w:bidi="ar"/>
        </w:rPr>
        <w:t>强化从业人员职业道德和安全教育。</w:t>
      </w:r>
    </w:p>
    <w:p>
      <w:pPr>
        <w:pStyle w:val="16"/>
        <w:keepNext w:val="0"/>
        <w:keepLines w:val="0"/>
        <w:pageBreakBefore w:val="0"/>
        <w:widowControl w:val="0"/>
        <w:kinsoku/>
        <w:wordWrap/>
        <w:overflowPunct/>
        <w:topLinePunct w:val="0"/>
        <w:autoSpaceDE/>
        <w:autoSpaceDN/>
        <w:bidi w:val="0"/>
        <w:snapToGrid/>
        <w:spacing w:after="0" w:afterLines="0" w:line="600" w:lineRule="exact"/>
        <w:ind w:left="0" w:leftChars="0"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 w:cs="Times New Roman"/>
          <w:b/>
          <w:bCs/>
          <w:color w:val="auto"/>
          <w:sz w:val="32"/>
          <w:szCs w:val="32"/>
          <w:highlight w:val="none"/>
          <w:lang w:eastAsia="zh-CN"/>
        </w:rPr>
        <w:t>加快推进“互联网</w:t>
      </w:r>
      <w:r>
        <w:rPr>
          <w:rFonts w:hint="default" w:ascii="Times New Roman" w:hAnsi="Times New Roman" w:eastAsia="楷体" w:cs="Times New Roman"/>
          <w:b/>
          <w:bCs/>
          <w:color w:val="auto"/>
          <w:sz w:val="32"/>
          <w:szCs w:val="32"/>
          <w:highlight w:val="none"/>
          <w:lang w:val="en-US" w:eastAsia="zh-CN"/>
        </w:rPr>
        <w:t>+托育</w:t>
      </w:r>
      <w:r>
        <w:rPr>
          <w:rFonts w:hint="default" w:ascii="Times New Roman" w:hAnsi="Times New Roman" w:eastAsia="楷体" w:cs="Times New Roman"/>
          <w:b/>
          <w:bCs/>
          <w:color w:val="auto"/>
          <w:sz w:val="32"/>
          <w:szCs w:val="32"/>
          <w:highlight w:val="none"/>
          <w:lang w:eastAsia="zh-CN"/>
        </w:rPr>
        <w:t>”发展。</w:t>
      </w:r>
      <w:r>
        <w:rPr>
          <w:rFonts w:hint="default" w:ascii="Times New Roman" w:hAnsi="Times New Roman" w:eastAsia="仿宋_GB2312" w:cs="Times New Roman"/>
          <w:b w:val="0"/>
          <w:bCs w:val="0"/>
          <w:color w:val="auto"/>
          <w:sz w:val="32"/>
          <w:szCs w:val="32"/>
          <w:highlight w:val="none"/>
          <w:lang w:val="en-US" w:eastAsia="zh-CN"/>
        </w:rPr>
        <w:t>探索</w:t>
      </w:r>
      <w:r>
        <w:rPr>
          <w:rFonts w:hint="default" w:ascii="Times New Roman" w:hAnsi="Times New Roman" w:eastAsia="仿宋_GB2312" w:cs="Times New Roman"/>
          <w:color w:val="auto"/>
          <w:sz w:val="32"/>
          <w:szCs w:val="32"/>
          <w:highlight w:val="none"/>
          <w:lang w:eastAsia="zh-CN"/>
        </w:rPr>
        <w:t>建立托育信息管理平台，加快多信息系统间对接合作，推动集申办优化、在线监控、综合监管、信息公开、诚信记录等功能于一体的智慧托育服务体系建设。探索推动</w:t>
      </w:r>
      <w:r>
        <w:rPr>
          <w:rFonts w:hint="default" w:ascii="Times New Roman" w:hAnsi="Times New Roman" w:eastAsia="仿宋_GB2312" w:cs="Times New Roman"/>
          <w:color w:val="auto"/>
          <w:sz w:val="32"/>
          <w:szCs w:val="32"/>
          <w:lang w:eastAsia="zh-CN"/>
        </w:rPr>
        <w:t>家庭育儿共享平台建设，支持</w:t>
      </w:r>
      <w:r>
        <w:rPr>
          <w:rFonts w:hint="default" w:ascii="Times New Roman" w:hAnsi="Times New Roman" w:eastAsia="仿宋_GB2312" w:cs="Times New Roman"/>
          <w:color w:val="auto"/>
          <w:sz w:val="32"/>
          <w:szCs w:val="32"/>
          <w:highlight w:val="none"/>
          <w:lang w:eastAsia="zh-CN"/>
        </w:rPr>
        <w:t>家庭育儿体系建设。</w:t>
      </w:r>
      <w:r>
        <w:rPr>
          <w:rFonts w:hint="default" w:ascii="Times New Roman" w:hAnsi="Times New Roman" w:eastAsia="仿宋_GB2312" w:cs="Times New Roman"/>
          <w:i w:val="0"/>
          <w:caps w:val="0"/>
          <w:color w:val="auto"/>
          <w:spacing w:val="0"/>
          <w:sz w:val="32"/>
          <w:szCs w:val="32"/>
          <w:highlight w:val="none"/>
          <w:shd w:val="clear" w:fill="auto"/>
        </w:rPr>
        <w:t>推进互联网、大数据、5G等信息技术和智能硬件在托育服务领域深度应用</w:t>
      </w:r>
      <w:r>
        <w:rPr>
          <w:rFonts w:hint="default" w:ascii="Times New Roman" w:hAnsi="Times New Roman" w:eastAsia="仿宋_GB2312" w:cs="Times New Roman"/>
          <w:color w:val="auto"/>
          <w:sz w:val="32"/>
          <w:szCs w:val="32"/>
          <w:highlight w:val="none"/>
          <w:lang w:eastAsia="zh-CN"/>
        </w:rPr>
        <w:t>，鼓励开发婴幼儿养育课程、父母课堂等互联网直播互动式家庭育儿服务。</w:t>
      </w:r>
    </w:p>
    <w:p>
      <w:pPr>
        <w:pStyle w:val="6"/>
        <w:keepNext w:val="0"/>
        <w:keepLines w:val="0"/>
        <w:pageBreakBefore w:val="0"/>
        <w:widowControl w:val="0"/>
        <w:kinsoku/>
        <w:wordWrap/>
        <w:overflowPunct/>
        <w:topLinePunct w:val="0"/>
        <w:autoSpaceDE/>
        <w:autoSpaceDN/>
        <w:bidi w:val="0"/>
        <w:snapToGrid/>
        <w:spacing w:after="0" w:afterLines="0" w:line="600" w:lineRule="exact"/>
        <w:ind w:left="0" w:leftChars="0" w:firstLine="0" w:firstLineChars="0"/>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color w:val="auto"/>
        </w:rPr>
        <w:t xml:space="preserve">专栏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SEQ 专栏 \* ARABIC </w:instrText>
      </w:r>
      <w:r>
        <w:rPr>
          <w:rFonts w:hint="default" w:ascii="Times New Roman" w:hAnsi="Times New Roman" w:cs="Times New Roman"/>
          <w:color w:val="auto"/>
        </w:rPr>
        <w:fldChar w:fldCharType="separate"/>
      </w:r>
      <w:r>
        <w:rPr>
          <w:rFonts w:hint="default" w:ascii="Times New Roman" w:hAnsi="Times New Roman" w:cs="Times New Roman"/>
          <w:color w:val="auto"/>
        </w:rPr>
        <w:t>3</w:t>
      </w:r>
      <w:r>
        <w:rPr>
          <w:rFonts w:hint="default" w:ascii="Times New Roman" w:hAnsi="Times New Roman" w:cs="Times New Roman"/>
          <w:color w:val="auto"/>
        </w:rPr>
        <w:fldChar w:fldCharType="end"/>
      </w:r>
      <w:bookmarkStart w:id="61" w:name="_Toc27676"/>
      <w:bookmarkStart w:id="62" w:name="_Toc18764"/>
      <w:bookmarkStart w:id="63" w:name="_Toc24602"/>
      <w:bookmarkStart w:id="64" w:name="_Toc18224"/>
      <w:bookmarkStart w:id="65" w:name="_Toc7359"/>
      <w:r>
        <w:rPr>
          <w:rFonts w:hint="default" w:ascii="Times New Roman" w:hAnsi="Times New Roman" w:cs="Times New Roman"/>
          <w:color w:val="auto"/>
          <w:lang w:val="en-US" w:eastAsia="zh-CN"/>
        </w:rPr>
        <w:t xml:space="preserve"> 婴幼儿照护服务重点</w:t>
      </w:r>
      <w:bookmarkEnd w:id="61"/>
      <w:bookmarkEnd w:id="62"/>
      <w:bookmarkEnd w:id="63"/>
      <w:bookmarkEnd w:id="64"/>
      <w:r>
        <w:rPr>
          <w:rFonts w:hint="default" w:ascii="Times New Roman" w:hAnsi="Times New Roman" w:cs="Times New Roman"/>
          <w:color w:val="auto"/>
          <w:lang w:val="en-US" w:eastAsia="zh-CN"/>
        </w:rPr>
        <w:t>工程</w:t>
      </w:r>
      <w:bookmarkEnd w:id="65"/>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仿宋_GB2312" w:cs="Times New Roman"/>
                <w:color w:val="auto"/>
                <w:sz w:val="24"/>
                <w:szCs w:val="24"/>
                <w:highlight w:val="yellow"/>
                <w:vertAlign w:val="baseline"/>
              </w:rPr>
            </w:pPr>
            <w:r>
              <w:rPr>
                <w:rFonts w:hint="default" w:ascii="Times New Roman" w:hAnsi="Times New Roman" w:eastAsia="楷体_GB2312" w:cs="Times New Roman"/>
                <w:b/>
                <w:bCs/>
                <w:color w:val="auto"/>
                <w:sz w:val="24"/>
                <w:szCs w:val="24"/>
                <w:vertAlign w:val="baseline"/>
              </w:rPr>
              <w:t>1.全方位孕期保健服务改善工程。</w:t>
            </w:r>
            <w:r>
              <w:rPr>
                <w:rFonts w:hint="default" w:ascii="Times New Roman" w:hAnsi="Times New Roman" w:eastAsia="仿宋_GB2312" w:cs="Times New Roman"/>
                <w:color w:val="auto"/>
                <w:sz w:val="24"/>
                <w:szCs w:val="24"/>
                <w:vertAlign w:val="baseline"/>
              </w:rPr>
              <w:t>强化各级危重孕产妇、新生儿救治中心标准化建设，补齐儿科服务短板。实行免费婚前医学检查，普及孕前检查。开设孕前咨询门诊，提供生育力评估和备孕指导。推进区域妇幼健康信息平台建设</w:t>
            </w:r>
            <w:r>
              <w:rPr>
                <w:rFonts w:hint="default" w:ascii="Times New Roman" w:hAnsi="Times New Roman" w:eastAsia="仿宋_GB2312" w:cs="Times New Roman"/>
                <w:color w:val="auto"/>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imes New Roman" w:hAnsi="Times New Roman" w:eastAsia="仿宋_GB2312" w:cs="Times New Roman"/>
                <w:color w:val="auto"/>
                <w:vertAlign w:val="baseline"/>
                <w:lang w:eastAsia="zh-CN"/>
              </w:rPr>
            </w:pPr>
            <w:r>
              <w:rPr>
                <w:rFonts w:hint="default" w:ascii="Times New Roman" w:hAnsi="Times New Roman" w:eastAsia="楷体_GB2312" w:cs="Times New Roman"/>
                <w:b/>
                <w:bCs/>
                <w:color w:val="auto"/>
                <w:sz w:val="24"/>
                <w:szCs w:val="24"/>
                <w:vertAlign w:val="baseline"/>
              </w:rPr>
              <w:t>2.普惠托育服务扩容提质工程。</w:t>
            </w:r>
            <w:r>
              <w:rPr>
                <w:rFonts w:hint="default" w:ascii="Times New Roman" w:hAnsi="Times New Roman" w:eastAsia="仿宋_GB2312" w:cs="Times New Roman"/>
                <w:color w:val="auto"/>
                <w:sz w:val="24"/>
                <w:szCs w:val="24"/>
                <w:vertAlign w:val="baseline"/>
              </w:rPr>
              <w:t>新建和在建城市居住小区，按照每千人口不少于10个托位标准，规划建设托育服务设施及配套安全设施，并与住宅同步规划、同步建设、同步验收、同步交付</w:t>
            </w:r>
            <w:r>
              <w:rPr>
                <w:rFonts w:hint="default" w:ascii="Times New Roman" w:hAnsi="Times New Roman" w:eastAsia="仿宋_GB2312" w:cs="Times New Roman"/>
                <w:color w:val="auto"/>
                <w:sz w:val="24"/>
                <w:szCs w:val="24"/>
                <w:vertAlign w:val="baseline"/>
                <w:lang w:eastAsia="zh-CN"/>
              </w:rPr>
              <w:t>。</w:t>
            </w:r>
            <w:r>
              <w:rPr>
                <w:rFonts w:hint="default" w:ascii="Times New Roman" w:hAnsi="Times New Roman" w:eastAsia="仿宋_GB2312" w:cs="Times New Roman"/>
                <w:color w:val="auto"/>
                <w:sz w:val="24"/>
                <w:szCs w:val="24"/>
                <w:vertAlign w:val="baseline"/>
              </w:rPr>
              <w:t>老城区和无托育服务设施的已建成居住小区按照每千人口不少于8个托位标准建设托育服务设施。</w:t>
            </w:r>
            <w:r>
              <w:rPr>
                <w:rFonts w:hint="default" w:ascii="Times New Roman" w:hAnsi="Times New Roman" w:eastAsia="仿宋_GB2312" w:cs="Times New Roman"/>
                <w:color w:val="auto"/>
                <w:sz w:val="24"/>
                <w:szCs w:val="24"/>
                <w:vertAlign w:val="baseline"/>
                <w:lang w:val="en-US" w:eastAsia="zh-CN"/>
              </w:rPr>
              <w:t>到2025年，</w:t>
            </w:r>
            <w:r>
              <w:rPr>
                <w:rFonts w:hint="default" w:ascii="Times New Roman" w:hAnsi="Times New Roman" w:eastAsia="仿宋_GB2312" w:cs="Times New Roman"/>
                <w:color w:val="auto"/>
                <w:sz w:val="24"/>
              </w:rPr>
              <w:t>每年至少建成</w:t>
            </w:r>
            <w:r>
              <w:rPr>
                <w:rFonts w:hint="eastAsia" w:ascii="Times New Roman" w:hAnsi="Times New Roman" w:eastAsia="仿宋_GB2312" w:cs="Times New Roman"/>
                <w:color w:val="auto"/>
                <w:sz w:val="24"/>
                <w:lang w:val="en-US" w:eastAsia="zh-CN"/>
              </w:rPr>
              <w:t>2-3</w:t>
            </w:r>
            <w:r>
              <w:rPr>
                <w:rFonts w:hint="default" w:ascii="Times New Roman" w:hAnsi="Times New Roman" w:eastAsia="仿宋_GB2312" w:cs="Times New Roman"/>
                <w:color w:val="auto"/>
                <w:sz w:val="24"/>
              </w:rPr>
              <w:t>个示范性托育服务机构，各县（区）每年至少建成1个普惠性托育服务机构</w:t>
            </w:r>
            <w:r>
              <w:rPr>
                <w:rFonts w:hint="default" w:ascii="Times New Roman" w:hAnsi="Times New Roman" w:eastAsia="仿宋_GB2312" w:cs="Times New Roman"/>
                <w:color w:val="auto"/>
                <w:sz w:val="24"/>
                <w:szCs w:val="24"/>
                <w:vertAlign w:val="baseline"/>
                <w:lang w:eastAsia="zh-CN"/>
              </w:rPr>
              <w:t>。</w:t>
            </w:r>
            <w:r>
              <w:rPr>
                <w:rFonts w:hint="default" w:ascii="Times New Roman" w:hAnsi="Times New Roman" w:eastAsia="仿宋_GB2312" w:cs="Times New Roman"/>
                <w:color w:val="auto"/>
                <w:sz w:val="24"/>
              </w:rPr>
              <w:t>支持符合条件的民办幼儿园、教育指导中心、妇女儿童活动中心、学前教育机构、月子中心、家政服务公司等资源改扩建托育服务设施</w:t>
            </w:r>
            <w:r>
              <w:rPr>
                <w:rFonts w:hint="default" w:ascii="Times New Roman" w:hAnsi="Times New Roman" w:eastAsia="仿宋_GB2312" w:cs="Times New Roman"/>
                <w:color w:val="auto"/>
                <w:sz w:val="24"/>
                <w:szCs w:val="24"/>
                <w:vertAlign w:val="baseline"/>
                <w:lang w:eastAsia="zh-CN"/>
              </w:rPr>
              <w:t>。</w:t>
            </w:r>
            <w:r>
              <w:rPr>
                <w:rFonts w:hint="default" w:ascii="Times New Roman" w:hAnsi="Times New Roman" w:eastAsia="仿宋_GB2312" w:cs="Times New Roman"/>
                <w:color w:val="auto"/>
                <w:sz w:val="24"/>
              </w:rPr>
              <w:t>鼓励妇幼保健机构、有条件的专科医院、社区卫生服务中心等，远离病源设立临时托育场所，并为周边机构提供育儿支持</w:t>
            </w:r>
            <w:r>
              <w:rPr>
                <w:rFonts w:hint="eastAsia" w:ascii="Times New Roman" w:hAnsi="Times New Roman" w:eastAsia="仿宋_GB2312" w:cs="Times New Roman"/>
                <w:color w:val="auto"/>
                <w:sz w:val="24"/>
                <w:lang w:eastAsia="zh-CN"/>
              </w:rPr>
              <w:t>。</w:t>
            </w:r>
          </w:p>
        </w:tc>
      </w:tr>
    </w:tbl>
    <w:p>
      <w:pPr>
        <w:pStyle w:val="3"/>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exact"/>
        <w:textAlignment w:val="auto"/>
        <w:rPr>
          <w:rFonts w:hint="default" w:ascii="Times New Roman" w:hAnsi="Times New Roman" w:cs="Times New Roman"/>
          <w:color w:val="auto"/>
          <w:lang w:val="en-US" w:eastAsia="zh-CN"/>
        </w:rPr>
        <w:sectPr>
          <w:pgSz w:w="11906" w:h="16838"/>
          <w:pgMar w:top="1440" w:right="1800" w:bottom="1440" w:left="1800" w:header="851" w:footer="992" w:gutter="0"/>
          <w:pgNumType w:fmt="decimal"/>
          <w:cols w:space="425" w:num="1"/>
          <w:docGrid w:type="lines" w:linePitch="312" w:charSpace="0"/>
        </w:sectPr>
      </w:pPr>
      <w:bookmarkStart w:id="66" w:name="_Toc87883519"/>
      <w:bookmarkStart w:id="67" w:name="_Toc11593"/>
      <w:bookmarkStart w:id="68" w:name="_Toc87883525"/>
      <w:bookmarkStart w:id="69" w:name="_Toc24008"/>
    </w:p>
    <w:p>
      <w:pPr>
        <w:pStyle w:val="3"/>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exact"/>
        <w:textAlignment w:val="auto"/>
        <w:rPr>
          <w:rFonts w:hint="default" w:ascii="Times New Roman" w:hAnsi="Times New Roman" w:cs="Times New Roman"/>
          <w:color w:val="auto"/>
          <w:lang w:val="en-US" w:eastAsia="zh-CN"/>
        </w:rPr>
      </w:pPr>
      <w:bookmarkStart w:id="70" w:name="_Toc10504"/>
      <w:bookmarkStart w:id="71" w:name="_Toc2959"/>
      <w:bookmarkStart w:id="72" w:name="_Toc29641"/>
      <w:bookmarkStart w:id="73" w:name="_Toc19532"/>
      <w:r>
        <w:rPr>
          <w:rFonts w:hint="default" w:ascii="Times New Roman" w:hAnsi="Times New Roman" w:cs="Times New Roman"/>
          <w:color w:val="auto"/>
          <w:lang w:val="en-US" w:eastAsia="zh-CN"/>
        </w:rPr>
        <w:t>第四章  优质公平的现代教育服务</w:t>
      </w:r>
      <w:bookmarkEnd w:id="66"/>
      <w:bookmarkEnd w:id="67"/>
      <w:bookmarkEnd w:id="70"/>
      <w:bookmarkEnd w:id="71"/>
      <w:bookmarkEnd w:id="72"/>
      <w:bookmarkEnd w:id="73"/>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着力促进教育公平，提高教育质量，努力办好人民满意的教育，跻身省内先进水平的优质教育行列。</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rPr>
          <w:rFonts w:hint="default" w:ascii="Times New Roman" w:hAnsi="Times New Roman" w:eastAsia="楷体_GB2312" w:cs="Times New Roman"/>
          <w:b/>
          <w:bCs/>
          <w:color w:val="auto"/>
          <w:sz w:val="32"/>
          <w:szCs w:val="32"/>
          <w:lang w:val="en-US" w:eastAsia="zh-CN"/>
        </w:rPr>
      </w:pPr>
      <w:bookmarkStart w:id="74" w:name="_Toc87883520"/>
      <w:bookmarkStart w:id="75" w:name="_Toc12102"/>
      <w:bookmarkStart w:id="76" w:name="_Toc14934"/>
      <w:bookmarkStart w:id="77" w:name="_Toc21512"/>
      <w:bookmarkStart w:id="78" w:name="_Toc4783"/>
      <w:bookmarkStart w:id="79" w:name="_Toc20418"/>
      <w:r>
        <w:rPr>
          <w:rFonts w:hint="default" w:ascii="Times New Roman" w:hAnsi="Times New Roman" w:eastAsia="楷体_GB2312" w:cs="Times New Roman"/>
          <w:b/>
          <w:bCs/>
          <w:color w:val="auto"/>
          <w:sz w:val="32"/>
          <w:szCs w:val="32"/>
          <w:lang w:val="en-US" w:eastAsia="zh-CN"/>
        </w:rPr>
        <w:t>第一节</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lang w:val="en-US" w:eastAsia="zh-CN"/>
        </w:rPr>
        <w:t>学有所教</w:t>
      </w:r>
      <w:bookmarkEnd w:id="74"/>
      <w:bookmarkEnd w:id="75"/>
      <w:bookmarkEnd w:id="76"/>
      <w:bookmarkEnd w:id="77"/>
      <w:bookmarkEnd w:id="78"/>
      <w:bookmarkEnd w:id="79"/>
    </w:p>
    <w:bookmarkEnd w:id="68"/>
    <w:bookmarkEnd w:id="69"/>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b w:val="0"/>
          <w:bCs w:val="0"/>
          <w:color w:val="auto"/>
          <w:sz w:val="32"/>
          <w:szCs w:val="32"/>
          <w:lang w:val="en-US" w:eastAsia="zh-CN"/>
        </w:rPr>
      </w:pPr>
      <w:bookmarkStart w:id="80" w:name="_Toc87883528"/>
      <w:bookmarkStart w:id="81" w:name="_Toc17198"/>
      <w:r>
        <w:rPr>
          <w:rFonts w:hint="default" w:ascii="Times New Roman" w:hAnsi="Times New Roman" w:eastAsia="楷体_GB2312" w:cs="Times New Roman"/>
          <w:b/>
          <w:bCs/>
          <w:color w:val="auto"/>
          <w:sz w:val="32"/>
          <w:szCs w:val="32"/>
          <w:lang w:val="en-US" w:eastAsia="zh-CN"/>
        </w:rPr>
        <w:t>提升学前教育普及普惠水平。</w:t>
      </w:r>
      <w:r>
        <w:rPr>
          <w:rFonts w:hint="default" w:ascii="Times New Roman" w:hAnsi="Times New Roman" w:eastAsia="仿宋_GB2312" w:cs="Times New Roman"/>
          <w:b w:val="0"/>
          <w:bCs w:val="0"/>
          <w:color w:val="auto"/>
          <w:sz w:val="32"/>
          <w:szCs w:val="32"/>
          <w:lang w:val="en-US" w:eastAsia="zh-CN"/>
        </w:rPr>
        <w:t>实施学前教育普及普惠工程，加大公办幼儿园和普惠性民办幼儿园建设力度，逐步提高公办园在园幼儿占比，提升普惠性幼儿园覆盖率。落实相应居住区人口配套学位标准，全面落实城镇小区配套幼儿园政策，扩大学前教育资源供给。</w:t>
      </w:r>
      <w:r>
        <w:rPr>
          <w:rFonts w:hint="default" w:ascii="Times New Roman" w:hAnsi="Times New Roman" w:eastAsia="仿宋_GB2312" w:cs="Times New Roman"/>
          <w:color w:val="auto"/>
          <w:sz w:val="32"/>
          <w:szCs w:val="32"/>
        </w:rPr>
        <w:t>优化农村学前教育资源布局，办好乡镇公办中心园。</w:t>
      </w:r>
      <w:r>
        <w:rPr>
          <w:rFonts w:hint="default" w:ascii="Times New Roman" w:hAnsi="Times New Roman" w:eastAsia="仿宋_GB2312" w:cs="Times New Roman"/>
          <w:b w:val="0"/>
          <w:bCs w:val="0"/>
          <w:color w:val="auto"/>
          <w:sz w:val="32"/>
          <w:szCs w:val="32"/>
          <w:lang w:val="en-US" w:eastAsia="zh-CN"/>
        </w:rPr>
        <w:t>加强保教质量评估督导，坚决杜绝学前教育“小学化”倾向，</w:t>
      </w:r>
      <w:r>
        <w:rPr>
          <w:rFonts w:hint="default" w:ascii="Times New Roman" w:hAnsi="Times New Roman" w:eastAsia="仿宋_GB2312" w:cs="Times New Roman"/>
          <w:color w:val="auto"/>
          <w:sz w:val="32"/>
          <w:szCs w:val="32"/>
        </w:rPr>
        <w:t>规范民办幼儿园的准入与退出机制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创新学前教育教师、保育员培养和补充机制，严格执行幼儿园园长、教师专业标准，全面落实幼儿园教师持证上岗，</w:t>
      </w:r>
      <w:r>
        <w:rPr>
          <w:rFonts w:hint="default" w:ascii="Times New Roman" w:hAnsi="Times New Roman" w:eastAsia="仿宋_GB2312" w:cs="Times New Roman"/>
          <w:color w:val="auto"/>
          <w:sz w:val="32"/>
          <w:szCs w:val="32"/>
          <w:lang w:val="en-US" w:eastAsia="zh-CN"/>
        </w:rPr>
        <w:t>强化</w:t>
      </w:r>
      <w:r>
        <w:rPr>
          <w:rFonts w:hint="default" w:ascii="Times New Roman" w:hAnsi="Times New Roman" w:eastAsia="仿宋_GB2312" w:cs="Times New Roman"/>
          <w:color w:val="auto"/>
          <w:sz w:val="32"/>
          <w:szCs w:val="32"/>
        </w:rPr>
        <w:t>工资待遇保障</w:t>
      </w:r>
      <w:r>
        <w:rPr>
          <w:rFonts w:hint="default" w:ascii="Times New Roman" w:hAnsi="Times New Roman" w:eastAsia="仿宋_GB2312" w:cs="Times New Roman"/>
          <w:b w:val="0"/>
          <w:bCs w:val="0"/>
          <w:color w:val="auto"/>
          <w:sz w:val="32"/>
          <w:szCs w:val="32"/>
          <w:lang w:val="en-US" w:eastAsia="zh-CN"/>
        </w:rPr>
        <w:t>。建立健全生均拨款、学生资助等学前教育经费投入制度。</w:t>
      </w:r>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sz w:val="32"/>
          <w:szCs w:val="32"/>
          <w:lang w:val="en-US" w:eastAsia="zh-CN"/>
        </w:rPr>
        <w:t>推动义务教育优质均衡发展。</w:t>
      </w:r>
      <w:r>
        <w:rPr>
          <w:rFonts w:hint="default" w:ascii="Times New Roman" w:hAnsi="Times New Roman" w:eastAsia="仿宋_GB2312" w:cs="Times New Roman"/>
          <w:b w:val="0"/>
          <w:bCs w:val="0"/>
          <w:color w:val="auto"/>
          <w:sz w:val="32"/>
          <w:szCs w:val="32"/>
          <w:lang w:val="en-US" w:eastAsia="zh-CN"/>
        </w:rPr>
        <w:t>实施义务教育质量提升工程，推进义务教育学校标准化建设，落实新建小区配套学校制度，扩大城镇学校学位供给。继续实施薄弱学校改造和能力提升工程，深入推进乡村小规模学校和乡镇寄宿制学校建设。推进中小学集团化办学，打造一批有影响力的教育集团。深化中小学教师“县管校聘”改革，推进县域内师资均衡配置和教师（校长）定期交流。实施师资队伍培优工程，落实中小学教师国培省培计划，实施“特岗计划”。加强“双减”工作示范校和课后服务品牌项目建设，依法治理校外培训机构。推动舒城县率先通过义务教育优质均衡国家验收，其他县区争创义务教育优质均衡发展取得阶段性成果。</w:t>
      </w:r>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加强县域普通高中建设。</w:t>
      </w:r>
      <w:r>
        <w:rPr>
          <w:rFonts w:hint="default" w:ascii="Times New Roman" w:hAnsi="Times New Roman" w:eastAsia="仿宋_GB2312" w:cs="Times New Roman"/>
          <w:b w:val="0"/>
          <w:bCs w:val="0"/>
          <w:color w:val="auto"/>
          <w:sz w:val="32"/>
          <w:szCs w:val="32"/>
          <w:lang w:val="en-US" w:eastAsia="zh-CN"/>
        </w:rPr>
        <w:t>推进普通高中育人方式改革，扎实做好普通高中新课程、新教材、新高考改革，有序推进选课走班，深化课堂教学改革，优化教学管理。持续推进普通高中教育普及攻坚工程，开展新一轮普通高中学校布局调整，重点改善县中基本办学条件，实施县中标准化建设。推进县中集团化办学，通过举办分校、委托管理、多校联盟等方式，提高整体办学水平。</w:t>
      </w:r>
      <w:r>
        <w:rPr>
          <w:rFonts w:hint="default" w:ascii="Times New Roman" w:hAnsi="Times New Roman" w:eastAsia="仿宋_GB2312" w:cs="Times New Roman"/>
          <w:color w:val="auto"/>
          <w:sz w:val="32"/>
          <w:szCs w:val="32"/>
        </w:rPr>
        <w:t>加强县中校长教师培训，</w:t>
      </w:r>
      <w:r>
        <w:rPr>
          <w:rFonts w:hint="default" w:ascii="Times New Roman" w:hAnsi="Times New Roman" w:eastAsia="仿宋_GB2312" w:cs="Times New Roman"/>
          <w:b w:val="0"/>
          <w:bCs w:val="0"/>
          <w:color w:val="auto"/>
          <w:sz w:val="32"/>
          <w:szCs w:val="32"/>
          <w:lang w:val="en-US" w:eastAsia="zh-CN"/>
        </w:rPr>
        <w:t>完善教师补充激励、培养培训和人才引进机制。到2025年，所有普通高中均能适应新高考改革要求。</w:t>
      </w:r>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保障特殊群体受教育权利。</w:t>
      </w:r>
      <w:r>
        <w:rPr>
          <w:rFonts w:hint="default" w:ascii="Times New Roman" w:hAnsi="Times New Roman" w:eastAsia="仿宋_GB2312" w:cs="Times New Roman"/>
          <w:b w:val="0"/>
          <w:bCs w:val="0"/>
          <w:color w:val="auto"/>
          <w:sz w:val="32"/>
          <w:szCs w:val="32"/>
          <w:lang w:val="en-US" w:eastAsia="zh-CN"/>
        </w:rPr>
        <w:t>全面普及残疾儿童少年义务教育，持续开展送教上门服务，加快推动特殊教育向学前教育和以职业教育为重点的高中阶段教育“两头延伸”。改善特教学校办学条件，提高特教教师专业能力，增加特殊教育师资配备，推动绩效工资分配向特殊教育教师倾斜。保障农村留守儿童、进城务工人员随迁子女平等接受义务教育权利，落实好军人公安英烈子女教育优待政策。到2025年，全市适龄残疾儿童少年义务教育普及率达到95%。</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rPr>
          <w:rFonts w:hint="default" w:ascii="Times New Roman" w:hAnsi="Times New Roman" w:eastAsia="楷体_GB2312" w:cs="Times New Roman"/>
          <w:b/>
          <w:bCs/>
          <w:color w:val="auto"/>
          <w:sz w:val="32"/>
          <w:szCs w:val="32"/>
          <w:lang w:val="en-US" w:eastAsia="zh-CN"/>
        </w:rPr>
      </w:pPr>
      <w:bookmarkStart w:id="82" w:name="_Toc12393"/>
      <w:bookmarkStart w:id="83" w:name="_Toc444"/>
      <w:bookmarkStart w:id="84" w:name="_Toc225"/>
      <w:bookmarkStart w:id="85" w:name="_Toc15464"/>
      <w:bookmarkStart w:id="86" w:name="_Toc87883521"/>
      <w:bookmarkStart w:id="87" w:name="_Toc28692"/>
      <w:r>
        <w:rPr>
          <w:rFonts w:hint="default" w:ascii="Times New Roman" w:hAnsi="Times New Roman" w:eastAsia="楷体_GB2312" w:cs="Times New Roman"/>
          <w:b/>
          <w:bCs/>
          <w:color w:val="auto"/>
          <w:sz w:val="32"/>
          <w:szCs w:val="32"/>
          <w:lang w:val="en-US" w:eastAsia="zh-CN"/>
        </w:rPr>
        <w:t>第二节</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lang w:val="en-US" w:eastAsia="zh-CN"/>
        </w:rPr>
        <w:t>学有优教</w:t>
      </w:r>
      <w:bookmarkEnd w:id="82"/>
      <w:bookmarkEnd w:id="83"/>
      <w:bookmarkEnd w:id="84"/>
      <w:bookmarkEnd w:id="85"/>
      <w:bookmarkEnd w:id="86"/>
      <w:bookmarkEnd w:id="87"/>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sz w:val="32"/>
          <w:szCs w:val="32"/>
          <w:lang w:val="en-US" w:eastAsia="zh-CN"/>
        </w:rPr>
        <w:t>推进职业教育提质发展。</w:t>
      </w:r>
      <w:r>
        <w:rPr>
          <w:rFonts w:hint="default" w:ascii="Times New Roman" w:hAnsi="Times New Roman" w:eastAsia="仿宋_GB2312" w:cs="Times New Roman"/>
          <w:b w:val="0"/>
          <w:bCs w:val="0"/>
          <w:color w:val="auto"/>
          <w:sz w:val="32"/>
          <w:szCs w:val="32"/>
          <w:lang w:val="en-US" w:eastAsia="zh-CN"/>
        </w:rPr>
        <w:t>实施现代职业教育质量提升计划，新改建一批中等职业学校，增加职业教育学位资源供给。实施中职学校“A”“B”类示范校达标建设，推动全市中等职业学校办学条件全面达标。深化产教融合、校企合作，发展壮大大别山职教集团，形成行业企业协同育人的高素质技术技能型人才培养格局。全面深化教育教学改革，推行现代学徒制和企业新型学徒制，提升职业教育办学质量和毕业生就业水平。加强“双师型”教师队伍建设，推动企业技术技能人才和职业院校教师双向流动。</w:t>
      </w:r>
      <w:r>
        <w:rPr>
          <w:rFonts w:hint="default" w:ascii="Times New Roman" w:hAnsi="Times New Roman" w:eastAsia="仿宋_GB2312" w:cs="Times New Roman"/>
          <w:b w:val="0"/>
          <w:bCs w:val="0"/>
          <w:color w:val="auto"/>
          <w:sz w:val="32"/>
          <w:szCs w:val="32"/>
          <w:highlight w:val="none"/>
          <w:lang w:val="en-US" w:eastAsia="zh-CN"/>
        </w:rPr>
        <w:t>支持金安区打造全市职业教育基地。</w:t>
      </w:r>
      <w:r>
        <w:rPr>
          <w:rFonts w:hint="default" w:ascii="Times New Roman" w:hAnsi="Times New Roman" w:eastAsia="仿宋_GB2312" w:cs="Times New Roman"/>
          <w:b w:val="0"/>
          <w:bCs w:val="0"/>
          <w:color w:val="auto"/>
          <w:sz w:val="32"/>
          <w:szCs w:val="32"/>
          <w:lang w:val="en-US" w:eastAsia="zh-CN"/>
        </w:rPr>
        <w:t>到2025年，各县（区）至少有一所有质量的中等职业学校。</w:t>
      </w:r>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sz w:val="32"/>
          <w:szCs w:val="32"/>
          <w:lang w:val="en-US" w:eastAsia="zh-CN"/>
        </w:rPr>
        <w:t>构建全民终身学习体系。</w:t>
      </w:r>
      <w:r>
        <w:rPr>
          <w:rFonts w:hint="default" w:ascii="Times New Roman" w:hAnsi="Times New Roman" w:eastAsia="仿宋_GB2312" w:cs="Times New Roman"/>
          <w:b w:val="0"/>
          <w:bCs w:val="0"/>
          <w:color w:val="auto"/>
          <w:sz w:val="32"/>
          <w:szCs w:val="32"/>
          <w:lang w:val="en-US" w:eastAsia="zh-CN"/>
        </w:rPr>
        <w:t>完善以学校继续教育机构、老年教育机构、社区教育中心、乡镇成人文化培训学校等学习型组织为主体覆盖城乡的继续教育网络。</w:t>
      </w:r>
      <w:r>
        <w:rPr>
          <w:rFonts w:hint="default" w:ascii="Times New Roman" w:hAnsi="Times New Roman" w:eastAsia="仿宋_GB2312" w:cs="Times New Roman"/>
          <w:b w:val="0"/>
          <w:bCs w:val="0"/>
          <w:color w:val="auto"/>
          <w:sz w:val="32"/>
          <w:szCs w:val="32"/>
          <w:highlight w:val="none"/>
          <w:lang w:val="en-US" w:eastAsia="zh-CN"/>
        </w:rPr>
        <w:t>健全三级社区教育网络，大力推进社区教育办学网络和各类学习型组织建设。扩大城乡老年教育资源供给，</w:t>
      </w:r>
      <w:r>
        <w:rPr>
          <w:rFonts w:hint="default" w:ascii="Times New Roman" w:hAnsi="Times New Roman" w:eastAsia="仿宋_GB2312" w:cs="Times New Roman"/>
          <w:i w:val="0"/>
          <w:iCs w:val="0"/>
          <w:caps w:val="0"/>
          <w:color w:val="auto"/>
          <w:spacing w:val="0"/>
          <w:sz w:val="32"/>
          <w:szCs w:val="32"/>
          <w:highlight w:val="none"/>
        </w:rPr>
        <w:t>加强城乡老年学校场所、设施、队伍建设，</w:t>
      </w:r>
      <w:r>
        <w:rPr>
          <w:rFonts w:hint="default" w:ascii="Times New Roman" w:hAnsi="Times New Roman" w:eastAsia="仿宋_GB2312" w:cs="Times New Roman"/>
          <w:color w:val="auto"/>
          <w:sz w:val="32"/>
          <w:szCs w:val="32"/>
          <w:highlight w:val="none"/>
          <w:lang w:val="en-US" w:eastAsia="zh-CN"/>
        </w:rPr>
        <w:t>提质</w:t>
      </w:r>
      <w:r>
        <w:rPr>
          <w:rFonts w:hint="default" w:ascii="Times New Roman" w:hAnsi="Times New Roman" w:eastAsia="仿宋_GB2312" w:cs="Times New Roman"/>
          <w:i w:val="0"/>
          <w:iCs w:val="0"/>
          <w:caps w:val="0"/>
          <w:color w:val="auto"/>
          <w:spacing w:val="0"/>
          <w:sz w:val="32"/>
          <w:szCs w:val="32"/>
          <w:highlight w:val="none"/>
          <w:lang w:val="en-US" w:eastAsia="zh-CN"/>
        </w:rPr>
        <w:t>发展</w:t>
      </w:r>
      <w:r>
        <w:rPr>
          <w:rFonts w:hint="default" w:ascii="Times New Roman" w:hAnsi="Times New Roman" w:eastAsia="仿宋_GB2312" w:cs="Times New Roman"/>
          <w:color w:val="auto"/>
          <w:sz w:val="32"/>
          <w:szCs w:val="32"/>
          <w:highlight w:val="none"/>
          <w:lang w:val="en-US" w:eastAsia="zh-CN"/>
        </w:rPr>
        <w:t>六安老年大学，提升老年教育品质</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color w:val="auto"/>
          <w:sz w:val="32"/>
          <w:szCs w:val="32"/>
        </w:rPr>
        <w:t>促进各级各类教育之间沟通衔接，实现学习成果的认定、积累和转换</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sz w:val="32"/>
          <w:szCs w:val="32"/>
          <w:lang w:val="en-US" w:eastAsia="zh-CN"/>
        </w:rPr>
        <w:t>提高教育信息化水平。</w:t>
      </w:r>
      <w:r>
        <w:rPr>
          <w:rFonts w:hint="default" w:ascii="Times New Roman" w:hAnsi="Times New Roman" w:eastAsia="仿宋_GB2312" w:cs="Times New Roman"/>
          <w:b w:val="0"/>
          <w:bCs w:val="0"/>
          <w:color w:val="auto"/>
          <w:sz w:val="32"/>
          <w:szCs w:val="32"/>
          <w:lang w:val="en-US" w:eastAsia="zh-CN"/>
        </w:rPr>
        <w:t>免费为农村和边远贫困地区学校提供信息化学习资源，逐步实现智慧学校全覆盖。推动信息技术与教学深入融合</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lang w:val="en-US" w:eastAsia="zh-CN"/>
        </w:rPr>
        <w:t>以国家、省、市教育云平台为依托，建设“教育＋互联网”平台，鼓励全市名校、名师通过在线教育平台提供优质资源和个性化服务，支持学校和企业共同开发在线学习教育平台。推动信息技术在教师教学、学生学习、实践全过程评价分析、学生综合素质评价中的运用。</w:t>
      </w:r>
    </w:p>
    <w:p>
      <w:pPr>
        <w:pStyle w:val="6"/>
        <w:rPr>
          <w:rFonts w:hint="default" w:ascii="Times New Roman" w:hAnsi="Times New Roman" w:eastAsia="黑体" w:cs="Times New Roman"/>
          <w:color w:val="auto"/>
          <w:lang w:val="en-US" w:eastAsia="zh-CN"/>
        </w:rPr>
      </w:pPr>
      <w:r>
        <w:rPr>
          <w:rFonts w:hint="default" w:ascii="Times New Roman" w:hAnsi="Times New Roman" w:cs="Times New Roman"/>
          <w:color w:val="auto"/>
        </w:rPr>
        <w:t xml:space="preserve">专栏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SEQ 专栏 \* ARABIC </w:instrText>
      </w:r>
      <w:r>
        <w:rPr>
          <w:rFonts w:hint="default" w:ascii="Times New Roman" w:hAnsi="Times New Roman" w:cs="Times New Roman"/>
          <w:color w:val="auto"/>
        </w:rPr>
        <w:fldChar w:fldCharType="separate"/>
      </w:r>
      <w:r>
        <w:rPr>
          <w:rFonts w:hint="default" w:ascii="Times New Roman" w:hAnsi="Times New Roman" w:cs="Times New Roman"/>
          <w:color w:val="auto"/>
        </w:rPr>
        <w:t>4</w:t>
      </w:r>
      <w:r>
        <w:rPr>
          <w:rFonts w:hint="default" w:ascii="Times New Roman" w:hAnsi="Times New Roman" w:cs="Times New Roman"/>
          <w:color w:val="auto"/>
        </w:rPr>
        <w:fldChar w:fldCharType="end"/>
      </w:r>
      <w:bookmarkStart w:id="88" w:name="_Toc31903"/>
      <w:r>
        <w:rPr>
          <w:rFonts w:hint="default" w:ascii="Times New Roman" w:hAnsi="Times New Roman" w:cs="Times New Roman"/>
          <w:color w:val="auto"/>
          <w:lang w:val="en-US" w:eastAsia="zh-CN"/>
        </w:rPr>
        <w:t xml:space="preserve"> </w:t>
      </w:r>
      <w:bookmarkStart w:id="89" w:name="_Toc7041"/>
      <w:bookmarkStart w:id="90" w:name="_Toc30783"/>
      <w:bookmarkStart w:id="91" w:name="_Toc3523"/>
      <w:bookmarkStart w:id="92" w:name="_Toc23991"/>
      <w:r>
        <w:rPr>
          <w:rFonts w:hint="default" w:ascii="Times New Roman" w:hAnsi="Times New Roman" w:cs="Times New Roman"/>
          <w:color w:val="auto"/>
          <w:lang w:val="en-US" w:eastAsia="zh-CN"/>
        </w:rPr>
        <w:t>现代教育发展重点</w:t>
      </w:r>
      <w:bookmarkEnd w:id="89"/>
      <w:bookmarkEnd w:id="90"/>
      <w:bookmarkEnd w:id="91"/>
      <w:bookmarkEnd w:id="92"/>
      <w:r>
        <w:rPr>
          <w:rFonts w:hint="default" w:ascii="Times New Roman" w:hAnsi="Times New Roman" w:cs="Times New Roman"/>
          <w:color w:val="auto"/>
          <w:lang w:val="en-US" w:eastAsia="zh-CN"/>
        </w:rPr>
        <w:t>工程</w:t>
      </w:r>
      <w:bookmarkEnd w:id="88"/>
    </w:p>
    <w:tbl>
      <w:tblPr>
        <w:tblStyle w:val="17"/>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5" w:hRule="atLeast"/>
          <w:jc w:val="center"/>
        </w:trPr>
        <w:tc>
          <w:tcPr>
            <w:tcW w:w="852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50" w:after="50" w:line="400" w:lineRule="exact"/>
              <w:ind w:firstLine="482"/>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楷体_GB2312" w:cs="Times New Roman"/>
                <w:b/>
                <w:bCs/>
                <w:color w:val="auto"/>
                <w:kern w:val="0"/>
                <w:sz w:val="24"/>
                <w:szCs w:val="24"/>
                <w:lang w:val="en-US" w:eastAsia="zh-CN" w:bidi="ar"/>
              </w:rPr>
              <w:t>1.学前教育。</w:t>
            </w:r>
            <w:r>
              <w:rPr>
                <w:rFonts w:hint="default" w:ascii="Times New Roman" w:hAnsi="Times New Roman" w:eastAsia="仿宋_GB2312" w:cs="Times New Roman"/>
                <w:color w:val="auto"/>
                <w:kern w:val="0"/>
                <w:sz w:val="24"/>
                <w:szCs w:val="24"/>
                <w:lang w:bidi="ar"/>
              </w:rPr>
              <w:t>城市市区、县城城区每3万常住人口至少建设1所公办幼儿园，每个乡镇至少办好1所公办中心幼儿园。到2025年，新建公办园102所，改扩建（续）公办园44所，</w:t>
            </w:r>
            <w:r>
              <w:rPr>
                <w:rFonts w:hint="default" w:ascii="Times New Roman" w:hAnsi="Times New Roman" w:eastAsia="仿宋_GB2312" w:cs="Times New Roman"/>
                <w:color w:val="auto"/>
                <w:kern w:val="0"/>
                <w:sz w:val="24"/>
                <w:szCs w:val="24"/>
                <w:lang w:val="en-US" w:eastAsia="zh-CN" w:bidi="ar"/>
              </w:rPr>
              <w:t>实现</w:t>
            </w:r>
            <w:r>
              <w:rPr>
                <w:rFonts w:hint="default" w:ascii="Times New Roman" w:hAnsi="Times New Roman" w:eastAsia="仿宋_GB2312" w:cs="Times New Roman"/>
                <w:color w:val="auto"/>
                <w:kern w:val="0"/>
                <w:sz w:val="24"/>
                <w:szCs w:val="24"/>
                <w:lang w:bidi="ar"/>
              </w:rPr>
              <w:t>普惠</w:t>
            </w:r>
            <w:r>
              <w:rPr>
                <w:rFonts w:hint="default" w:ascii="Times New Roman" w:hAnsi="Times New Roman" w:eastAsia="仿宋_GB2312" w:cs="Times New Roman"/>
                <w:color w:val="auto"/>
                <w:kern w:val="0"/>
                <w:sz w:val="24"/>
                <w:szCs w:val="24"/>
                <w:lang w:val="en-US" w:eastAsia="zh-CN" w:bidi="ar"/>
              </w:rPr>
              <w:t>性幼儿园覆盖</w:t>
            </w:r>
            <w:r>
              <w:rPr>
                <w:rFonts w:hint="default" w:ascii="Times New Roman" w:hAnsi="Times New Roman" w:eastAsia="仿宋_GB2312" w:cs="Times New Roman"/>
                <w:color w:val="auto"/>
                <w:kern w:val="0"/>
                <w:sz w:val="24"/>
                <w:szCs w:val="24"/>
                <w:lang w:bidi="ar"/>
              </w:rPr>
              <w:t>率达85%，公办园在园幼儿占比达52%。</w:t>
            </w:r>
          </w:p>
          <w:p>
            <w:pPr>
              <w:keepNext w:val="0"/>
              <w:keepLines w:val="0"/>
              <w:pageBreakBefore w:val="0"/>
              <w:widowControl/>
              <w:kinsoku/>
              <w:wordWrap/>
              <w:overflowPunct/>
              <w:topLinePunct w:val="0"/>
              <w:autoSpaceDE/>
              <w:autoSpaceDN/>
              <w:bidi w:val="0"/>
              <w:adjustRightInd/>
              <w:snapToGrid/>
              <w:spacing w:before="50" w:after="50" w:line="400" w:lineRule="exact"/>
              <w:ind w:firstLine="482"/>
              <w:jc w:val="left"/>
              <w:textAlignment w:val="auto"/>
              <w:rPr>
                <w:rFonts w:hint="default" w:ascii="Times New Roman" w:hAnsi="Times New Roman" w:eastAsia="仿宋_GB2312" w:cs="Times New Roman"/>
                <w:color w:val="auto"/>
                <w:kern w:val="0"/>
                <w:sz w:val="24"/>
                <w:szCs w:val="24"/>
                <w:lang w:bidi="ar"/>
              </w:rPr>
            </w:pPr>
            <w:r>
              <w:rPr>
                <w:rFonts w:hint="default" w:ascii="Times New Roman" w:hAnsi="Times New Roman" w:eastAsia="楷体_GB2312" w:cs="Times New Roman"/>
                <w:b/>
                <w:bCs/>
                <w:color w:val="auto"/>
                <w:kern w:val="0"/>
                <w:sz w:val="24"/>
                <w:szCs w:val="24"/>
                <w:lang w:val="en-US" w:eastAsia="zh-CN" w:bidi="ar"/>
              </w:rPr>
              <w:t>2.义务教育。</w:t>
            </w:r>
            <w:r>
              <w:rPr>
                <w:rFonts w:hint="default" w:ascii="Times New Roman" w:hAnsi="Times New Roman" w:eastAsia="仿宋_GB2312" w:cs="Times New Roman"/>
                <w:color w:val="auto"/>
                <w:kern w:val="0"/>
                <w:sz w:val="24"/>
                <w:szCs w:val="24"/>
                <w:highlight w:val="none"/>
                <w:lang w:bidi="ar"/>
              </w:rPr>
              <w:t>调减</w:t>
            </w:r>
            <w:r>
              <w:rPr>
                <w:rFonts w:hint="default" w:ascii="Times New Roman" w:hAnsi="Times New Roman" w:eastAsia="仿宋_GB2312" w:cs="Times New Roman"/>
                <w:color w:val="auto"/>
                <w:kern w:val="0"/>
                <w:sz w:val="24"/>
                <w:szCs w:val="24"/>
                <w:lang w:bidi="ar"/>
              </w:rPr>
              <w:t>义务教育小规模学校（教学点）200个以上，新建改扩建义务教育学校162所。到2025年，实现全市229所乡镇寄宿制学校寄宿条件全面改善全面达标，管理水平全面提升。</w:t>
            </w:r>
          </w:p>
          <w:p>
            <w:pPr>
              <w:keepNext w:val="0"/>
              <w:keepLines w:val="0"/>
              <w:pageBreakBefore w:val="0"/>
              <w:widowControl/>
              <w:kinsoku/>
              <w:wordWrap/>
              <w:overflowPunct/>
              <w:topLinePunct w:val="0"/>
              <w:autoSpaceDE/>
              <w:autoSpaceDN/>
              <w:bidi w:val="0"/>
              <w:adjustRightInd/>
              <w:snapToGrid/>
              <w:spacing w:before="50" w:after="50" w:line="400" w:lineRule="exact"/>
              <w:ind w:firstLine="482"/>
              <w:jc w:val="left"/>
              <w:textAlignment w:val="auto"/>
              <w:rPr>
                <w:rFonts w:hint="default" w:ascii="Times New Roman" w:hAnsi="Times New Roman" w:eastAsia="仿宋_GB2312" w:cs="Times New Roman"/>
                <w:color w:val="auto"/>
                <w:kern w:val="0"/>
                <w:sz w:val="24"/>
                <w:szCs w:val="24"/>
                <w:lang w:bidi="ar"/>
              </w:rPr>
            </w:pPr>
            <w:r>
              <w:rPr>
                <w:rFonts w:hint="default" w:ascii="Times New Roman" w:hAnsi="Times New Roman" w:eastAsia="楷体_GB2312" w:cs="Times New Roman"/>
                <w:b/>
                <w:bCs/>
                <w:color w:val="auto"/>
                <w:kern w:val="0"/>
                <w:sz w:val="24"/>
                <w:szCs w:val="24"/>
                <w:lang w:val="en-US" w:eastAsia="zh-CN" w:bidi="ar"/>
              </w:rPr>
              <w:t>3.普通高中。</w:t>
            </w:r>
            <w:r>
              <w:rPr>
                <w:rFonts w:hint="default" w:ascii="Times New Roman" w:hAnsi="Times New Roman" w:eastAsia="仿宋_GB2312" w:cs="Times New Roman"/>
                <w:color w:val="auto"/>
                <w:kern w:val="0"/>
                <w:sz w:val="24"/>
                <w:szCs w:val="24"/>
                <w:lang w:bidi="ar"/>
              </w:rPr>
              <w:t>撤并农村普通高中2</w:t>
            </w:r>
            <w:r>
              <w:rPr>
                <w:rFonts w:hint="default"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bidi="ar"/>
              </w:rPr>
              <w:t>3所，谋划六安二中扩建、霍邱二中迁建、舒城一中迁建等项目</w:t>
            </w:r>
            <w:r>
              <w:rPr>
                <w:rFonts w:hint="default" w:ascii="Times New Roman" w:hAnsi="Times New Roman" w:eastAsia="仿宋_GB2312" w:cs="Times New Roman"/>
                <w:color w:val="auto"/>
                <w:kern w:val="0"/>
                <w:sz w:val="24"/>
                <w:szCs w:val="24"/>
                <w:lang w:eastAsia="zh-CN" w:bidi="ar"/>
              </w:rPr>
              <w:t>。</w:t>
            </w:r>
          </w:p>
          <w:p>
            <w:pPr>
              <w:keepNext w:val="0"/>
              <w:keepLines w:val="0"/>
              <w:pageBreakBefore w:val="0"/>
              <w:widowControl/>
              <w:kinsoku/>
              <w:wordWrap/>
              <w:overflowPunct/>
              <w:topLinePunct w:val="0"/>
              <w:autoSpaceDE/>
              <w:autoSpaceDN/>
              <w:bidi w:val="0"/>
              <w:adjustRightInd/>
              <w:snapToGrid/>
              <w:spacing w:before="50" w:after="50" w:line="400" w:lineRule="exact"/>
              <w:ind w:firstLine="482"/>
              <w:jc w:val="left"/>
              <w:textAlignment w:val="auto"/>
              <w:rPr>
                <w:rFonts w:hint="default" w:ascii="Times New Roman" w:hAnsi="Times New Roman" w:eastAsia="仿宋_GB2312" w:cs="Times New Roman"/>
                <w:color w:val="auto"/>
                <w:kern w:val="0"/>
                <w:sz w:val="24"/>
                <w:szCs w:val="24"/>
                <w:lang w:bidi="ar"/>
              </w:rPr>
            </w:pPr>
            <w:r>
              <w:rPr>
                <w:rFonts w:hint="default" w:ascii="Times New Roman" w:hAnsi="Times New Roman" w:eastAsia="楷体_GB2312" w:cs="Times New Roman"/>
                <w:b/>
                <w:bCs/>
                <w:color w:val="auto"/>
                <w:kern w:val="0"/>
                <w:sz w:val="24"/>
                <w:szCs w:val="24"/>
                <w:lang w:val="en-US" w:eastAsia="zh-CN" w:bidi="ar"/>
              </w:rPr>
              <w:t>4.特殊教育。</w:t>
            </w:r>
            <w:r>
              <w:rPr>
                <w:rFonts w:hint="default" w:ascii="Times New Roman" w:hAnsi="Times New Roman" w:eastAsia="仿宋_GB2312" w:cs="Times New Roman"/>
                <w:color w:val="auto"/>
                <w:kern w:val="0"/>
                <w:sz w:val="24"/>
                <w:szCs w:val="24"/>
                <w:lang w:bidi="ar"/>
              </w:rPr>
              <w:t>推进六安特殊教育学校二期、金寨特殊教育学校迁建和叶集特殊教育学校项目建设。</w:t>
            </w:r>
          </w:p>
          <w:p>
            <w:pPr>
              <w:keepNext w:val="0"/>
              <w:keepLines w:val="0"/>
              <w:pageBreakBefore w:val="0"/>
              <w:kinsoku/>
              <w:wordWrap/>
              <w:overflowPunct/>
              <w:topLinePunct w:val="0"/>
              <w:autoSpaceDE/>
              <w:autoSpaceDN/>
              <w:bidi w:val="0"/>
              <w:adjustRightInd/>
              <w:snapToGrid/>
              <w:spacing w:line="400" w:lineRule="exact"/>
              <w:ind w:firstLine="482"/>
              <w:textAlignment w:val="auto"/>
              <w:rPr>
                <w:rFonts w:hint="default" w:ascii="Times New Roman" w:hAnsi="Times New Roman" w:eastAsia="仿宋_GB2312" w:cs="Times New Roman"/>
                <w:color w:val="auto"/>
                <w:kern w:val="0"/>
                <w:sz w:val="24"/>
                <w:szCs w:val="24"/>
                <w:lang w:bidi="ar"/>
              </w:rPr>
            </w:pPr>
            <w:r>
              <w:rPr>
                <w:rFonts w:hint="default" w:ascii="Times New Roman" w:hAnsi="Times New Roman" w:eastAsia="楷体_GB2312" w:cs="Times New Roman"/>
                <w:b/>
                <w:bCs/>
                <w:color w:val="auto"/>
                <w:kern w:val="0"/>
                <w:sz w:val="24"/>
                <w:szCs w:val="24"/>
                <w:lang w:eastAsia="zh-CN" w:bidi="ar"/>
              </w:rPr>
              <w:t>5.职业教育。</w:t>
            </w:r>
            <w:r>
              <w:rPr>
                <w:rFonts w:hint="default" w:ascii="Times New Roman" w:hAnsi="Times New Roman" w:eastAsia="仿宋_GB2312" w:cs="Times New Roman"/>
                <w:color w:val="auto"/>
                <w:kern w:val="0"/>
                <w:sz w:val="24"/>
                <w:szCs w:val="24"/>
                <w:lang w:bidi="ar"/>
              </w:rPr>
              <w:t>推动六安市职业学校、六安技师学院产教融合综合型市级示范实训基地、裕安职业学校、叶集职业学校新建项目</w:t>
            </w:r>
            <w:r>
              <w:rPr>
                <w:rFonts w:hint="default" w:ascii="Times New Roman" w:hAnsi="Times New Roman" w:eastAsia="仿宋_GB2312" w:cs="Times New Roman"/>
                <w:color w:val="auto"/>
                <w:kern w:val="0"/>
                <w:sz w:val="24"/>
                <w:szCs w:val="24"/>
                <w:lang w:val="en-US" w:eastAsia="zh-CN" w:bidi="ar"/>
              </w:rPr>
              <w:t>建设</w:t>
            </w:r>
            <w:r>
              <w:rPr>
                <w:rFonts w:hint="default" w:ascii="Times New Roman" w:hAnsi="Times New Roman" w:eastAsia="仿宋_GB2312" w:cs="Times New Roman"/>
                <w:color w:val="auto"/>
                <w:kern w:val="0"/>
                <w:sz w:val="24"/>
                <w:szCs w:val="24"/>
                <w:lang w:bidi="ar"/>
              </w:rPr>
              <w:t>，实施好金安职业学校、金寨职业学校、霍山职业学校、舒城职业学校、霍邱工业学校、霍邱师范学校、皖西经济技术学校改造提升项目，推动</w:t>
            </w:r>
            <w:r>
              <w:rPr>
                <w:rFonts w:hint="default" w:ascii="Times New Roman" w:hAnsi="Times New Roman" w:eastAsia="仿宋_GB2312" w:cs="Times New Roman"/>
                <w:color w:val="auto"/>
                <w:kern w:val="0"/>
                <w:sz w:val="24"/>
                <w:szCs w:val="24"/>
                <w:highlight w:val="none"/>
                <w:lang w:bidi="ar"/>
              </w:rPr>
              <w:t>金寨职业学校与六安职业技术学院合办</w:t>
            </w:r>
            <w:r>
              <w:rPr>
                <w:rFonts w:hint="default" w:ascii="Times New Roman" w:hAnsi="Times New Roman" w:eastAsia="仿宋_GB2312" w:cs="Times New Roman"/>
                <w:color w:val="auto"/>
                <w:kern w:val="0"/>
                <w:sz w:val="24"/>
                <w:szCs w:val="24"/>
                <w:highlight w:val="none"/>
                <w:lang w:val="en-US" w:eastAsia="zh-CN" w:bidi="ar"/>
              </w:rPr>
              <w:t>并</w:t>
            </w:r>
            <w:r>
              <w:rPr>
                <w:rFonts w:hint="default" w:ascii="Times New Roman" w:hAnsi="Times New Roman" w:eastAsia="仿宋_GB2312" w:cs="Times New Roman"/>
                <w:color w:val="auto"/>
                <w:kern w:val="0"/>
                <w:sz w:val="24"/>
                <w:szCs w:val="24"/>
                <w:highlight w:val="none"/>
                <w:lang w:bidi="ar"/>
              </w:rPr>
              <w:t>创建成高职院校。</w:t>
            </w:r>
          </w:p>
          <w:p>
            <w:pPr>
              <w:keepNext w:val="0"/>
              <w:keepLines w:val="0"/>
              <w:pageBreakBefore w:val="0"/>
              <w:kinsoku/>
              <w:wordWrap/>
              <w:overflowPunct/>
              <w:topLinePunct w:val="0"/>
              <w:autoSpaceDE/>
              <w:autoSpaceDN/>
              <w:bidi w:val="0"/>
              <w:adjustRightInd/>
              <w:snapToGrid/>
              <w:spacing w:line="400" w:lineRule="exact"/>
              <w:ind w:firstLine="482"/>
              <w:textAlignment w:val="auto"/>
              <w:rPr>
                <w:rFonts w:hint="default" w:ascii="Times New Roman" w:hAnsi="Times New Roman" w:eastAsia="仿宋_GB2312" w:cs="Times New Roman"/>
                <w:color w:val="auto"/>
                <w:kern w:val="0"/>
                <w:sz w:val="24"/>
                <w:szCs w:val="24"/>
                <w:lang w:bidi="ar"/>
              </w:rPr>
            </w:pPr>
            <w:r>
              <w:rPr>
                <w:rFonts w:hint="default" w:ascii="Times New Roman" w:hAnsi="Times New Roman" w:eastAsia="楷体_GB2312" w:cs="Times New Roman"/>
                <w:b/>
                <w:bCs/>
                <w:color w:val="auto"/>
                <w:kern w:val="0"/>
                <w:sz w:val="24"/>
                <w:szCs w:val="24"/>
                <w:lang w:eastAsia="zh-CN" w:bidi="ar"/>
              </w:rPr>
              <w:t>6.教师队伍。</w:t>
            </w:r>
            <w:r>
              <w:rPr>
                <w:rFonts w:hint="default" w:ascii="Times New Roman" w:hAnsi="Times New Roman" w:eastAsia="仿宋_GB2312" w:cs="Times New Roman"/>
                <w:color w:val="auto"/>
                <w:kern w:val="0"/>
                <w:sz w:val="24"/>
                <w:szCs w:val="24"/>
                <w:lang w:bidi="ar"/>
              </w:rPr>
              <w:t>实施乡村中小学首席教师岗位计划、定向培养乡村教师计划</w:t>
            </w:r>
            <w:r>
              <w:rPr>
                <w:rFonts w:hint="default" w:ascii="Times New Roman" w:hAnsi="Times New Roman" w:eastAsia="仿宋_GB2312" w:cs="Times New Roman"/>
                <w:color w:val="auto"/>
                <w:kern w:val="0"/>
                <w:sz w:val="24"/>
                <w:szCs w:val="24"/>
                <w:lang w:eastAsia="zh-CN" w:bidi="ar"/>
              </w:rPr>
              <w:t>、</w:t>
            </w:r>
            <w:r>
              <w:rPr>
                <w:rFonts w:hint="default" w:ascii="Times New Roman" w:hAnsi="Times New Roman" w:eastAsia="仿宋_GB2312" w:cs="Times New Roman"/>
                <w:color w:val="auto"/>
                <w:kern w:val="0"/>
                <w:sz w:val="24"/>
                <w:szCs w:val="24"/>
                <w:lang w:bidi="ar"/>
              </w:rPr>
              <w:t>“特岗计划”、</w:t>
            </w:r>
            <w:r>
              <w:rPr>
                <w:rFonts w:hint="eastAsia" w:ascii="Times New Roman" w:hAnsi="Times New Roman" w:eastAsia="仿宋_GB2312" w:cs="Times New Roman"/>
                <w:color w:val="auto"/>
                <w:kern w:val="0"/>
                <w:sz w:val="24"/>
                <w:szCs w:val="24"/>
                <w:lang w:val="en-US" w:eastAsia="zh-CN" w:bidi="ar"/>
              </w:rPr>
              <w:t>优师计划</w:t>
            </w:r>
            <w:r>
              <w:rPr>
                <w:rFonts w:hint="default" w:ascii="Times New Roman" w:hAnsi="Times New Roman" w:eastAsia="仿宋_GB2312" w:cs="Times New Roman"/>
                <w:color w:val="auto"/>
                <w:kern w:val="0"/>
                <w:sz w:val="24"/>
                <w:szCs w:val="24"/>
                <w:lang w:bidi="ar"/>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仿宋_GB2312" w:cs="Times New Roman"/>
                <w:color w:val="auto"/>
                <w:kern w:val="0"/>
                <w:sz w:val="24"/>
                <w:szCs w:val="24"/>
                <w:highlight w:val="none"/>
                <w:shd w:val="clear" w:fill="FFFFFF"/>
                <w:lang w:val="en-US" w:eastAsia="zh-CN" w:bidi="ar"/>
              </w:rPr>
            </w:pPr>
            <w:r>
              <w:rPr>
                <w:rFonts w:hint="default" w:ascii="Times New Roman" w:hAnsi="Times New Roman" w:eastAsia="楷体_GB2312" w:cs="Times New Roman"/>
                <w:b/>
                <w:bCs/>
                <w:color w:val="auto"/>
                <w:kern w:val="0"/>
                <w:sz w:val="24"/>
                <w:szCs w:val="24"/>
                <w:lang w:eastAsia="zh-CN" w:bidi="ar"/>
              </w:rPr>
              <w:t>7</w:t>
            </w:r>
            <w:r>
              <w:rPr>
                <w:rFonts w:hint="default" w:ascii="Times New Roman" w:hAnsi="Times New Roman" w:eastAsia="楷体_GB2312" w:cs="Times New Roman"/>
                <w:b/>
                <w:bCs/>
                <w:color w:val="auto"/>
                <w:kern w:val="0"/>
                <w:sz w:val="24"/>
                <w:szCs w:val="24"/>
                <w:lang w:bidi="ar"/>
              </w:rPr>
              <w:t>.智慧学校。</w:t>
            </w:r>
            <w:r>
              <w:rPr>
                <w:rFonts w:hint="default" w:ascii="Times New Roman" w:hAnsi="Times New Roman" w:eastAsia="仿宋_GB2312" w:cs="Times New Roman"/>
                <w:color w:val="auto"/>
                <w:kern w:val="0"/>
                <w:sz w:val="24"/>
                <w:szCs w:val="24"/>
                <w:lang w:bidi="ar"/>
              </w:rPr>
              <w:t>推动已建成的124个乡村智慧校园和773所智慧学校与省、市、县教育资源平台的整合融合力度，实现与江淮大数据中心六安市子平台及城市大脑互联互通</w:t>
            </w:r>
            <w:r>
              <w:rPr>
                <w:rFonts w:hint="default" w:ascii="Times New Roman" w:hAnsi="Times New Roman" w:eastAsia="仿宋_GB2312" w:cs="Times New Roman"/>
                <w:b w:val="0"/>
                <w:bCs w:val="0"/>
                <w:color w:val="auto"/>
                <w:kern w:val="0"/>
                <w:sz w:val="24"/>
                <w:szCs w:val="24"/>
                <w:shd w:val="clear"/>
                <w:lang w:val="en-US" w:eastAsia="zh-CN" w:bidi="ar"/>
              </w:rPr>
              <w:t>源平台的整合。</w:t>
            </w:r>
          </w:p>
        </w:tc>
      </w:tr>
    </w:tbl>
    <w:p>
      <w:pPr>
        <w:pStyle w:val="3"/>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exact"/>
        <w:textAlignment w:val="auto"/>
        <w:rPr>
          <w:rFonts w:hint="default" w:ascii="Times New Roman" w:hAnsi="Times New Roman" w:cs="Times New Roman"/>
          <w:color w:val="auto"/>
          <w:lang w:val="en-US" w:eastAsia="zh-CN"/>
        </w:rPr>
        <w:sectPr>
          <w:pgSz w:w="11906" w:h="16838"/>
          <w:pgMar w:top="1440" w:right="1800" w:bottom="1440" w:left="1800" w:header="851" w:footer="992" w:gutter="0"/>
          <w:pgNumType w:fmt="decimal"/>
          <w:cols w:space="425" w:num="1"/>
          <w:docGrid w:type="lines" w:linePitch="312" w:charSpace="0"/>
        </w:sectPr>
      </w:pPr>
      <w:bookmarkStart w:id="93" w:name="_Toc87883522"/>
      <w:bookmarkStart w:id="94" w:name="_Toc17318"/>
    </w:p>
    <w:p>
      <w:pPr>
        <w:pStyle w:val="3"/>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exact"/>
        <w:textAlignment w:val="auto"/>
        <w:rPr>
          <w:rFonts w:hint="default" w:ascii="Times New Roman" w:hAnsi="Times New Roman" w:cs="Times New Roman"/>
          <w:color w:val="auto"/>
          <w:lang w:val="en-US" w:eastAsia="zh-CN"/>
        </w:rPr>
      </w:pPr>
      <w:bookmarkStart w:id="95" w:name="_Toc28086"/>
      <w:bookmarkStart w:id="96" w:name="_Toc4846"/>
      <w:bookmarkStart w:id="97" w:name="_Toc1293"/>
      <w:bookmarkStart w:id="98" w:name="_Toc9135"/>
      <w:r>
        <w:rPr>
          <w:rFonts w:hint="default" w:ascii="Times New Roman" w:hAnsi="Times New Roman" w:cs="Times New Roman"/>
          <w:color w:val="auto"/>
          <w:lang w:val="en-US" w:eastAsia="zh-CN"/>
        </w:rPr>
        <w:t>第五章  高效便捷的就业社保服务</w:t>
      </w:r>
      <w:bookmarkEnd w:id="93"/>
      <w:bookmarkEnd w:id="94"/>
      <w:bookmarkEnd w:id="95"/>
      <w:bookmarkEnd w:id="96"/>
      <w:bookmarkEnd w:id="97"/>
      <w:bookmarkEnd w:id="98"/>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坚持就业优先战略，着力健全就业促进机制，全面</w:t>
      </w:r>
      <w:r>
        <w:rPr>
          <w:rFonts w:hint="default" w:ascii="Times New Roman" w:hAnsi="Times New Roman" w:eastAsia="仿宋_GB2312" w:cs="Times New Roman"/>
          <w:color w:val="auto"/>
          <w:sz w:val="32"/>
          <w:szCs w:val="32"/>
          <w:lang w:val="en-US" w:eastAsia="zh-CN"/>
        </w:rPr>
        <w:t>推动</w:t>
      </w:r>
      <w:r>
        <w:rPr>
          <w:rFonts w:hint="default" w:ascii="Times New Roman" w:hAnsi="Times New Roman" w:eastAsia="仿宋_GB2312" w:cs="Times New Roman"/>
          <w:color w:val="auto"/>
          <w:sz w:val="32"/>
          <w:szCs w:val="32"/>
        </w:rPr>
        <w:t>大众创业，不断完善社会保障服务，</w:t>
      </w:r>
      <w:r>
        <w:rPr>
          <w:rFonts w:hint="default" w:ascii="Times New Roman" w:hAnsi="Times New Roman" w:eastAsia="仿宋_GB2312" w:cs="Times New Roman"/>
          <w:color w:val="auto"/>
          <w:sz w:val="32"/>
          <w:szCs w:val="32"/>
          <w:lang w:val="en-US" w:eastAsia="zh-CN"/>
        </w:rPr>
        <w:t>实现</w:t>
      </w:r>
      <w:r>
        <w:rPr>
          <w:rFonts w:hint="default" w:ascii="Times New Roman" w:hAnsi="Times New Roman" w:eastAsia="仿宋_GB2312" w:cs="Times New Roman"/>
          <w:color w:val="auto"/>
          <w:sz w:val="32"/>
          <w:szCs w:val="32"/>
        </w:rPr>
        <w:t>更加充分更高质量就业。</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rPr>
          <w:rFonts w:hint="default" w:ascii="Times New Roman" w:hAnsi="Times New Roman" w:eastAsia="楷体_GB2312" w:cs="Times New Roman"/>
          <w:b/>
          <w:bCs/>
          <w:color w:val="auto"/>
          <w:sz w:val="32"/>
          <w:szCs w:val="32"/>
          <w:lang w:val="en-US" w:eastAsia="zh-CN"/>
        </w:rPr>
      </w:pPr>
      <w:bookmarkStart w:id="99" w:name="_Toc10797"/>
      <w:bookmarkStart w:id="100" w:name="_Toc87883523"/>
      <w:bookmarkStart w:id="101" w:name="_Toc28249"/>
      <w:bookmarkStart w:id="102" w:name="_Toc30567"/>
      <w:bookmarkStart w:id="103" w:name="_Toc3923"/>
      <w:bookmarkStart w:id="104" w:name="_Toc5703"/>
      <w:r>
        <w:rPr>
          <w:rFonts w:hint="default" w:ascii="Times New Roman" w:hAnsi="Times New Roman" w:eastAsia="楷体_GB2312" w:cs="Times New Roman"/>
          <w:b/>
          <w:bCs/>
          <w:color w:val="auto"/>
          <w:sz w:val="32"/>
          <w:szCs w:val="32"/>
          <w:lang w:val="en-US" w:eastAsia="zh-CN"/>
        </w:rPr>
        <w:t>第一节</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lang w:val="en-US" w:eastAsia="zh-CN"/>
        </w:rPr>
        <w:t>劳有所得</w:t>
      </w:r>
      <w:bookmarkEnd w:id="99"/>
      <w:bookmarkEnd w:id="100"/>
      <w:bookmarkEnd w:id="101"/>
      <w:bookmarkEnd w:id="102"/>
      <w:bookmarkEnd w:id="103"/>
      <w:bookmarkEnd w:id="104"/>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楷体_GB2312" w:cs="Times New Roman"/>
          <w:b/>
          <w:bCs/>
          <w:color w:val="auto"/>
          <w:sz w:val="32"/>
          <w:szCs w:val="32"/>
          <w:lang w:val="en-US" w:eastAsia="zh-CN"/>
        </w:rPr>
        <w:t>推动实现更高质量就业。</w:t>
      </w:r>
      <w:r>
        <w:rPr>
          <w:rFonts w:hint="default" w:ascii="Times New Roman" w:hAnsi="Times New Roman" w:eastAsia="仿宋_GB2312" w:cs="Times New Roman"/>
          <w:color w:val="auto"/>
          <w:sz w:val="32"/>
          <w:szCs w:val="32"/>
        </w:rPr>
        <w:t>持续完善就业政策体系，积极培育新产业、新模式、新业态，更好发挥民营经济、中小微企业就业主渠道作用，鼓励各类市场主体吸纳就业。统筹促进高校毕业生、农民工、退役军人等重点群体就业。</w:t>
      </w:r>
      <w:r>
        <w:rPr>
          <w:rFonts w:hint="default" w:ascii="Times New Roman" w:hAnsi="Times New Roman" w:eastAsia="仿宋_GB2312" w:cs="Times New Roman"/>
          <w:b w:val="0"/>
          <w:bCs w:val="0"/>
          <w:color w:val="auto"/>
          <w:sz w:val="32"/>
          <w:szCs w:val="32"/>
          <w:lang w:eastAsia="zh-CN"/>
        </w:rPr>
        <w:t>支持多渠道灵活就业，鼓励个体经营，增加非全日制就业机会。扩展公益性岗位，</w:t>
      </w:r>
      <w:r>
        <w:rPr>
          <w:rFonts w:hint="default" w:ascii="Times New Roman" w:hAnsi="Times New Roman" w:eastAsia="仿宋_GB2312" w:cs="Times New Roman"/>
          <w:color w:val="auto"/>
          <w:sz w:val="32"/>
          <w:szCs w:val="32"/>
        </w:rPr>
        <w:t>建立公益性岗位补贴正常增长机制，</w:t>
      </w:r>
      <w:r>
        <w:rPr>
          <w:rFonts w:hint="default" w:ascii="Times New Roman" w:hAnsi="Times New Roman" w:eastAsia="仿宋_GB2312" w:cs="Times New Roman"/>
          <w:b w:val="0"/>
          <w:bCs w:val="0"/>
          <w:color w:val="auto"/>
          <w:sz w:val="32"/>
          <w:szCs w:val="32"/>
          <w:lang w:eastAsia="zh-CN"/>
        </w:rPr>
        <w:t>加强托底安置，</w:t>
      </w:r>
      <w:r>
        <w:rPr>
          <w:rFonts w:hint="default" w:ascii="Times New Roman" w:hAnsi="Times New Roman" w:eastAsia="仿宋_GB2312" w:cs="Times New Roman"/>
          <w:color w:val="auto"/>
          <w:sz w:val="32"/>
          <w:szCs w:val="32"/>
        </w:rPr>
        <w:t>实现零就业家庭动态“清零”。加大援企稳岗力度，规范企业裁员行为。</w:t>
      </w:r>
      <w:r>
        <w:rPr>
          <w:rFonts w:hint="default" w:ascii="Times New Roman" w:hAnsi="Times New Roman" w:eastAsia="仿宋_GB2312" w:cs="Times New Roman"/>
          <w:color w:val="auto"/>
          <w:sz w:val="32"/>
          <w:szCs w:val="32"/>
          <w:highlight w:val="none"/>
        </w:rPr>
        <w:t>建立就业失业统计指标共享体系</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健全</w:t>
      </w:r>
      <w:r>
        <w:rPr>
          <w:rFonts w:hint="default" w:ascii="Times New Roman" w:hAnsi="Times New Roman" w:eastAsia="仿宋_GB2312" w:cs="Times New Roman"/>
          <w:color w:val="auto"/>
          <w:sz w:val="32"/>
          <w:szCs w:val="32"/>
        </w:rPr>
        <w:t>规模裁员和失业风险预警机制。</w:t>
      </w:r>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实施终身职业技能培训。</w:t>
      </w:r>
      <w:r>
        <w:rPr>
          <w:rFonts w:hint="default" w:ascii="Times New Roman" w:hAnsi="Times New Roman" w:eastAsia="仿宋_GB2312" w:cs="Times New Roman"/>
          <w:color w:val="auto"/>
          <w:sz w:val="32"/>
          <w:szCs w:val="32"/>
        </w:rPr>
        <w:t>开展“技能六安”暨职业技能提升行动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支持各县区建设</w:t>
      </w:r>
      <w:r>
        <w:rPr>
          <w:rFonts w:hint="default" w:ascii="Times New Roman" w:hAnsi="Times New Roman" w:eastAsia="仿宋_GB2312" w:cs="Times New Roman"/>
          <w:color w:val="auto"/>
          <w:sz w:val="32"/>
          <w:szCs w:val="32"/>
          <w:lang w:val="en-US" w:eastAsia="zh-CN"/>
        </w:rPr>
        <w:t>一批</w:t>
      </w:r>
      <w:r>
        <w:rPr>
          <w:rFonts w:hint="default" w:ascii="Times New Roman" w:hAnsi="Times New Roman" w:eastAsia="仿宋_GB2312" w:cs="Times New Roman"/>
          <w:color w:val="auto"/>
          <w:sz w:val="32"/>
          <w:szCs w:val="32"/>
        </w:rPr>
        <w:t>公共实训基地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加快</w:t>
      </w:r>
      <w:r>
        <w:rPr>
          <w:rFonts w:hint="default" w:ascii="Times New Roman" w:hAnsi="Times New Roman" w:eastAsia="仿宋_GB2312" w:cs="Times New Roman"/>
          <w:color w:val="auto"/>
          <w:sz w:val="32"/>
          <w:szCs w:val="32"/>
        </w:rPr>
        <w:t>建设技工大市。依托安徽职业培训网络大学和安徽职业培训信息管理系统，面向城乡各类劳动者广泛开展职业技能培训，年均开展补贴性技能培训人数保持在4万人次以上。</w:t>
      </w:r>
      <w:r>
        <w:rPr>
          <w:rFonts w:hint="default" w:ascii="Times New Roman" w:hAnsi="Times New Roman" w:eastAsia="仿宋_GB2312" w:cs="Times New Roman"/>
          <w:color w:val="auto"/>
          <w:sz w:val="32"/>
          <w:szCs w:val="32"/>
          <w:highlight w:val="none"/>
        </w:rPr>
        <w:t>支持引导企业组织开展岗前培训、在岗培训、脱产培训、转岗转业培训</w:t>
      </w:r>
      <w:r>
        <w:rPr>
          <w:rFonts w:hint="default"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rPr>
        <w:t>形式多样的职业技能培训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健全职业技能培训质量监管制度，改进培训过程监管技术措施，提高培训质量和培训补贴资金使用效益。健全终身职业技能培训制度，探索建立劳动者个人学习账号和学分累积制度。</w:t>
      </w:r>
    </w:p>
    <w:p>
      <w:pPr>
        <w:keepNext w:val="0"/>
        <w:keepLines w:val="0"/>
        <w:pageBreakBefore w:val="0"/>
        <w:widowControl w:val="0"/>
        <w:kinsoku/>
        <w:wordWrap/>
        <w:overflowPunct/>
        <w:topLinePunct w:val="0"/>
        <w:autoSpaceDE/>
        <w:autoSpaceDN/>
        <w:bidi w:val="0"/>
        <w:snapToGrid/>
        <w:spacing w:line="600" w:lineRule="exact"/>
        <w:ind w:firstLine="641"/>
        <w:textAlignment w:val="auto"/>
        <w:rPr>
          <w:rFonts w:hint="default" w:ascii="Times New Roman" w:hAnsi="Times New Roman" w:eastAsia="仿宋_GB2312" w:cs="Times New Roman"/>
          <w:color w:val="auto"/>
          <w:sz w:val="32"/>
          <w:szCs w:val="32"/>
          <w:highlight w:val="yellow"/>
          <w:lang w:eastAsia="zh-CN"/>
        </w:rPr>
      </w:pPr>
      <w:r>
        <w:rPr>
          <w:rFonts w:hint="default" w:ascii="Times New Roman" w:hAnsi="Times New Roman" w:eastAsia="楷体_GB2312" w:cs="Times New Roman"/>
          <w:b/>
          <w:bCs/>
          <w:color w:val="auto"/>
          <w:sz w:val="32"/>
          <w:szCs w:val="32"/>
          <w:lang w:val="en-US" w:eastAsia="zh-CN"/>
        </w:rPr>
        <w:t>完善社会保障服务。</w:t>
      </w:r>
      <w:r>
        <w:rPr>
          <w:rFonts w:hint="default" w:ascii="Times New Roman" w:hAnsi="Times New Roman" w:eastAsia="仿宋_GB2312" w:cs="Times New Roman"/>
          <w:color w:val="auto"/>
          <w:sz w:val="32"/>
          <w:szCs w:val="32"/>
        </w:rPr>
        <w:t>全面实施全民参保计划，扩大养老、工伤、失业保险</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覆盖面，</w:t>
      </w:r>
      <w:r>
        <w:rPr>
          <w:rFonts w:hint="default" w:ascii="Times New Roman" w:hAnsi="Times New Roman" w:eastAsia="仿宋_GB2312" w:cs="Times New Roman"/>
          <w:color w:val="auto"/>
          <w:sz w:val="32"/>
          <w:szCs w:val="32"/>
          <w:highlight w:val="none"/>
        </w:rPr>
        <w:t>建立待遇水平动态增长机制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推进机关事业单位养老保险制度改革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落实国家和省渐进式延迟法定退休年龄政策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施企业职工基本养老保险市级统筹，构建基本养老保险、职业（企业）年金与个人储蓄性养老保险、商业保险相衔接的养老保险体系。健全工伤保险机制，完善“预防、康复、补偿”三位一体制度体系，规范用工单位参加工伤保险。开展工伤保险参保专项行动计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探索建立新业态人员职业伤害保障模式，支持</w:t>
      </w:r>
      <w:r>
        <w:rPr>
          <w:rFonts w:hint="default" w:ascii="Times New Roman" w:hAnsi="Times New Roman" w:eastAsia="仿宋_GB2312" w:cs="Times New Roman"/>
          <w:color w:val="auto"/>
          <w:sz w:val="32"/>
          <w:szCs w:val="32"/>
          <w:highlight w:val="none"/>
        </w:rPr>
        <w:t>新就业形态</w:t>
      </w:r>
      <w:r>
        <w:rPr>
          <w:rFonts w:hint="default" w:ascii="Times New Roman" w:hAnsi="Times New Roman" w:eastAsia="仿宋_GB2312" w:cs="Times New Roman"/>
          <w:color w:val="auto"/>
          <w:sz w:val="32"/>
          <w:szCs w:val="32"/>
        </w:rPr>
        <w:t>从业人员以个人身份在公共服务平台办理企业职工基本养老保险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做好</w:t>
      </w:r>
      <w:r>
        <w:rPr>
          <w:rFonts w:hint="default" w:ascii="Times New Roman" w:hAnsi="Times New Roman" w:eastAsia="仿宋_GB2312" w:cs="Times New Roman"/>
          <w:color w:val="auto"/>
          <w:sz w:val="32"/>
          <w:szCs w:val="32"/>
          <w:highlight w:val="none"/>
        </w:rPr>
        <w:t>新就业形态人员职</w:t>
      </w:r>
      <w:r>
        <w:rPr>
          <w:rFonts w:hint="default" w:ascii="Times New Roman" w:hAnsi="Times New Roman" w:eastAsia="仿宋_GB2312" w:cs="Times New Roman"/>
          <w:color w:val="auto"/>
          <w:sz w:val="32"/>
          <w:szCs w:val="32"/>
        </w:rPr>
        <w:t>业伤害保障试点工作，逐步实现平台类新就业形态人员职业伤害保障制度全覆盖。</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构建和谐劳动关系。</w:t>
      </w:r>
      <w:r>
        <w:rPr>
          <w:rFonts w:hint="default" w:ascii="Times New Roman" w:hAnsi="Times New Roman" w:eastAsia="仿宋_GB2312" w:cs="Times New Roman"/>
          <w:color w:val="auto"/>
          <w:sz w:val="32"/>
          <w:szCs w:val="32"/>
        </w:rPr>
        <w:t>规范企业劳动用工管理，推广应用电子劳动合同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落实劳动用工互联网备案制度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推进和谐劳动关系综合试验区建设，指导各县区建设和谐劳动关系综合试验区。</w:t>
      </w:r>
      <w:r>
        <w:rPr>
          <w:rFonts w:hint="default" w:ascii="Times New Roman" w:hAnsi="Times New Roman" w:eastAsia="仿宋_GB2312" w:cs="Times New Roman"/>
          <w:color w:val="auto"/>
          <w:sz w:val="32"/>
          <w:szCs w:val="32"/>
          <w:highlight w:val="none"/>
          <w:lang w:val="en-US" w:eastAsia="zh-CN"/>
        </w:rPr>
        <w:t>继续开展“春季要约行动”，重点在非公有制企业建立职工工资合理增长机制</w:t>
      </w:r>
      <w:r>
        <w:rPr>
          <w:rFonts w:hint="default" w:ascii="Times New Roman" w:hAnsi="Times New Roman" w:eastAsia="仿宋_GB2312" w:cs="Times New Roman"/>
          <w:color w:val="auto"/>
          <w:sz w:val="32"/>
          <w:szCs w:val="32"/>
          <w:lang w:val="en-US" w:eastAsia="zh-CN"/>
        </w:rPr>
        <w:t>。鼓励</w:t>
      </w:r>
      <w:r>
        <w:rPr>
          <w:rFonts w:hint="default" w:ascii="Times New Roman" w:hAnsi="Times New Roman" w:eastAsia="仿宋_GB2312" w:cs="Times New Roman"/>
          <w:color w:val="auto"/>
          <w:sz w:val="32"/>
          <w:szCs w:val="32"/>
        </w:rPr>
        <w:t>大中型企业建立调解组织，着力提高企业依法预防和调处劳动关系纠纷的能力和水平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建设全市统一的信息化仲裁院、数字化仲裁庭和调解仲裁信息系统，实现省级以上开发区劳动关系公共服务中心和市县两级标准化劳动人事争议仲裁院建设全覆盖。健全劳动保障守法诚信制度，规范重大违法行为社会公布、欠薪“黑名单”管理，推动建立跨部门的企业信用、守信激励和失信惩戒协同监管机制。</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rPr>
          <w:rFonts w:hint="default" w:ascii="Times New Roman" w:hAnsi="Times New Roman" w:eastAsia="楷体_GB2312" w:cs="Times New Roman"/>
          <w:b/>
          <w:bCs/>
          <w:color w:val="auto"/>
          <w:sz w:val="32"/>
          <w:szCs w:val="32"/>
          <w:lang w:val="en-US" w:eastAsia="zh-CN"/>
        </w:rPr>
      </w:pPr>
      <w:bookmarkStart w:id="105" w:name="_Toc6543"/>
      <w:bookmarkStart w:id="106" w:name="_Toc27165"/>
      <w:bookmarkStart w:id="107" w:name="_Toc10558"/>
      <w:bookmarkStart w:id="108" w:name="_Toc27327"/>
      <w:bookmarkStart w:id="109" w:name="_Toc87883524"/>
      <w:bookmarkStart w:id="110" w:name="_Toc13272"/>
      <w:r>
        <w:rPr>
          <w:rFonts w:hint="default" w:ascii="Times New Roman" w:hAnsi="Times New Roman" w:eastAsia="楷体_GB2312" w:cs="Times New Roman"/>
          <w:b/>
          <w:bCs/>
          <w:color w:val="auto"/>
          <w:sz w:val="32"/>
          <w:szCs w:val="32"/>
          <w:lang w:val="en-US" w:eastAsia="zh-CN"/>
        </w:rPr>
        <w:t>第二节</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lang w:val="en-US" w:eastAsia="zh-CN"/>
        </w:rPr>
        <w:t>劳有</w:t>
      </w:r>
      <w:r>
        <w:rPr>
          <w:rFonts w:hint="default" w:ascii="Times New Roman" w:hAnsi="Times New Roman" w:cs="Times New Roman"/>
          <w:b/>
          <w:bCs/>
          <w:color w:val="auto"/>
          <w:sz w:val="32"/>
          <w:szCs w:val="32"/>
          <w:lang w:val="en-US" w:eastAsia="zh-CN"/>
        </w:rPr>
        <w:t>厚</w:t>
      </w:r>
      <w:r>
        <w:rPr>
          <w:rFonts w:hint="default" w:ascii="Times New Roman" w:hAnsi="Times New Roman" w:eastAsia="楷体_GB2312" w:cs="Times New Roman"/>
          <w:b/>
          <w:bCs/>
          <w:color w:val="auto"/>
          <w:sz w:val="32"/>
          <w:szCs w:val="32"/>
          <w:lang w:val="en-US" w:eastAsia="zh-CN"/>
        </w:rPr>
        <w:t>得</w:t>
      </w:r>
      <w:bookmarkEnd w:id="105"/>
      <w:bookmarkEnd w:id="106"/>
      <w:bookmarkEnd w:id="107"/>
      <w:bookmarkEnd w:id="108"/>
      <w:bookmarkEnd w:id="109"/>
      <w:bookmarkEnd w:id="110"/>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b w:val="0"/>
          <w:bCs w:val="0"/>
          <w:color w:val="auto"/>
          <w:sz w:val="32"/>
          <w:szCs w:val="32"/>
          <w:highlight w:val="yellow"/>
          <w:lang w:eastAsia="zh-CN"/>
        </w:rPr>
      </w:pPr>
      <w:r>
        <w:rPr>
          <w:rFonts w:hint="default" w:ascii="Times New Roman" w:hAnsi="Times New Roman" w:eastAsia="楷体_GB2312" w:cs="Times New Roman"/>
          <w:b/>
          <w:bCs/>
          <w:color w:val="auto"/>
          <w:sz w:val="32"/>
          <w:szCs w:val="32"/>
          <w:lang w:val="en-US" w:eastAsia="zh-CN"/>
        </w:rPr>
        <w:t>扶持创业带动就业。</w:t>
      </w:r>
      <w:r>
        <w:rPr>
          <w:rFonts w:hint="default" w:ascii="Times New Roman" w:hAnsi="Times New Roman" w:eastAsia="仿宋_GB2312" w:cs="Times New Roman"/>
          <w:b w:val="0"/>
          <w:bCs w:val="0"/>
          <w:color w:val="auto"/>
          <w:sz w:val="32"/>
          <w:szCs w:val="32"/>
        </w:rPr>
        <w:t>实施返乡创业工程，鼓励外出务工业有所成人员返乡创业</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加大小微企业创业园建设力度，支持返乡人员创办新型农业经营主体。</w:t>
      </w:r>
      <w:r>
        <w:rPr>
          <w:rFonts w:hint="default" w:ascii="Times New Roman" w:hAnsi="Times New Roman" w:eastAsia="仿宋_GB2312" w:cs="Times New Roman"/>
          <w:b w:val="0"/>
          <w:bCs w:val="0"/>
          <w:color w:val="auto"/>
          <w:sz w:val="32"/>
          <w:szCs w:val="32"/>
          <w:lang w:eastAsia="zh-CN"/>
        </w:rPr>
        <w:t>持续实施“创业江淮”行动计划，定期开展“六安创业之星”评选和创业创新大赛等活动。加强创业载体建设，</w:t>
      </w:r>
      <w:r>
        <w:rPr>
          <w:rFonts w:hint="default" w:ascii="Times New Roman" w:hAnsi="Times New Roman" w:eastAsia="仿宋_GB2312" w:cs="Times New Roman"/>
          <w:b w:val="0"/>
          <w:bCs w:val="0"/>
          <w:color w:val="auto"/>
          <w:sz w:val="32"/>
          <w:szCs w:val="32"/>
          <w:lang w:val="en-US" w:eastAsia="zh-CN"/>
        </w:rPr>
        <w:t>打造</w:t>
      </w:r>
      <w:r>
        <w:rPr>
          <w:rFonts w:hint="default" w:ascii="Times New Roman" w:hAnsi="Times New Roman" w:eastAsia="仿宋_GB2312" w:cs="Times New Roman"/>
          <w:b w:val="0"/>
          <w:bCs w:val="0"/>
          <w:color w:val="auto"/>
          <w:sz w:val="32"/>
          <w:szCs w:val="32"/>
          <w:lang w:eastAsia="zh-CN"/>
        </w:rPr>
        <w:t>一批公共创业孵化基地和众创空间，积极创建省级青年创业园。建立高水平创业培训师资队伍，加强创业教育和创业培训。以安徽省创业服务云平台为载体，发行电子创业券。</w:t>
      </w:r>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bCs/>
          <w:color w:val="auto"/>
          <w:sz w:val="32"/>
          <w:szCs w:val="32"/>
          <w:lang w:val="en-US" w:eastAsia="zh-CN"/>
        </w:rPr>
        <w:t>强化高技能人才培养。</w:t>
      </w:r>
      <w:r>
        <w:rPr>
          <w:rFonts w:hint="default" w:ascii="Times New Roman" w:hAnsi="Times New Roman" w:eastAsia="仿宋_GB2312" w:cs="Times New Roman"/>
          <w:b w:val="0"/>
          <w:bCs w:val="0"/>
          <w:color w:val="auto"/>
          <w:sz w:val="32"/>
          <w:szCs w:val="32"/>
          <w:lang w:eastAsia="zh-CN"/>
        </w:rPr>
        <w:t>发展技工教育，推</w:t>
      </w:r>
      <w:r>
        <w:rPr>
          <w:rFonts w:hint="default" w:ascii="Times New Roman" w:hAnsi="Times New Roman" w:eastAsia="仿宋_GB2312" w:cs="Times New Roman"/>
          <w:b w:val="0"/>
          <w:bCs w:val="0"/>
          <w:color w:val="auto"/>
          <w:sz w:val="32"/>
          <w:szCs w:val="32"/>
          <w:lang w:val="en-US" w:eastAsia="zh-CN"/>
        </w:rPr>
        <w:t>进</w:t>
      </w:r>
      <w:r>
        <w:rPr>
          <w:rFonts w:hint="default" w:ascii="Times New Roman" w:hAnsi="Times New Roman" w:eastAsia="仿宋_GB2312" w:cs="Times New Roman"/>
          <w:b w:val="0"/>
          <w:bCs w:val="0"/>
          <w:color w:val="auto"/>
          <w:sz w:val="32"/>
          <w:szCs w:val="32"/>
          <w:lang w:eastAsia="zh-CN"/>
        </w:rPr>
        <w:t>六安技师学院争创安徽省高水平技师学院，金寨技师学院争创国家级高技能人才培训基地。加强创新型、应用型、技能型人才培养，</w:t>
      </w:r>
      <w:r>
        <w:rPr>
          <w:rFonts w:hint="default" w:ascii="Times New Roman" w:hAnsi="Times New Roman" w:eastAsia="仿宋_GB2312" w:cs="Times New Roman"/>
          <w:b w:val="0"/>
          <w:bCs w:val="0"/>
          <w:color w:val="auto"/>
          <w:sz w:val="32"/>
          <w:szCs w:val="32"/>
          <w:lang w:val="en-US" w:eastAsia="zh-CN"/>
        </w:rPr>
        <w:t>主要服务</w:t>
      </w:r>
      <w:r>
        <w:rPr>
          <w:rFonts w:hint="default" w:ascii="Times New Roman" w:hAnsi="Times New Roman" w:eastAsia="仿宋_GB2312" w:cs="Times New Roman"/>
          <w:b w:val="0"/>
          <w:bCs w:val="0"/>
          <w:color w:val="auto"/>
          <w:sz w:val="32"/>
          <w:szCs w:val="32"/>
          <w:lang w:eastAsia="zh-CN"/>
        </w:rPr>
        <w:t>本地支柱产业、优势产业、战略性新兴产业、高端装备制造、现代服务及新经济新业态</w:t>
      </w:r>
      <w:r>
        <w:rPr>
          <w:rFonts w:hint="default" w:ascii="Times New Roman" w:hAnsi="Times New Roman" w:eastAsia="仿宋_GB2312" w:cs="Times New Roman"/>
          <w:b w:val="0"/>
          <w:bCs w:val="0"/>
          <w:color w:val="auto"/>
          <w:sz w:val="32"/>
          <w:szCs w:val="32"/>
          <w:lang w:val="en-US" w:eastAsia="zh-CN"/>
        </w:rPr>
        <w:t>等</w:t>
      </w:r>
      <w:r>
        <w:rPr>
          <w:rFonts w:hint="default" w:ascii="Times New Roman" w:hAnsi="Times New Roman" w:eastAsia="仿宋_GB2312" w:cs="Times New Roman"/>
          <w:b w:val="0"/>
          <w:bCs w:val="0"/>
          <w:color w:val="auto"/>
          <w:sz w:val="32"/>
          <w:szCs w:val="32"/>
          <w:lang w:eastAsia="zh-CN"/>
        </w:rPr>
        <w:t>。持续开展名师带徒、六安首席技师、皖西杰出工匠等高技能人才认定活动，支持各级各单位广泛开展职业技能竞赛活动。</w:t>
      </w:r>
      <w:r>
        <w:rPr>
          <w:rFonts w:hint="default" w:ascii="Times New Roman" w:hAnsi="Times New Roman" w:eastAsia="仿宋_GB2312" w:cs="Times New Roman"/>
          <w:b w:val="0"/>
          <w:bCs w:val="0"/>
          <w:color w:val="auto"/>
          <w:sz w:val="32"/>
          <w:szCs w:val="32"/>
          <w:highlight w:val="none"/>
          <w:lang w:eastAsia="zh-CN"/>
        </w:rPr>
        <w:t>依托技工院校、公共实训基地、高技能人才培训基地以及大型骨干企业，建设一批重点特色专业（工种）</w:t>
      </w:r>
      <w:r>
        <w:rPr>
          <w:rFonts w:hint="default" w:ascii="Times New Roman" w:hAnsi="Times New Roman" w:eastAsia="仿宋_GB2312" w:cs="Times New Roman"/>
          <w:b w:val="0"/>
          <w:bCs w:val="0"/>
          <w:color w:val="auto"/>
          <w:sz w:val="32"/>
          <w:szCs w:val="32"/>
          <w:lang w:eastAsia="zh-CN"/>
        </w:rPr>
        <w:t>，加速培养“新精尖缺”高技能人才。</w:t>
      </w:r>
      <w:r>
        <w:rPr>
          <w:rFonts w:hint="default" w:ascii="Times New Roman" w:hAnsi="Times New Roman" w:eastAsia="仿宋_GB2312" w:cs="Times New Roman"/>
          <w:color w:val="auto"/>
          <w:sz w:val="32"/>
          <w:szCs w:val="32"/>
          <w:highlight w:val="none"/>
        </w:rPr>
        <w:t>加大优秀人才引进力度，鼓励企业定向引进高技能人才。</w:t>
      </w:r>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楷体_GB2312" w:cs="Times New Roman"/>
          <w:b/>
          <w:bCs/>
          <w:color w:val="auto"/>
          <w:sz w:val="32"/>
          <w:szCs w:val="32"/>
          <w:lang w:val="en-US" w:eastAsia="zh-CN"/>
        </w:rPr>
        <w:t>提升就业服务能力。</w:t>
      </w:r>
      <w:r>
        <w:rPr>
          <w:rFonts w:hint="default" w:ascii="Times New Roman" w:hAnsi="Times New Roman" w:eastAsia="仿宋_GB2312" w:cs="Times New Roman"/>
          <w:color w:val="auto"/>
          <w:sz w:val="32"/>
          <w:szCs w:val="32"/>
        </w:rPr>
        <w:t>完善市县区人力资源大市场，鼓励有条件</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县区建设人力资源产业园</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lang w:eastAsia="zh-CN"/>
        </w:rPr>
        <w:t>积极拓展网上服务平台、移动客户端、自助终端等渠道，打造全市联动、便捷高效的智慧就业信息化平台。</w:t>
      </w:r>
      <w:r>
        <w:rPr>
          <w:rFonts w:hint="default" w:ascii="Times New Roman" w:hAnsi="Times New Roman" w:eastAsia="仿宋_GB2312" w:cs="Times New Roman"/>
          <w:b w:val="0"/>
          <w:bCs w:val="0"/>
          <w:color w:val="auto"/>
          <w:sz w:val="32"/>
          <w:szCs w:val="32"/>
          <w:lang w:val="en-US" w:eastAsia="zh-CN"/>
        </w:rPr>
        <w:t>推进公共就业服务机构</w:t>
      </w:r>
      <w:r>
        <w:rPr>
          <w:rFonts w:hint="default" w:ascii="Times New Roman" w:hAnsi="Times New Roman" w:eastAsia="仿宋_GB2312" w:cs="Times New Roman"/>
          <w:color w:val="auto"/>
          <w:sz w:val="32"/>
          <w:szCs w:val="32"/>
        </w:rPr>
        <w:t>建设</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color w:val="auto"/>
          <w:sz w:val="32"/>
          <w:szCs w:val="32"/>
        </w:rPr>
        <w:t>提供全方位公共就业服务。</w:t>
      </w:r>
      <w:r>
        <w:rPr>
          <w:rFonts w:hint="default" w:ascii="Times New Roman" w:hAnsi="Times New Roman" w:eastAsia="仿宋_GB2312" w:cs="Times New Roman"/>
          <w:b w:val="0"/>
          <w:bCs w:val="0"/>
          <w:color w:val="auto"/>
          <w:sz w:val="32"/>
          <w:szCs w:val="32"/>
          <w:highlight w:val="none"/>
          <w:lang w:eastAsia="zh-CN"/>
        </w:rPr>
        <w:t>建设人力资源社会保障综合服务平台，推进就业创业、社会保障、人事人才、劳动关系等业务领域信息系统应用，推动企业群众办事线上“一网通办”，推广“人社政务服务电子地图”，推行“7×24小时人社服务”</w:t>
      </w:r>
      <w:r>
        <w:rPr>
          <w:rFonts w:hint="default" w:ascii="Times New Roman" w:hAnsi="Times New Roman" w:eastAsia="仿宋_GB2312" w:cs="Times New Roman"/>
          <w:b w:val="0"/>
          <w:bCs w:val="0"/>
          <w:color w:val="auto"/>
          <w:sz w:val="32"/>
          <w:szCs w:val="32"/>
          <w:lang w:eastAsia="zh-CN"/>
        </w:rPr>
        <w:t>。全面实施人力资源社会保障基本公共服务标准化管理，</w:t>
      </w:r>
      <w:r>
        <w:rPr>
          <w:rFonts w:hint="default" w:ascii="Times New Roman" w:hAnsi="Times New Roman" w:eastAsia="仿宋_GB2312" w:cs="Times New Roman"/>
          <w:b w:val="0"/>
          <w:bCs w:val="0"/>
          <w:color w:val="auto"/>
          <w:sz w:val="32"/>
          <w:szCs w:val="32"/>
          <w:lang w:val="en-US" w:eastAsia="zh-CN"/>
        </w:rPr>
        <w:t>适时</w:t>
      </w:r>
      <w:r>
        <w:rPr>
          <w:rFonts w:hint="default" w:ascii="Times New Roman" w:hAnsi="Times New Roman" w:eastAsia="仿宋_GB2312" w:cs="Times New Roman"/>
          <w:b w:val="0"/>
          <w:bCs w:val="0"/>
          <w:color w:val="auto"/>
          <w:sz w:val="32"/>
          <w:szCs w:val="32"/>
          <w:lang w:eastAsia="zh-CN"/>
        </w:rPr>
        <w:t>开展基本公共服务标准化试点。</w:t>
      </w:r>
    </w:p>
    <w:p>
      <w:pPr>
        <w:pStyle w:val="6"/>
        <w:bidi w:val="0"/>
        <w:rPr>
          <w:rFonts w:hint="default" w:ascii="Times New Roman" w:hAnsi="Times New Roman" w:cs="Times New Roman"/>
          <w:color w:val="auto"/>
          <w:lang w:val="en-US" w:eastAsia="zh-CN"/>
        </w:rPr>
      </w:pPr>
      <w:r>
        <w:rPr>
          <w:rFonts w:hint="default" w:ascii="Times New Roman" w:hAnsi="Times New Roman" w:cs="Times New Roman"/>
          <w:color w:val="auto"/>
        </w:rPr>
        <w:t xml:space="preserve">专栏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SEQ 专栏 \* ARABIC </w:instrText>
      </w:r>
      <w:r>
        <w:rPr>
          <w:rFonts w:hint="default" w:ascii="Times New Roman" w:hAnsi="Times New Roman" w:cs="Times New Roman"/>
          <w:color w:val="auto"/>
        </w:rPr>
        <w:fldChar w:fldCharType="separate"/>
      </w:r>
      <w:r>
        <w:rPr>
          <w:rFonts w:hint="default" w:ascii="Times New Roman" w:hAnsi="Times New Roman" w:cs="Times New Roman"/>
          <w:color w:val="auto"/>
        </w:rPr>
        <w:t>5</w:t>
      </w:r>
      <w:r>
        <w:rPr>
          <w:rFonts w:hint="default" w:ascii="Times New Roman" w:hAnsi="Times New Roman" w:cs="Times New Roman"/>
          <w:color w:val="auto"/>
        </w:rPr>
        <w:fldChar w:fldCharType="end"/>
      </w:r>
      <w:bookmarkStart w:id="111" w:name="_Toc19719"/>
      <w:bookmarkStart w:id="112" w:name="_Toc5328"/>
      <w:bookmarkStart w:id="113" w:name="_Toc4767"/>
      <w:bookmarkStart w:id="114" w:name="_Toc19065"/>
      <w:bookmarkStart w:id="115" w:name="_Toc27765"/>
      <w:r>
        <w:rPr>
          <w:rFonts w:hint="default" w:ascii="Times New Roman" w:hAnsi="Times New Roman" w:cs="Times New Roman"/>
          <w:color w:val="auto"/>
          <w:lang w:val="en-US" w:eastAsia="zh-CN"/>
        </w:rPr>
        <w:t xml:space="preserve"> 就业社保服务重点</w:t>
      </w:r>
      <w:bookmarkEnd w:id="111"/>
      <w:bookmarkEnd w:id="112"/>
      <w:bookmarkEnd w:id="113"/>
      <w:bookmarkEnd w:id="114"/>
      <w:r>
        <w:rPr>
          <w:rFonts w:hint="default" w:ascii="Times New Roman" w:hAnsi="Times New Roman" w:cs="Times New Roman"/>
          <w:color w:val="auto"/>
          <w:lang w:val="en-US" w:eastAsia="zh-CN"/>
        </w:rPr>
        <w:t>工程</w:t>
      </w:r>
      <w:bookmarkEnd w:id="115"/>
    </w:p>
    <w:tbl>
      <w:tblPr>
        <w:tblStyle w:val="17"/>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5" w:hRule="atLeast"/>
          <w:jc w:val="center"/>
        </w:trPr>
        <w:tc>
          <w:tcPr>
            <w:tcW w:w="852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50" w:after="50" w:line="400" w:lineRule="exact"/>
              <w:ind w:firstLine="482"/>
              <w:jc w:val="left"/>
              <w:textAlignment w:val="auto"/>
              <w:rPr>
                <w:rFonts w:hint="default" w:ascii="Times New Roman" w:hAnsi="Times New Roman" w:eastAsia="仿宋_GB2312" w:cs="Times New Roman"/>
                <w:color w:val="auto"/>
                <w:kern w:val="0"/>
                <w:sz w:val="24"/>
                <w:szCs w:val="24"/>
                <w:lang w:bidi="ar"/>
              </w:rPr>
            </w:pPr>
            <w:r>
              <w:rPr>
                <w:rFonts w:hint="default" w:ascii="Times New Roman" w:hAnsi="Times New Roman" w:eastAsia="楷体_GB2312" w:cs="Times New Roman"/>
                <w:b/>
                <w:bCs/>
                <w:color w:val="auto"/>
                <w:kern w:val="0"/>
                <w:sz w:val="24"/>
                <w:lang w:bidi="ar"/>
              </w:rPr>
              <w:t>1.就业。</w:t>
            </w:r>
            <w:r>
              <w:rPr>
                <w:rFonts w:hint="default" w:ascii="Times New Roman" w:hAnsi="Times New Roman" w:eastAsia="仿宋_GB2312" w:cs="Times New Roman"/>
                <w:b w:val="0"/>
                <w:bCs w:val="0"/>
                <w:color w:val="auto"/>
                <w:kern w:val="0"/>
                <w:sz w:val="24"/>
                <w:lang w:bidi="ar"/>
              </w:rPr>
              <w:t>实施就地就业工程，鼓励外出务工人员返乡就业，满足不断扩大的本地企业用工需求；加强中高等职业院校与本地企业对接，引导毕业生在六安就业。</w:t>
            </w:r>
            <w:r>
              <w:rPr>
                <w:rFonts w:hint="default" w:ascii="Times New Roman" w:hAnsi="Times New Roman" w:eastAsia="仿宋_GB2312" w:cs="Times New Roman"/>
                <w:color w:val="auto"/>
                <w:kern w:val="0"/>
                <w:sz w:val="24"/>
                <w:szCs w:val="24"/>
                <w:lang w:bidi="ar"/>
              </w:rPr>
              <w:t>深入实施高校毕业生就业促进计划、基层成长计划和“三支一扶”计划；实施青年就业见习计划、就业启航计划。通过购买服务方式，每年开发2500个左右公益性岗位。落实公益性岗位补贴和就业见习补贴等政策</w:t>
            </w:r>
            <w:r>
              <w:rPr>
                <w:rFonts w:hint="default" w:ascii="Times New Roman" w:hAnsi="Times New Roman" w:eastAsia="仿宋_GB2312" w:cs="Times New Roman"/>
                <w:color w:val="auto"/>
                <w:kern w:val="0"/>
                <w:sz w:val="24"/>
                <w:szCs w:val="24"/>
                <w:lang w:eastAsia="zh-CN" w:bidi="ar"/>
              </w:rPr>
              <w:t>，</w:t>
            </w:r>
            <w:r>
              <w:rPr>
                <w:rFonts w:hint="default" w:ascii="Times New Roman" w:hAnsi="Times New Roman" w:eastAsia="仿宋_GB2312" w:cs="Times New Roman"/>
                <w:color w:val="auto"/>
                <w:kern w:val="0"/>
                <w:sz w:val="24"/>
                <w:szCs w:val="24"/>
                <w:lang w:bidi="ar"/>
              </w:rPr>
              <w:t>每年组织2000人左右参加就业见习。实施高校就业指导老师轮训计划，开展“启明星”就业指导活动。</w:t>
            </w:r>
            <w:r>
              <w:rPr>
                <w:rFonts w:hint="default" w:ascii="Times New Roman" w:hAnsi="Times New Roman" w:eastAsia="仿宋_GB2312" w:cs="Times New Roman"/>
                <w:color w:val="auto"/>
                <w:kern w:val="0"/>
                <w:sz w:val="24"/>
                <w:szCs w:val="24"/>
                <w:lang w:val="en-US" w:eastAsia="zh-CN" w:bidi="ar"/>
              </w:rPr>
              <w:t>针</w:t>
            </w:r>
            <w:r>
              <w:rPr>
                <w:rFonts w:hint="default" w:ascii="Times New Roman" w:hAnsi="Times New Roman" w:eastAsia="仿宋_GB2312" w:cs="Times New Roman"/>
                <w:color w:val="auto"/>
                <w:kern w:val="0"/>
                <w:sz w:val="24"/>
                <w:szCs w:val="24"/>
                <w:lang w:bidi="ar"/>
              </w:rPr>
              <w:t>对就业困难毕业生实施“一对一”兜底帮扶。</w:t>
            </w:r>
            <w:r>
              <w:rPr>
                <w:rFonts w:hint="default" w:ascii="Times New Roman" w:hAnsi="Times New Roman" w:eastAsia="仿宋_GB2312" w:cs="Times New Roman"/>
                <w:color w:val="auto"/>
                <w:kern w:val="0"/>
                <w:sz w:val="24"/>
                <w:szCs w:val="24"/>
                <w:lang w:val="en-US" w:eastAsia="zh-CN" w:bidi="ar"/>
              </w:rPr>
              <w:t>到2025年，</w:t>
            </w:r>
            <w:r>
              <w:rPr>
                <w:rFonts w:hint="default" w:ascii="Times New Roman" w:hAnsi="Times New Roman" w:eastAsia="仿宋_GB2312" w:cs="Times New Roman"/>
                <w:color w:val="auto"/>
                <w:kern w:val="0"/>
                <w:sz w:val="24"/>
                <w:szCs w:val="24"/>
                <w:lang w:bidi="ar"/>
              </w:rPr>
              <w:t>实现每年全市高校毕业生就业率90%以上。</w:t>
            </w:r>
          </w:p>
          <w:p>
            <w:pPr>
              <w:keepNext w:val="0"/>
              <w:keepLines w:val="0"/>
              <w:pageBreakBefore w:val="0"/>
              <w:widowControl/>
              <w:kinsoku/>
              <w:wordWrap/>
              <w:overflowPunct/>
              <w:topLinePunct w:val="0"/>
              <w:autoSpaceDE/>
              <w:autoSpaceDN/>
              <w:bidi w:val="0"/>
              <w:adjustRightInd/>
              <w:spacing w:before="50" w:after="50" w:line="400" w:lineRule="exact"/>
              <w:ind w:firstLine="482"/>
              <w:jc w:val="left"/>
              <w:textAlignment w:val="auto"/>
              <w:rPr>
                <w:rFonts w:hint="default" w:ascii="Times New Roman" w:hAnsi="Times New Roman" w:eastAsia="仿宋_GB2312" w:cs="Times New Roman"/>
                <w:color w:val="auto"/>
                <w:kern w:val="0"/>
                <w:sz w:val="24"/>
                <w:szCs w:val="24"/>
                <w:lang w:bidi="ar"/>
              </w:rPr>
            </w:pPr>
            <w:r>
              <w:rPr>
                <w:rFonts w:hint="default" w:ascii="Times New Roman" w:hAnsi="Times New Roman" w:eastAsia="楷体_GB2312" w:cs="Times New Roman"/>
                <w:b/>
                <w:bCs/>
                <w:color w:val="auto"/>
                <w:kern w:val="0"/>
                <w:sz w:val="24"/>
                <w:lang w:val="en-US" w:eastAsia="zh-CN" w:bidi="ar"/>
              </w:rPr>
              <w:t>2.创业。</w:t>
            </w:r>
            <w:r>
              <w:rPr>
                <w:rFonts w:hint="default" w:ascii="Times New Roman" w:hAnsi="Times New Roman" w:eastAsia="仿宋_GB2312" w:cs="Times New Roman"/>
                <w:color w:val="auto"/>
                <w:kern w:val="0"/>
                <w:sz w:val="24"/>
                <w:szCs w:val="24"/>
                <w:lang w:bidi="ar"/>
              </w:rPr>
              <w:t>每年新建省级农民工返乡创业园3个、市级农民工返乡创业园10个，在省级农民工返乡创业园中选定5个高水平创业创新示范基地。创建职业指导大师工作室，每年建成1个省级职业指导大师工作室，培养2名高水平创业导师。</w:t>
            </w:r>
          </w:p>
          <w:p>
            <w:pPr>
              <w:keepNext w:val="0"/>
              <w:keepLines w:val="0"/>
              <w:pageBreakBefore w:val="0"/>
              <w:widowControl/>
              <w:kinsoku/>
              <w:wordWrap/>
              <w:overflowPunct/>
              <w:topLinePunct w:val="0"/>
              <w:autoSpaceDE/>
              <w:autoSpaceDN/>
              <w:bidi w:val="0"/>
              <w:adjustRightInd/>
              <w:spacing w:before="50" w:after="50" w:line="400" w:lineRule="exact"/>
              <w:ind w:firstLine="482"/>
              <w:jc w:val="left"/>
              <w:textAlignment w:val="auto"/>
              <w:rPr>
                <w:rFonts w:hint="default" w:ascii="Times New Roman" w:hAnsi="Times New Roman" w:eastAsia="仿宋_GB2312" w:cs="Times New Roman"/>
                <w:color w:val="auto"/>
                <w:kern w:val="0"/>
                <w:sz w:val="24"/>
                <w:szCs w:val="24"/>
                <w:lang w:bidi="ar"/>
              </w:rPr>
            </w:pPr>
            <w:r>
              <w:rPr>
                <w:rFonts w:hint="default" w:ascii="Times New Roman" w:hAnsi="Times New Roman" w:eastAsia="楷体_GB2312" w:cs="Times New Roman"/>
                <w:b/>
                <w:bCs/>
                <w:color w:val="auto"/>
                <w:kern w:val="0"/>
                <w:sz w:val="24"/>
                <w:lang w:val="en-US" w:eastAsia="zh-CN" w:bidi="ar"/>
              </w:rPr>
              <w:t>3.职业技能培</w:t>
            </w:r>
            <w:r>
              <w:rPr>
                <w:rFonts w:hint="default" w:ascii="Times New Roman" w:hAnsi="Times New Roman" w:eastAsia="楷体_GB2312" w:cs="Times New Roman"/>
                <w:b/>
                <w:bCs/>
                <w:color w:val="auto"/>
                <w:kern w:val="0"/>
                <w:sz w:val="24"/>
                <w:highlight w:val="none"/>
                <w:lang w:val="en-US" w:eastAsia="zh-CN" w:bidi="ar"/>
              </w:rPr>
              <w:t>训。</w:t>
            </w:r>
            <w:r>
              <w:rPr>
                <w:rFonts w:hint="default" w:ascii="Times New Roman" w:hAnsi="Times New Roman" w:eastAsia="仿宋_GB2312" w:cs="Times New Roman"/>
                <w:color w:val="auto"/>
                <w:kern w:val="0"/>
                <w:sz w:val="24"/>
                <w:szCs w:val="24"/>
                <w:lang w:bidi="ar"/>
              </w:rPr>
              <w:t>“十四五”期间，</w:t>
            </w:r>
            <w:r>
              <w:rPr>
                <w:rFonts w:hint="default" w:ascii="Times New Roman" w:hAnsi="Times New Roman" w:eastAsia="仿宋_GB2312" w:cs="Times New Roman"/>
                <w:color w:val="auto"/>
                <w:kern w:val="0"/>
                <w:sz w:val="24"/>
                <w:szCs w:val="24"/>
                <w:highlight w:val="none"/>
                <w:lang w:eastAsia="zh-CN" w:bidi="ar"/>
              </w:rPr>
              <w:t>建设6家市级以上示范性公共实训基地，</w:t>
            </w:r>
            <w:r>
              <w:rPr>
                <w:rFonts w:hint="default" w:ascii="Times New Roman" w:hAnsi="Times New Roman" w:eastAsia="仿宋_GB2312" w:cs="Times New Roman"/>
                <w:color w:val="auto"/>
                <w:kern w:val="0"/>
                <w:sz w:val="24"/>
                <w:szCs w:val="24"/>
                <w:lang w:bidi="ar"/>
              </w:rPr>
              <w:t>15个市级以上技能大师工作室</w:t>
            </w:r>
            <w:r>
              <w:rPr>
                <w:rFonts w:hint="default" w:ascii="Times New Roman" w:hAnsi="Times New Roman" w:eastAsia="仿宋_GB2312" w:cs="Times New Roman"/>
                <w:color w:val="auto"/>
                <w:kern w:val="0"/>
                <w:sz w:val="24"/>
                <w:szCs w:val="24"/>
                <w:lang w:eastAsia="zh-CN" w:bidi="ar"/>
              </w:rPr>
              <w:t>，</w:t>
            </w:r>
            <w:r>
              <w:rPr>
                <w:rFonts w:hint="default" w:ascii="Times New Roman" w:hAnsi="Times New Roman" w:eastAsia="仿宋_GB2312" w:cs="Times New Roman"/>
                <w:color w:val="auto"/>
                <w:kern w:val="0"/>
                <w:sz w:val="24"/>
                <w:szCs w:val="24"/>
                <w:lang w:bidi="ar"/>
              </w:rPr>
              <w:t>建设一批市级技能大师工作室、社会培训评价组织</w:t>
            </w:r>
            <w:r>
              <w:rPr>
                <w:rFonts w:hint="default" w:ascii="Times New Roman" w:hAnsi="Times New Roman" w:eastAsia="仿宋_GB2312" w:cs="Times New Roman"/>
                <w:color w:val="auto"/>
                <w:kern w:val="0"/>
                <w:sz w:val="24"/>
                <w:szCs w:val="24"/>
                <w:lang w:eastAsia="zh-CN" w:bidi="ar"/>
              </w:rPr>
              <w:t>，</w:t>
            </w:r>
            <w:r>
              <w:rPr>
                <w:rFonts w:hint="default" w:ascii="Times New Roman" w:hAnsi="Times New Roman" w:eastAsia="仿宋_GB2312" w:cs="Times New Roman"/>
                <w:color w:val="auto"/>
                <w:kern w:val="0"/>
                <w:sz w:val="24"/>
                <w:szCs w:val="24"/>
                <w:lang w:bidi="ar"/>
              </w:rPr>
              <w:t>提质升级家政实训基地（金寨技师学院</w:t>
            </w:r>
            <w:r>
              <w:rPr>
                <w:rFonts w:hint="default" w:ascii="Times New Roman" w:hAnsi="Times New Roman" w:eastAsia="仿宋_GB2312" w:cs="Times New Roman"/>
                <w:color w:val="auto"/>
                <w:kern w:val="0"/>
                <w:sz w:val="24"/>
                <w:szCs w:val="24"/>
                <w:lang w:eastAsia="zh-CN" w:bidi="ar"/>
              </w:rPr>
              <w:t>），</w:t>
            </w:r>
            <w:r>
              <w:rPr>
                <w:rFonts w:hint="default" w:ascii="Times New Roman" w:hAnsi="Times New Roman" w:eastAsia="仿宋_GB2312" w:cs="Times New Roman"/>
                <w:color w:val="auto"/>
                <w:kern w:val="0"/>
                <w:sz w:val="24"/>
                <w:szCs w:val="24"/>
                <w:lang w:val="en-US" w:eastAsia="zh-CN" w:bidi="ar"/>
              </w:rPr>
              <w:t>支持</w:t>
            </w:r>
            <w:r>
              <w:rPr>
                <w:rFonts w:hint="default" w:ascii="Times New Roman" w:hAnsi="Times New Roman" w:eastAsia="仿宋_GB2312" w:cs="Times New Roman"/>
                <w:color w:val="auto"/>
                <w:kern w:val="0"/>
                <w:sz w:val="24"/>
                <w:szCs w:val="24"/>
                <w:lang w:bidi="ar"/>
              </w:rPr>
              <w:t>霍山技工学校升级为高级技工学校。</w:t>
            </w:r>
          </w:p>
          <w:p>
            <w:pPr>
              <w:keepNext w:val="0"/>
              <w:keepLines w:val="0"/>
              <w:pageBreakBefore w:val="0"/>
              <w:widowControl/>
              <w:kinsoku/>
              <w:wordWrap/>
              <w:overflowPunct/>
              <w:topLinePunct w:val="0"/>
              <w:autoSpaceDE/>
              <w:autoSpaceDN/>
              <w:bidi w:val="0"/>
              <w:adjustRightInd/>
              <w:spacing w:before="50" w:after="50" w:line="400" w:lineRule="exact"/>
              <w:ind w:firstLine="482"/>
              <w:jc w:val="left"/>
              <w:textAlignment w:val="auto"/>
              <w:rPr>
                <w:rFonts w:hint="default" w:ascii="Times New Roman" w:hAnsi="Times New Roman" w:eastAsia="仿宋_GB2312" w:cs="Times New Roman"/>
                <w:color w:val="auto"/>
                <w:kern w:val="0"/>
                <w:sz w:val="24"/>
                <w:szCs w:val="24"/>
                <w:lang w:eastAsia="zh-CN" w:bidi="ar"/>
              </w:rPr>
            </w:pPr>
            <w:r>
              <w:rPr>
                <w:rFonts w:hint="default" w:ascii="Times New Roman" w:hAnsi="Times New Roman" w:eastAsia="楷体_GB2312" w:cs="Times New Roman"/>
                <w:b/>
                <w:bCs/>
                <w:color w:val="auto"/>
                <w:kern w:val="0"/>
                <w:sz w:val="24"/>
                <w:lang w:val="en-US" w:eastAsia="zh-CN" w:bidi="ar"/>
              </w:rPr>
              <w:t>4.</w:t>
            </w:r>
            <w:r>
              <w:rPr>
                <w:rFonts w:hint="default" w:ascii="Times New Roman" w:hAnsi="Times New Roman" w:eastAsia="楷体_GB2312" w:cs="Times New Roman"/>
                <w:b/>
                <w:bCs/>
                <w:color w:val="auto"/>
                <w:kern w:val="0"/>
                <w:sz w:val="24"/>
                <w:lang w:bidi="ar"/>
              </w:rPr>
              <w:t>和谐劳动关系</w:t>
            </w:r>
            <w:r>
              <w:rPr>
                <w:rFonts w:hint="default" w:ascii="Times New Roman" w:hAnsi="Times New Roman" w:eastAsia="仿宋_GB2312" w:cs="Times New Roman"/>
                <w:b/>
                <w:bCs/>
                <w:color w:val="auto"/>
                <w:kern w:val="0"/>
                <w:sz w:val="24"/>
                <w:szCs w:val="24"/>
                <w:lang w:eastAsia="zh-CN" w:bidi="ar"/>
              </w:rPr>
              <w:t>。</w:t>
            </w:r>
            <w:r>
              <w:rPr>
                <w:rFonts w:hint="default" w:ascii="Times New Roman" w:hAnsi="Times New Roman" w:eastAsia="仿宋_GB2312" w:cs="Times New Roman"/>
                <w:color w:val="auto"/>
                <w:kern w:val="0"/>
                <w:sz w:val="24"/>
                <w:szCs w:val="24"/>
                <w:lang w:eastAsia="zh-CN" w:bidi="ar"/>
              </w:rPr>
              <w:t>建成市县两级劳动保障监察指挥中心，建设全市统一的保障农民工工资支付信息化系统、农民工工资支付数据交换平台和保障农民工工资支付数据分析应用平台。在全市8个省级以上工业园区设立劳动关系公共服务中心，</w:t>
            </w:r>
            <w:r>
              <w:rPr>
                <w:rFonts w:hint="default" w:ascii="Times New Roman" w:hAnsi="Times New Roman" w:eastAsia="仿宋_GB2312" w:cs="Times New Roman"/>
                <w:color w:val="auto"/>
                <w:kern w:val="0"/>
                <w:sz w:val="24"/>
                <w:szCs w:val="24"/>
                <w:lang w:bidi="ar"/>
              </w:rPr>
              <w:t>到</w:t>
            </w:r>
            <w:r>
              <w:rPr>
                <w:rFonts w:hint="default" w:ascii="Times New Roman" w:hAnsi="Times New Roman" w:eastAsia="仿宋_GB2312" w:cs="Times New Roman"/>
                <w:color w:val="auto"/>
                <w:kern w:val="0"/>
                <w:sz w:val="24"/>
                <w:szCs w:val="24"/>
                <w:lang w:eastAsia="zh-CN" w:bidi="ar"/>
              </w:rPr>
              <w:t>2</w:t>
            </w:r>
            <w:r>
              <w:rPr>
                <w:rFonts w:hint="default" w:ascii="Times New Roman" w:hAnsi="Times New Roman" w:eastAsia="仿宋_GB2312" w:cs="Times New Roman"/>
                <w:color w:val="auto"/>
                <w:kern w:val="0"/>
                <w:sz w:val="24"/>
                <w:szCs w:val="24"/>
                <w:lang w:val="en-US" w:eastAsia="zh-CN" w:bidi="ar"/>
              </w:rPr>
              <w:t>025年，</w:t>
            </w:r>
            <w:r>
              <w:rPr>
                <w:rFonts w:hint="default" w:ascii="Times New Roman" w:hAnsi="Times New Roman" w:eastAsia="仿宋_GB2312" w:cs="Times New Roman"/>
                <w:color w:val="auto"/>
                <w:kern w:val="0"/>
                <w:sz w:val="24"/>
                <w:szCs w:val="24"/>
                <w:lang w:bidi="ar"/>
              </w:rPr>
              <w:t>园区内规模以上工业企业80%以上达到和谐劳动关系示范企业评价确认标准</w:t>
            </w:r>
            <w:r>
              <w:rPr>
                <w:rFonts w:hint="default" w:ascii="Times New Roman" w:hAnsi="Times New Roman" w:eastAsia="仿宋_GB2312" w:cs="Times New Roman"/>
                <w:color w:val="auto"/>
                <w:kern w:val="0"/>
                <w:sz w:val="24"/>
                <w:szCs w:val="24"/>
                <w:lang w:eastAsia="zh-CN" w:bidi="ar"/>
              </w:rPr>
              <w:t>，全市15户规模以上非公企业建成和谐劳动关系示范企业，规模以上企业至少有1名获得技能等级证书的劳动关系协调员。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0" w:right="0" w:firstLine="482"/>
              <w:jc w:val="left"/>
              <w:textAlignment w:val="auto"/>
              <w:rPr>
                <w:rFonts w:hint="eastAsia" w:ascii="Times New Roman" w:hAnsi="Times New Roman" w:eastAsia="仿宋_GB2312" w:cs="Times New Roman"/>
                <w:color w:val="auto"/>
                <w:kern w:val="0"/>
                <w:sz w:val="24"/>
                <w:szCs w:val="24"/>
                <w:highlight w:val="none"/>
                <w:shd w:val="clear" w:fill="FFFFFF"/>
                <w:lang w:val="en-US" w:eastAsia="zh-CN" w:bidi="ar"/>
              </w:rPr>
            </w:pPr>
            <w:r>
              <w:rPr>
                <w:rFonts w:hint="default" w:ascii="Times New Roman" w:hAnsi="Times New Roman" w:eastAsia="楷体_GB2312" w:cs="Times New Roman"/>
                <w:b/>
                <w:bCs/>
                <w:color w:val="auto"/>
                <w:kern w:val="0"/>
                <w:sz w:val="24"/>
                <w:lang w:val="en-US" w:eastAsia="zh-CN" w:bidi="ar"/>
              </w:rPr>
              <w:t>5</w:t>
            </w:r>
            <w:r>
              <w:rPr>
                <w:rFonts w:hint="default" w:ascii="Times New Roman" w:hAnsi="Times New Roman" w:eastAsia="楷体_GB2312" w:cs="Times New Roman"/>
                <w:b/>
                <w:bCs/>
                <w:color w:val="auto"/>
                <w:kern w:val="0"/>
                <w:sz w:val="24"/>
                <w:lang w:bidi="ar"/>
              </w:rPr>
              <w:t>.就业创业服务</w:t>
            </w:r>
            <w:r>
              <w:rPr>
                <w:rFonts w:hint="default" w:ascii="Times New Roman" w:hAnsi="Times New Roman" w:eastAsia="楷体_GB2312" w:cs="Times New Roman"/>
                <w:b/>
                <w:bCs/>
                <w:color w:val="auto"/>
                <w:kern w:val="0"/>
                <w:sz w:val="24"/>
                <w:lang w:val="en-US" w:eastAsia="zh-CN" w:bidi="ar"/>
              </w:rPr>
              <w:t>能力</w:t>
            </w:r>
            <w:r>
              <w:rPr>
                <w:rFonts w:hint="default" w:ascii="Times New Roman" w:hAnsi="Times New Roman" w:eastAsia="楷体_GB2312" w:cs="Times New Roman"/>
                <w:b/>
                <w:bCs/>
                <w:color w:val="auto"/>
                <w:kern w:val="0"/>
                <w:sz w:val="24"/>
                <w:lang w:bidi="ar"/>
              </w:rPr>
              <w:t>。</w:t>
            </w:r>
            <w:r>
              <w:rPr>
                <w:rFonts w:hint="default" w:ascii="Times New Roman" w:hAnsi="Times New Roman" w:eastAsia="仿宋_GB2312" w:cs="Times New Roman"/>
                <w:color w:val="auto"/>
                <w:kern w:val="0"/>
                <w:sz w:val="24"/>
                <w:szCs w:val="24"/>
                <w:lang w:eastAsia="zh-CN" w:bidi="ar"/>
              </w:rPr>
              <w:t>加强六安籍驻外省农民工综合服务站点建设。</w:t>
            </w:r>
            <w:r>
              <w:rPr>
                <w:rFonts w:hint="default" w:ascii="Times New Roman" w:hAnsi="Times New Roman" w:eastAsia="仿宋_GB2312" w:cs="Times New Roman"/>
                <w:color w:val="auto"/>
                <w:kern w:val="0"/>
                <w:sz w:val="24"/>
                <w:szCs w:val="24"/>
                <w:highlight w:val="none"/>
                <w:lang w:eastAsia="zh-CN" w:bidi="ar"/>
              </w:rPr>
              <w:t>推进霍邱县农村劳动力转移就业示范县和示范基地建设。</w:t>
            </w:r>
            <w:r>
              <w:rPr>
                <w:rFonts w:hint="default" w:ascii="Times New Roman" w:hAnsi="Times New Roman" w:eastAsia="仿宋_GB2312" w:cs="Times New Roman"/>
                <w:color w:val="auto"/>
                <w:kern w:val="0"/>
                <w:sz w:val="24"/>
                <w:szCs w:val="24"/>
                <w:lang w:eastAsia="zh-CN" w:bidi="ar"/>
              </w:rPr>
              <w:t>组织开展基层公共就业服务人员业务培训。</w:t>
            </w:r>
            <w:r>
              <w:rPr>
                <w:rFonts w:hint="default" w:ascii="Times New Roman" w:hAnsi="Times New Roman" w:eastAsia="仿宋_GB2312" w:cs="Times New Roman"/>
                <w:color w:val="auto"/>
                <w:kern w:val="0"/>
                <w:sz w:val="24"/>
                <w:highlight w:val="none"/>
                <w:lang w:bidi="ar"/>
              </w:rPr>
              <w:t>深入开展人社系统窗口单位业务技能练兵比武活动。全面开展人社政务服务“好差评”</w:t>
            </w:r>
            <w:r>
              <w:rPr>
                <w:rFonts w:hint="eastAsia" w:ascii="Times New Roman" w:hAnsi="Times New Roman" w:eastAsia="仿宋_GB2312" w:cs="Times New Roman"/>
                <w:color w:val="auto"/>
                <w:kern w:val="0"/>
                <w:sz w:val="24"/>
                <w:highlight w:val="none"/>
                <w:lang w:eastAsia="zh-CN" w:bidi="ar"/>
              </w:rPr>
              <w:t>。</w:t>
            </w:r>
          </w:p>
        </w:tc>
      </w:tr>
    </w:tbl>
    <w:p>
      <w:pPr>
        <w:pStyle w:val="3"/>
        <w:spacing w:before="156" w:beforeLines="50" w:after="156" w:afterLines="50" w:line="600" w:lineRule="exact"/>
        <w:rPr>
          <w:rFonts w:hint="default" w:ascii="Times New Roman" w:hAnsi="Times New Roman" w:cs="Times New Roman"/>
          <w:color w:val="auto"/>
        </w:rPr>
        <w:sectPr>
          <w:pgSz w:w="11906" w:h="16838"/>
          <w:pgMar w:top="1440" w:right="1800" w:bottom="1440" w:left="1800" w:header="851" w:footer="992" w:gutter="0"/>
          <w:pgNumType w:fmt="decimal"/>
          <w:cols w:space="425" w:num="1"/>
          <w:docGrid w:type="lines" w:linePitch="312" w:charSpace="0"/>
        </w:sectPr>
      </w:pPr>
    </w:p>
    <w:p>
      <w:pPr>
        <w:pStyle w:val="3"/>
        <w:spacing w:before="156" w:beforeLines="50" w:after="156" w:afterLines="50" w:line="600" w:lineRule="exact"/>
        <w:rPr>
          <w:rFonts w:hint="eastAsia" w:ascii="Times New Roman" w:hAnsi="Times New Roman" w:eastAsia="黑体" w:cs="Times New Roman"/>
          <w:color w:val="auto"/>
          <w:lang w:eastAsia="zh-CN"/>
        </w:rPr>
      </w:pPr>
      <w:bookmarkStart w:id="116" w:name="_Toc2580"/>
      <w:bookmarkStart w:id="117" w:name="_Toc31198"/>
      <w:bookmarkStart w:id="118" w:name="_Toc10247"/>
      <w:bookmarkStart w:id="119" w:name="_Toc10570"/>
      <w:r>
        <w:rPr>
          <w:rFonts w:hint="default" w:ascii="Times New Roman" w:hAnsi="Times New Roman" w:cs="Times New Roman"/>
          <w:color w:val="auto"/>
        </w:rPr>
        <w:t>第六章  全面惠民的医疗卫生服务</w:t>
      </w:r>
      <w:bookmarkEnd w:id="116"/>
      <w:bookmarkEnd w:id="117"/>
      <w:bookmarkEnd w:id="118"/>
      <w:bookmarkEnd w:id="119"/>
    </w:p>
    <w:p>
      <w:pPr>
        <w:spacing w:line="600" w:lineRule="exact"/>
        <w:ind w:firstLine="640"/>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rPr>
        <w:t>聚焦影响人民健康的重大疾病和突出问题，坚持预防为主，中西医并重，补齐医疗卫生资源短板，提升医疗卫生服务水平。</w:t>
      </w:r>
    </w:p>
    <w:p>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hint="default" w:ascii="Times New Roman" w:hAnsi="Times New Roman" w:cs="Times New Roman"/>
          <w:color w:val="auto"/>
        </w:rPr>
      </w:pPr>
      <w:bookmarkStart w:id="120" w:name="_Toc10418"/>
      <w:bookmarkStart w:id="121" w:name="_Toc30712"/>
      <w:bookmarkStart w:id="122" w:name="_Toc27848"/>
      <w:bookmarkStart w:id="123" w:name="_Toc3560"/>
      <w:bookmarkStart w:id="124" w:name="_Toc15582"/>
      <w:bookmarkStart w:id="125" w:name="_Toc87883526"/>
      <w:r>
        <w:rPr>
          <w:rFonts w:hint="default" w:ascii="Times New Roman" w:hAnsi="Times New Roman" w:cs="Times New Roman"/>
          <w:color w:val="auto"/>
        </w:rPr>
        <w:t>第一节  病有所医</w:t>
      </w:r>
      <w:bookmarkEnd w:id="120"/>
      <w:bookmarkEnd w:id="121"/>
      <w:bookmarkEnd w:id="122"/>
      <w:bookmarkEnd w:id="123"/>
      <w:bookmarkEnd w:id="124"/>
      <w:bookmarkEnd w:id="125"/>
    </w:p>
    <w:p>
      <w:pPr>
        <w:spacing w:line="600" w:lineRule="exact"/>
        <w:ind w:firstLine="643"/>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rPr>
        <w:t>完善公共卫生服务体系。</w:t>
      </w:r>
      <w:r>
        <w:rPr>
          <w:rFonts w:hint="default" w:ascii="Times New Roman" w:hAnsi="Times New Roman" w:eastAsia="仿宋_GB2312" w:cs="Times New Roman"/>
          <w:color w:val="auto"/>
          <w:sz w:val="32"/>
          <w:szCs w:val="32"/>
        </w:rPr>
        <w:t>健全疾病预防控制体系，加强常态化疫情防控，构建以专业公共卫生机构为骨干、综合医院为依托、基层医疗卫生机构为网底、职责清晰、协同高效的疾病预防控制网络。健全公共卫生应急管理体系，构建以新冠肺炎为重点的重大疫情应急响应、精准施救、资源配置等管理体制，完善监测预警机制和联防联控机制。</w:t>
      </w:r>
      <w:r>
        <w:rPr>
          <w:rFonts w:hint="eastAsia" w:ascii="Times New Roman" w:hAnsi="Times New Roman" w:eastAsia="仿宋_GB2312" w:cs="Times New Roman"/>
          <w:color w:val="auto"/>
          <w:sz w:val="32"/>
          <w:szCs w:val="32"/>
          <w:lang w:eastAsia="zh-CN"/>
        </w:rPr>
        <w:t>推进平战结合，加快公共卫生应急设施建设。</w:t>
      </w:r>
      <w:r>
        <w:rPr>
          <w:rFonts w:hint="default" w:ascii="Times New Roman" w:hAnsi="Times New Roman" w:eastAsia="仿宋_GB2312" w:cs="Times New Roman"/>
          <w:color w:val="auto"/>
          <w:sz w:val="32"/>
          <w:szCs w:val="32"/>
        </w:rPr>
        <w:t>强化突发公共卫生事件医疗救治能力，推进救治能力提升工程，加强传染病防治机构建设。实施以高血压、糖尿病、癌症等为重点的慢性病综合防控战略，加强慢性病早期筛查、早期干预及分类管理。强化医防协同机制建设，积极探索疾控机构参与医联体建设。深入开展爱国卫生运动，扎实推进卫生镇、卫生村和卫生先进单位创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积极争创国家健康城市</w:t>
      </w:r>
      <w:r>
        <w:rPr>
          <w:rFonts w:hint="default" w:ascii="Times New Roman" w:hAnsi="Times New Roman" w:eastAsia="仿宋_GB2312" w:cs="Times New Roman"/>
          <w:color w:val="auto"/>
          <w:sz w:val="32"/>
          <w:szCs w:val="32"/>
        </w:rPr>
        <w:t>。加强村（居）民委员会公共卫生委员会建设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配备专兼职人员。</w:t>
      </w:r>
    </w:p>
    <w:p>
      <w:pPr>
        <w:spacing w:line="60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提升医疗卫生服务水平。</w:t>
      </w:r>
      <w:r>
        <w:rPr>
          <w:rFonts w:hint="default" w:ascii="Times New Roman" w:hAnsi="Times New Roman" w:eastAsia="仿宋_GB2312" w:cs="Times New Roman"/>
          <w:color w:val="auto"/>
          <w:sz w:val="32"/>
          <w:szCs w:val="32"/>
        </w:rPr>
        <w:t>补足县级医院学科建设短板，提升烧伤整形、全科医学、血液科等专科能力。支持县域内胸痛、卒中、创伤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危重孕产妇</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危重新生儿救治等“五大中心”建设，重点加大县域医疗救治中心建设力度。支持乡镇卫生院建设特色专科。实施乡村医疗卫生服务能力提升“百千万”工程。开展社区医院创建，加强住院病房建设。加强急诊、护理等急需紧缺专业人才补充。</w:t>
      </w:r>
    </w:p>
    <w:p>
      <w:pPr>
        <w:spacing w:line="60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推动中医药传承创新发展。</w:t>
      </w:r>
      <w:r>
        <w:rPr>
          <w:rFonts w:hint="default" w:ascii="Times New Roman" w:hAnsi="Times New Roman" w:eastAsia="仿宋_GB2312" w:cs="Times New Roman"/>
          <w:color w:val="auto"/>
          <w:sz w:val="32"/>
          <w:szCs w:val="32"/>
        </w:rPr>
        <w:t>完善中医药服务体系，提供覆盖全民和全生命周期的中医药服务。推进市中医院牵头包括各区、县中医院在内的中医医联体建设。支持基层建设中医馆，持续推广全市基层适宜技术培训项目。推进符合中医药服务特点的医保支付方式改革，遴选不少于</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0个中医优势病种</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按病种付费。加大“十大皖药”中霍山石斛、灵芝、茯苓、断血流、黄精、天麻六种道地中药品牌的开发利用和宣传力度，打造六安中医药文化“金名片”。到2025年，力争创建国家中医药综合改革示范区。</w:t>
      </w:r>
    </w:p>
    <w:p>
      <w:pPr>
        <w:spacing w:line="60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健全多层次医疗保障体系。</w:t>
      </w:r>
      <w:r>
        <w:rPr>
          <w:rFonts w:hint="default" w:ascii="Times New Roman" w:hAnsi="Times New Roman" w:eastAsia="仿宋_GB2312" w:cs="Times New Roman"/>
          <w:color w:val="auto"/>
          <w:sz w:val="32"/>
          <w:szCs w:val="32"/>
        </w:rPr>
        <w:t>健全重特大疾病医疗保险和医疗救助制度，积极推动医疗救助与基本医保统筹层次相协调。完善医保结算支付办法和紧密型县域医共体医保基金专用账户管理机制，</w:t>
      </w:r>
      <w:r>
        <w:rPr>
          <w:rFonts w:hint="eastAsia" w:ascii="Times New Roman" w:hAnsi="Times New Roman" w:eastAsia="仿宋_GB2312" w:cs="Times New Roman"/>
          <w:color w:val="auto"/>
          <w:sz w:val="32"/>
          <w:szCs w:val="32"/>
          <w:lang w:eastAsia="zh-CN"/>
        </w:rPr>
        <w:t>深入推进</w:t>
      </w:r>
      <w:r>
        <w:rPr>
          <w:rFonts w:hint="default" w:ascii="Times New Roman" w:hAnsi="Times New Roman" w:eastAsia="仿宋_GB2312" w:cs="Times New Roman"/>
          <w:color w:val="auto"/>
          <w:sz w:val="32"/>
          <w:szCs w:val="32"/>
        </w:rPr>
        <w:t>DRG支付方式，继续扩大按病种付费实施范围，完善按床日付费支付方式。逐步将门诊医疗费用纳入基本医疗保险统筹基金支付范围，建立职工门诊共济保障机制。加强医疗、医保、医药政策和管理协同，对公立医疗机构基本医疗服务价格实行动态调整，建立符合医务人员技术劳务价值的医疗服务价格形成机制和补偿机制，逐步理顺医疗服务项目比价关系。</w:t>
      </w:r>
      <w:r>
        <w:rPr>
          <w:rFonts w:hint="default" w:ascii="Times New Roman" w:hAnsi="Times New Roman" w:eastAsia="仿宋_GB2312" w:cs="Times New Roman"/>
          <w:color w:val="auto"/>
          <w:sz w:val="32"/>
          <w:szCs w:val="32"/>
          <w:lang w:eastAsia="zh-CN"/>
        </w:rPr>
        <w:t>鼓励商业健康保险和医疗互助发展，不断壮大慈善救助，形成对基本医疗保障的有益补充。</w:t>
      </w:r>
    </w:p>
    <w:p>
      <w:pPr>
        <w:pStyle w:val="2"/>
        <w:spacing w:before="156" w:beforeLines="50" w:after="156" w:afterLines="50" w:line="600" w:lineRule="exact"/>
        <w:rPr>
          <w:rFonts w:hint="default" w:ascii="Times New Roman" w:hAnsi="Times New Roman" w:cs="Times New Roman"/>
          <w:color w:val="auto"/>
        </w:rPr>
      </w:pPr>
      <w:bookmarkStart w:id="126" w:name="_Toc25296"/>
      <w:bookmarkStart w:id="127" w:name="_Toc87883527"/>
      <w:bookmarkStart w:id="128" w:name="_Toc16735"/>
      <w:bookmarkStart w:id="129" w:name="_Toc4601"/>
      <w:bookmarkStart w:id="130" w:name="_Toc11040"/>
      <w:bookmarkStart w:id="131" w:name="_Toc11139"/>
      <w:r>
        <w:rPr>
          <w:rFonts w:hint="default" w:ascii="Times New Roman" w:hAnsi="Times New Roman" w:cs="Times New Roman"/>
          <w:color w:val="auto"/>
        </w:rPr>
        <w:t>第二节  病有良医</w:t>
      </w:r>
      <w:bookmarkEnd w:id="126"/>
      <w:bookmarkEnd w:id="127"/>
      <w:bookmarkEnd w:id="128"/>
      <w:bookmarkEnd w:id="129"/>
      <w:bookmarkEnd w:id="130"/>
      <w:bookmarkEnd w:id="131"/>
    </w:p>
    <w:p>
      <w:pPr>
        <w:spacing w:line="60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优质医疗资源提质扩容。</w:t>
      </w:r>
      <w:r>
        <w:rPr>
          <w:rFonts w:hint="default" w:ascii="Times New Roman" w:hAnsi="Times New Roman" w:eastAsia="仿宋_GB2312" w:cs="Times New Roman"/>
          <w:color w:val="auto"/>
          <w:sz w:val="32"/>
          <w:szCs w:val="32"/>
        </w:rPr>
        <w:t>优化城市医疗资源空间布局，推动区域性医疗中心建设，重点培育儿科、创伤、公共卫生、肿瘤等临床重点专科，培养孵化一批新的市级医学专科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积极争创</w:t>
      </w:r>
      <w:r>
        <w:rPr>
          <w:rFonts w:hint="default" w:ascii="Times New Roman" w:hAnsi="Times New Roman" w:eastAsia="仿宋_GB2312" w:cs="Times New Roman"/>
          <w:color w:val="auto"/>
          <w:sz w:val="32"/>
          <w:szCs w:val="32"/>
          <w:lang w:eastAsia="zh-CN"/>
        </w:rPr>
        <w:t>省级区域专科医疗中心</w:t>
      </w:r>
      <w:r>
        <w:rPr>
          <w:rFonts w:hint="default" w:ascii="Times New Roman" w:hAnsi="Times New Roman" w:eastAsia="仿宋_GB2312" w:cs="Times New Roman"/>
          <w:color w:val="auto"/>
          <w:sz w:val="32"/>
          <w:szCs w:val="32"/>
        </w:rPr>
        <w:t>。鼓励三级医院积极申报国家级重点学科和省级重点学科。鼓励社会力量举办高水平专科医院，重点引进我市医疗资源相对薄弱的心血管病医院、儿童医院、皮肤病医院、精神病医院等。深化紧密型城市医联体和县域医共体建设，加快形成基层首诊、双向转诊、急慢分治、上下联动的分级诊疗模式。</w:t>
      </w:r>
    </w:p>
    <w:p>
      <w:pPr>
        <w:spacing w:line="60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优化全生命周期健康服务。</w:t>
      </w:r>
      <w:r>
        <w:rPr>
          <w:rFonts w:hint="default" w:ascii="Times New Roman" w:hAnsi="Times New Roman" w:eastAsia="仿宋_GB2312" w:cs="Times New Roman"/>
          <w:color w:val="auto"/>
          <w:sz w:val="32"/>
          <w:szCs w:val="32"/>
        </w:rPr>
        <w:t>争取全市妇幼保健机构全部达到二级或二级以上水平，金安区妇幼保健院积极创建三级医院。</w:t>
      </w:r>
      <w:r>
        <w:rPr>
          <w:rFonts w:hint="default" w:ascii="Times New Roman" w:hAnsi="Times New Roman" w:eastAsia="仿宋_GB2312" w:cs="Times New Roman"/>
          <w:color w:val="auto"/>
          <w:sz w:val="32"/>
          <w:szCs w:val="32"/>
          <w:lang w:val="en-US" w:eastAsia="zh-CN"/>
        </w:rPr>
        <w:t>完善</w:t>
      </w:r>
      <w:r>
        <w:rPr>
          <w:rFonts w:hint="default" w:ascii="Times New Roman" w:hAnsi="Times New Roman" w:eastAsia="仿宋_GB2312" w:cs="Times New Roman"/>
          <w:color w:val="auto"/>
          <w:sz w:val="32"/>
          <w:szCs w:val="32"/>
        </w:rPr>
        <w:t>危重孕产妇和新生儿救治网络，</w:t>
      </w:r>
      <w:r>
        <w:rPr>
          <w:rFonts w:hint="default" w:ascii="Times New Roman" w:hAnsi="Times New Roman" w:eastAsia="仿宋_GB2312" w:cs="Times New Roman"/>
          <w:color w:val="auto"/>
          <w:sz w:val="32"/>
          <w:szCs w:val="32"/>
          <w:lang w:val="en-US" w:eastAsia="zh-CN"/>
        </w:rPr>
        <w:t>提升</w:t>
      </w:r>
      <w:r>
        <w:rPr>
          <w:rFonts w:hint="default" w:ascii="Times New Roman" w:hAnsi="Times New Roman" w:eastAsia="仿宋_GB2312" w:cs="Times New Roman"/>
          <w:color w:val="auto"/>
          <w:sz w:val="32"/>
          <w:szCs w:val="32"/>
        </w:rPr>
        <w:t>危重孕产妇和危重新生儿救治</w:t>
      </w:r>
      <w:r>
        <w:rPr>
          <w:rFonts w:hint="default" w:ascii="Times New Roman" w:hAnsi="Times New Roman" w:eastAsia="仿宋_GB2312" w:cs="Times New Roman"/>
          <w:color w:val="auto"/>
          <w:sz w:val="32"/>
          <w:szCs w:val="32"/>
          <w:lang w:val="en-US" w:eastAsia="zh-CN"/>
        </w:rPr>
        <w:t>能力</w:t>
      </w:r>
      <w:r>
        <w:rPr>
          <w:rFonts w:hint="default" w:ascii="Times New Roman" w:hAnsi="Times New Roman" w:eastAsia="仿宋_GB2312" w:cs="Times New Roman"/>
          <w:color w:val="auto"/>
          <w:sz w:val="32"/>
          <w:szCs w:val="32"/>
        </w:rPr>
        <w:t>。建立六安市“出生综合缺陷防控中心”。强化青少年近视、龋齿、肥胖等防控，开展儿童青少年近视防控适宜技术试点。推进精神卫生机构建设，强化严重精神障碍患者发现、治疗、管理与服务。加快老年医院、康复医院、护理院、安宁疗护机构等医疗机构建设，强化老年医学、康复医学学科建设。推深做实家庭医生签约服务，按应签尽签原则，以“三人”、“五病”人群为重点，提供预防、保健、健康咨询、疾病筛查、干预、诊疗等全方位健康服务。发展第三方医疗服务评价，推动改善医疗服务行动计划。</w:t>
      </w:r>
    </w:p>
    <w:p>
      <w:pPr>
        <w:spacing w:line="60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建立智慧医疗服务体系。</w:t>
      </w:r>
      <w:r>
        <w:rPr>
          <w:rFonts w:hint="default" w:ascii="Times New Roman" w:hAnsi="Times New Roman" w:eastAsia="仿宋_GB2312" w:cs="Times New Roman"/>
          <w:color w:val="auto"/>
          <w:sz w:val="32"/>
          <w:szCs w:val="32"/>
        </w:rPr>
        <w:t>全面建成统一权威、互联互通的全民健康信息平台，实现全市医疗机构全部标准化、规范化接入，逐步实现医疗服务与健康管理信息数据在各级各类医疗卫生机构及管理部门之间的业务协同。推进电子病历、智慧服务、智慧管理“三位一体”的智慧医院建设。全面开展“智联网医院”建设，基本实现各级医疗机构的服务和资源协同，实体医院与虚拟医院融合。促进远程医疗和互联网诊疗发展，推动更多医疗机构实现</w:t>
      </w:r>
      <w:r>
        <w:rPr>
          <w:rFonts w:hint="default" w:ascii="Times New Roman" w:hAnsi="Times New Roman" w:eastAsia="仿宋_GB2312" w:cs="Times New Roman"/>
          <w:color w:val="auto"/>
          <w:sz w:val="32"/>
          <w:szCs w:val="32"/>
          <w:lang w:val="en-US" w:eastAsia="zh-CN"/>
        </w:rPr>
        <w:t>影像</w:t>
      </w:r>
      <w:r>
        <w:rPr>
          <w:rFonts w:hint="default" w:ascii="Times New Roman" w:hAnsi="Times New Roman" w:eastAsia="仿宋_GB2312" w:cs="Times New Roman"/>
          <w:color w:val="auto"/>
          <w:sz w:val="32"/>
          <w:szCs w:val="32"/>
        </w:rPr>
        <w:t>检验检查结果互联互通，建立健全远程心电、远程检验系统。推动医疗设备和智能辅助诊疗系统的研发与应用。开展信息便民惠民服务，推动居民电子病历和电子健康档案在线查询和规范使用。</w:t>
      </w:r>
    </w:p>
    <w:p>
      <w:pPr>
        <w:pStyle w:val="6"/>
        <w:bidi w:val="0"/>
        <w:rPr>
          <w:rFonts w:hint="default" w:ascii="Times New Roman" w:hAnsi="Times New Roman" w:eastAsia="黑体" w:cs="Times New Roman"/>
          <w:color w:val="auto"/>
          <w:lang w:val="en-US" w:eastAsia="zh-CN"/>
        </w:rPr>
      </w:pPr>
      <w:r>
        <w:rPr>
          <w:rFonts w:hint="default" w:ascii="Times New Roman" w:hAnsi="Times New Roman" w:cs="Times New Roman"/>
          <w:color w:val="auto"/>
        </w:rPr>
        <w:t xml:space="preserve">专栏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SEQ 专栏 \* ARABIC </w:instrText>
      </w:r>
      <w:r>
        <w:rPr>
          <w:rFonts w:hint="default" w:ascii="Times New Roman" w:hAnsi="Times New Roman" w:cs="Times New Roman"/>
          <w:color w:val="auto"/>
        </w:rPr>
        <w:fldChar w:fldCharType="separate"/>
      </w:r>
      <w:r>
        <w:rPr>
          <w:rFonts w:hint="default" w:ascii="Times New Roman" w:hAnsi="Times New Roman" w:cs="Times New Roman"/>
          <w:color w:val="auto"/>
        </w:rPr>
        <w:t>6</w:t>
      </w:r>
      <w:r>
        <w:rPr>
          <w:rFonts w:hint="default" w:ascii="Times New Roman" w:hAnsi="Times New Roman" w:cs="Times New Roman"/>
          <w:color w:val="auto"/>
        </w:rPr>
        <w:fldChar w:fldCharType="end"/>
      </w:r>
      <w:bookmarkStart w:id="132" w:name="_Toc20586"/>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医疗卫生服务重点</w:t>
      </w:r>
      <w:r>
        <w:rPr>
          <w:rFonts w:hint="default" w:ascii="Times New Roman" w:hAnsi="Times New Roman" w:cs="Times New Roman"/>
          <w:color w:val="auto"/>
          <w:lang w:val="en-US" w:eastAsia="zh-CN"/>
        </w:rPr>
        <w:t>工程</w:t>
      </w:r>
      <w:bookmarkEnd w:id="132"/>
    </w:p>
    <w:tbl>
      <w:tblPr>
        <w:tblStyle w:val="18"/>
        <w:tblW w:w="8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593" w:type="dxa"/>
            <w:vAlign w:val="center"/>
          </w:tcPr>
          <w:p>
            <w:pPr>
              <w:spacing w:line="400" w:lineRule="exact"/>
              <w:ind w:firstLine="482" w:firstLineChars="200"/>
              <w:rPr>
                <w:rFonts w:hint="default" w:ascii="Times New Roman" w:hAnsi="Times New Roman" w:eastAsia="仿宋_GB2312" w:cs="Times New Roman"/>
                <w:color w:val="auto"/>
                <w:sz w:val="24"/>
              </w:rPr>
            </w:pPr>
            <w:r>
              <w:rPr>
                <w:rFonts w:hint="default" w:ascii="Times New Roman" w:hAnsi="Times New Roman" w:eastAsia="楷体_GB2312" w:cs="Times New Roman"/>
                <w:b/>
                <w:bCs/>
                <w:color w:val="auto"/>
                <w:sz w:val="24"/>
              </w:rPr>
              <w:t>1.公共卫生。</w:t>
            </w:r>
            <w:r>
              <w:rPr>
                <w:rFonts w:hint="default" w:ascii="Times New Roman" w:hAnsi="Times New Roman" w:eastAsia="仿宋_GB2312" w:cs="Times New Roman"/>
                <w:color w:val="auto"/>
                <w:sz w:val="24"/>
              </w:rPr>
              <w:t>建设市重大疫病救治中心、市传染病医院、市疾病预防控制中心</w:t>
            </w:r>
            <w:r>
              <w:rPr>
                <w:rFonts w:hint="eastAsia" w:ascii="Times New Roman" w:hAnsi="Times New Roman" w:eastAsia="仿宋_GB2312" w:cs="Times New Roman"/>
                <w:color w:val="auto"/>
                <w:sz w:val="24"/>
                <w:lang w:eastAsia="zh-CN"/>
              </w:rPr>
              <w:t>迁建工程</w:t>
            </w:r>
            <w:r>
              <w:rPr>
                <w:rFonts w:hint="default" w:ascii="Times New Roman" w:hAnsi="Times New Roman" w:eastAsia="仿宋_GB2312" w:cs="Times New Roman"/>
                <w:color w:val="auto"/>
                <w:sz w:val="24"/>
              </w:rPr>
              <w:t>、市妇幼保健院新院区、市精神卫生中心（皖西卫生职业学院附属医院）综合楼、市卫生应急监测处置中心、市红十字中心血站血液安全检测中心等。支持市中医院创建区域性中西医结合传染病救治中心、重症监护病区（ICU），各县（区）依托县医院或中医院建设传染病病区。推进基层公共卫生应急和服务能力提升项目。</w:t>
            </w:r>
          </w:p>
          <w:p>
            <w:pPr>
              <w:spacing w:line="400" w:lineRule="exact"/>
              <w:ind w:firstLine="482" w:firstLineChars="200"/>
              <w:rPr>
                <w:rFonts w:hint="default" w:ascii="Times New Roman" w:hAnsi="Times New Roman" w:eastAsia="仿宋_GB2312" w:cs="Times New Roman"/>
                <w:color w:val="auto"/>
                <w:sz w:val="24"/>
              </w:rPr>
            </w:pPr>
            <w:r>
              <w:rPr>
                <w:rFonts w:hint="default" w:ascii="Times New Roman" w:hAnsi="Times New Roman" w:eastAsia="楷体_GB2312" w:cs="Times New Roman"/>
                <w:b/>
                <w:bCs/>
                <w:color w:val="auto"/>
                <w:sz w:val="24"/>
              </w:rPr>
              <w:t>2.医疗卫生</w:t>
            </w:r>
            <w:r>
              <w:rPr>
                <w:rFonts w:hint="default" w:ascii="Times New Roman" w:hAnsi="Times New Roman" w:eastAsia="楷体_GB2312" w:cs="Times New Roman"/>
                <w:color w:val="auto"/>
                <w:sz w:val="24"/>
              </w:rPr>
              <w:t>。</w:t>
            </w:r>
            <w:r>
              <w:rPr>
                <w:rFonts w:hint="default" w:ascii="Times New Roman" w:hAnsi="Times New Roman" w:eastAsia="仿宋_GB2312" w:cs="Times New Roman"/>
                <w:color w:val="auto"/>
                <w:sz w:val="24"/>
              </w:rPr>
              <w:t>建设安徽省省级中医医疗中心（肿瘤防治中心、皖西危急重症救治中心、中医优势专科暨中医药创新中心、生殖中心）、市人民医院肿瘤精准治疗中心、安徽医科大学大别山产学研临床中心暨六安市人民医院南院区</w:t>
            </w:r>
            <w:r>
              <w:rPr>
                <w:rFonts w:hint="eastAsia" w:ascii="Times New Roman" w:hAnsi="Times New Roman" w:eastAsia="仿宋_GB2312" w:cs="Times New Roman"/>
                <w:color w:val="auto"/>
                <w:sz w:val="24"/>
                <w:lang w:eastAsia="zh-CN"/>
              </w:rPr>
              <w:t>、西院区医养一体康复中心、市人民医院健康保健门诊和健康管理中心项目、</w:t>
            </w:r>
            <w:r>
              <w:rPr>
                <w:rFonts w:hint="default" w:ascii="Times New Roman" w:hAnsi="Times New Roman" w:eastAsia="仿宋_GB2312" w:cs="Times New Roman"/>
                <w:color w:val="auto"/>
                <w:sz w:val="24"/>
              </w:rPr>
              <w:t>第二人民医院门诊、内科病房及老年养护院综合大楼，改扩建市人民医院门急诊及DSA中心。建设霍邱县第一人民医院新院区，</w:t>
            </w:r>
            <w:r>
              <w:rPr>
                <w:rFonts w:hint="default" w:ascii="Times New Roman" w:hAnsi="Times New Roman" w:eastAsia="仿宋_GB2312" w:cs="Times New Roman"/>
                <w:color w:val="auto"/>
                <w:sz w:val="24"/>
                <w:lang w:eastAsia="zh-CN"/>
              </w:rPr>
              <w:t>实施霍山县医院急诊急救医学中心及健康保健中心项目；</w:t>
            </w:r>
            <w:r>
              <w:rPr>
                <w:rFonts w:hint="default" w:ascii="Times New Roman" w:hAnsi="Times New Roman" w:eastAsia="仿宋_GB2312" w:cs="Times New Roman"/>
                <w:color w:val="auto"/>
                <w:sz w:val="24"/>
              </w:rPr>
              <w:t>扩建舒城县人民医院新东区；建设叶集区人民医院二期、第二人民医院，改扩建四方医院；支持金安区收购民营东部新城医院。加强社区卫生服务中心、乡镇卫生院、村卫生室的标准化建设。以市人民医院、市中医院、皖西卫生职业学院附院（市二院）等三家医院为依托，“分区包段”开展紧密型城市医联体建设。推进紧密型医共体建设，明确县、乡、村三级医疗机构的分工定位，落实基层首诊制度，提升基层诊疗量占比和县域就诊率，到2025年，力争实现90%病人不出县的目标。</w:t>
            </w:r>
          </w:p>
          <w:p>
            <w:pPr>
              <w:spacing w:line="400" w:lineRule="exact"/>
              <w:ind w:firstLine="482" w:firstLineChars="200"/>
              <w:rPr>
                <w:rFonts w:hint="default" w:ascii="Times New Roman" w:hAnsi="Times New Roman" w:eastAsia="仿宋_GB2312" w:cs="Times New Roman"/>
                <w:color w:val="auto"/>
                <w:sz w:val="24"/>
              </w:rPr>
            </w:pPr>
            <w:r>
              <w:rPr>
                <w:rFonts w:hint="default" w:ascii="Times New Roman" w:hAnsi="Times New Roman" w:eastAsia="楷体_GB2312" w:cs="Times New Roman"/>
                <w:b/>
                <w:bCs/>
                <w:color w:val="auto"/>
                <w:sz w:val="24"/>
              </w:rPr>
              <w:t>3.中医药服务。</w:t>
            </w:r>
            <w:r>
              <w:rPr>
                <w:rFonts w:hint="default" w:ascii="Times New Roman" w:hAnsi="Times New Roman" w:eastAsia="仿宋_GB2312" w:cs="Times New Roman"/>
                <w:color w:val="auto"/>
                <w:sz w:val="24"/>
              </w:rPr>
              <w:t>建设市中医院医疗综合楼，完成金安区、裕安区中医院院区建设，推进霍山县中医特色内科提升工程和霍邱县、舒城县中医药提升工程（舒城县中医院康复业务楼项目）。打造中医药创新中心（大别山道地药材制剂研发中心项目、中药制剂中心项目）。</w:t>
            </w:r>
            <w:r>
              <w:rPr>
                <w:rFonts w:hint="default" w:ascii="Times New Roman" w:hAnsi="Times New Roman" w:eastAsia="仿宋_GB2312" w:cs="Times New Roman"/>
                <w:b w:val="0"/>
                <w:bCs w:val="0"/>
                <w:color w:val="auto"/>
                <w:sz w:val="24"/>
                <w:lang w:val="en-US" w:eastAsia="zh-CN"/>
              </w:rPr>
              <w:t>加快推进市中医院传承创新工程项目建设，</w:t>
            </w:r>
            <w:r>
              <w:rPr>
                <w:rFonts w:hint="default" w:ascii="Times New Roman" w:hAnsi="Times New Roman" w:eastAsia="仿宋_GB2312" w:cs="Times New Roman"/>
                <w:color w:val="auto"/>
                <w:sz w:val="24"/>
              </w:rPr>
              <w:t>重点支持市中医院和2所县中医院争创全国名院；支持创建国家、省、市级中医药重点专科，重点培育20个市级以上中医药重点专（学）科，建设骨伤、肛肠、儿科、皮科、妇科、针灸、推拿以及心脑血管病、肾病、周围血管病等特色专科专病。建设省级以上名老中医工作室5个，评选市级以上名老中医15名。到2025年，市中医院排名升至全国百强，四个县中医院均达到三级中医院基本建设标准和服务能力要求，至少有2所升为三级中医院，并进入全国县级医院500强；中医药服务人次较“十三五”期间翻一番。</w:t>
            </w:r>
          </w:p>
          <w:p>
            <w:pPr>
              <w:spacing w:line="400" w:lineRule="exact"/>
              <w:ind w:firstLine="482" w:firstLineChars="200"/>
              <w:rPr>
                <w:rFonts w:hint="default" w:ascii="Times New Roman" w:hAnsi="Times New Roman" w:eastAsia="仿宋_GB2312" w:cs="Times New Roman"/>
                <w:color w:val="auto"/>
                <w:sz w:val="24"/>
              </w:rPr>
            </w:pPr>
            <w:r>
              <w:rPr>
                <w:rFonts w:hint="default" w:ascii="Times New Roman" w:hAnsi="Times New Roman" w:eastAsia="楷体_GB2312" w:cs="Times New Roman"/>
                <w:b/>
                <w:bCs/>
                <w:color w:val="auto"/>
                <w:kern w:val="0"/>
                <w:sz w:val="24"/>
              </w:rPr>
              <w:t>4.“互联网+医疗健康”。</w:t>
            </w:r>
            <w:r>
              <w:rPr>
                <w:rFonts w:hint="default" w:ascii="Times New Roman" w:hAnsi="Times New Roman" w:eastAsia="仿宋_GB2312" w:cs="Times New Roman"/>
                <w:color w:val="auto"/>
                <w:kern w:val="0"/>
                <w:sz w:val="24"/>
              </w:rPr>
              <w:t>推动市</w:t>
            </w:r>
            <w:r>
              <w:rPr>
                <w:rFonts w:hint="eastAsia" w:ascii="Times New Roman" w:hAnsi="Times New Roman" w:eastAsia="仿宋_GB2312" w:cs="Times New Roman"/>
                <w:color w:val="auto"/>
                <w:kern w:val="0"/>
                <w:sz w:val="24"/>
                <w:lang w:eastAsia="zh-CN"/>
              </w:rPr>
              <w:t>级医院</w:t>
            </w:r>
            <w:r>
              <w:rPr>
                <w:rFonts w:hint="default" w:ascii="Times New Roman" w:hAnsi="Times New Roman" w:eastAsia="仿宋_GB2312" w:cs="Times New Roman"/>
                <w:color w:val="auto"/>
                <w:kern w:val="0"/>
                <w:sz w:val="24"/>
              </w:rPr>
              <w:t>发展“互联网医院”。推</w:t>
            </w:r>
            <w:r>
              <w:rPr>
                <w:rFonts w:hint="default" w:ascii="Times New Roman" w:hAnsi="Times New Roman" w:eastAsia="仿宋_GB2312" w:cs="Times New Roman"/>
                <w:color w:val="auto"/>
                <w:sz w:val="24"/>
              </w:rPr>
              <w:t>广人工智能临床诊疗系统应用，为患者提供预约挂号、问诊、处方、支付及药物配送等线上线下一体化的一站式服务平台。推进电子健康卡建设，实现看病就医“一卡通行”。完善“健康六安”便民服务门户，开展网上预约挂号、预约转诊、预防接种、家庭医生签约、医疗费用查询、检验检查结果推送、线上支付、诊前提醒、健康咨询、健康管理、智能穿戴等线上服务。</w:t>
            </w:r>
          </w:p>
          <w:p>
            <w:pPr>
              <w:widowControl/>
              <w:spacing w:line="400" w:lineRule="exact"/>
              <w:ind w:firstLine="482" w:firstLineChars="200"/>
              <w:rPr>
                <w:rFonts w:hint="default" w:ascii="Times New Roman" w:hAnsi="Times New Roman" w:eastAsia="仿宋_GB2312" w:cs="Times New Roman"/>
                <w:color w:val="auto"/>
                <w:sz w:val="24"/>
                <w:lang w:eastAsia="zh-CN"/>
              </w:rPr>
            </w:pPr>
            <w:r>
              <w:rPr>
                <w:rFonts w:hint="default" w:ascii="Times New Roman" w:hAnsi="Times New Roman" w:eastAsia="楷体_GB2312" w:cs="Times New Roman"/>
                <w:b/>
                <w:bCs/>
                <w:color w:val="auto"/>
                <w:sz w:val="24"/>
              </w:rPr>
              <w:t>5.卫生技术人才队伍。</w:t>
            </w:r>
            <w:r>
              <w:rPr>
                <w:rFonts w:hint="default" w:ascii="Times New Roman" w:hAnsi="Times New Roman" w:eastAsia="仿宋_GB2312" w:cs="Times New Roman"/>
                <w:color w:val="auto"/>
                <w:sz w:val="24"/>
              </w:rPr>
              <w:t>推行“公益一类保障、二类绩效管理”模式，稳定公共卫生人才队伍。鼓励卫生系列优秀人才积极参与“江淮名医”“皖西名医”“徽乡名医”等的评选活动。扩大儿科、全科、精神科、麻醉科、老年医学科、康复科等短缺医师和注册护士规模。依托市级三级综合医院，建立多个全科医生转岗培训基地，推进全科医生队伍建设。深化村医“六制”管理，加强与皖西卫生职业学院合作，开展免费定向培养三年制高职医学生，重点面向本地招生。到2025年，分学科培养和引进高层次人才200人以上，每万名常住人口配备疾控人员1.63人，每万人口拥有不少于3.98名全科医生，每年定向招录医学生100人左右</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每个乡镇卫生院、社区卫生服务中心至少配备1名专职公共卫生医师。</w:t>
            </w:r>
          </w:p>
        </w:tc>
      </w:tr>
    </w:tbl>
    <w:p>
      <w:pPr>
        <w:pStyle w:val="3"/>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exact"/>
        <w:textAlignment w:val="auto"/>
        <w:rPr>
          <w:rFonts w:hint="default" w:ascii="Times New Roman" w:hAnsi="Times New Roman" w:cs="Times New Roman"/>
          <w:color w:val="auto"/>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exact"/>
        <w:textAlignment w:val="auto"/>
        <w:rPr>
          <w:rFonts w:hint="default" w:ascii="Times New Roman" w:hAnsi="Times New Roman" w:cs="Times New Roman"/>
          <w:color w:val="auto"/>
          <w:highlight w:val="yellow"/>
          <w:lang w:val="en-US" w:eastAsia="zh-CN"/>
        </w:rPr>
      </w:pPr>
      <w:bookmarkStart w:id="133" w:name="_Toc15505"/>
      <w:bookmarkStart w:id="134" w:name="_Toc31558"/>
      <w:bookmarkStart w:id="135" w:name="_Toc7791"/>
      <w:bookmarkStart w:id="136" w:name="_Toc764"/>
      <w:r>
        <w:rPr>
          <w:rFonts w:hint="default" w:ascii="Times New Roman" w:hAnsi="Times New Roman" w:cs="Times New Roman"/>
          <w:color w:val="auto"/>
          <w:highlight w:val="none"/>
          <w:lang w:val="en-US" w:eastAsia="zh-CN"/>
        </w:rPr>
        <w:t>第七章  安心暖心的健康养老服务</w:t>
      </w:r>
      <w:bookmarkEnd w:id="80"/>
      <w:bookmarkEnd w:id="81"/>
      <w:bookmarkEnd w:id="133"/>
      <w:bookmarkEnd w:id="134"/>
      <w:bookmarkEnd w:id="135"/>
      <w:bookmarkEnd w:id="136"/>
    </w:p>
    <w:p>
      <w:pPr>
        <w:keepNext w:val="0"/>
        <w:keepLines w:val="0"/>
        <w:pageBreakBefore w:val="0"/>
        <w:widowControl w:val="0"/>
        <w:kinsoku/>
        <w:wordWrap/>
        <w:overflowPunct/>
        <w:topLinePunct w:val="0"/>
        <w:autoSpaceDE/>
        <w:autoSpaceDN/>
        <w:bidi w:val="0"/>
        <w:spacing w:line="600" w:lineRule="exact"/>
        <w:ind w:left="0" w:leftChars="0" w:righ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加快构建居家社区机构相协调、医养康养相结合的养老服务体系，</w:t>
      </w:r>
      <w:r>
        <w:rPr>
          <w:rFonts w:hint="default" w:ascii="Times New Roman" w:hAnsi="Times New Roman" w:eastAsia="仿宋_GB2312" w:cs="Times New Roman"/>
          <w:color w:val="auto"/>
          <w:sz w:val="32"/>
          <w:szCs w:val="32"/>
          <w:lang w:eastAsia="zh-CN"/>
        </w:rPr>
        <w:t>完善养老服务设施功能，扩大养老服务供给，</w:t>
      </w:r>
      <w:r>
        <w:rPr>
          <w:rFonts w:hint="default" w:ascii="Times New Roman" w:hAnsi="Times New Roman" w:eastAsia="仿宋_GB2312" w:cs="Times New Roman"/>
          <w:color w:val="auto"/>
          <w:sz w:val="32"/>
          <w:szCs w:val="32"/>
        </w:rPr>
        <w:t>建设幸福颐养的老年友好型社会。</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rPr>
          <w:rFonts w:hint="default" w:ascii="Times New Roman" w:hAnsi="Times New Roman" w:eastAsia="楷体_GB2312" w:cs="Times New Roman"/>
          <w:b/>
          <w:bCs/>
          <w:color w:val="auto"/>
          <w:sz w:val="32"/>
          <w:szCs w:val="32"/>
          <w:lang w:val="en-US" w:eastAsia="zh-CN"/>
        </w:rPr>
      </w:pPr>
      <w:bookmarkStart w:id="137" w:name="_Toc11773"/>
      <w:bookmarkStart w:id="138" w:name="_Toc87883529"/>
      <w:bookmarkStart w:id="139" w:name="_Toc31592"/>
      <w:bookmarkStart w:id="140" w:name="_Toc16145"/>
      <w:bookmarkStart w:id="141" w:name="_Toc11239"/>
      <w:bookmarkStart w:id="142" w:name="_Toc17395"/>
      <w:r>
        <w:rPr>
          <w:rFonts w:hint="default" w:ascii="Times New Roman" w:hAnsi="Times New Roman" w:eastAsia="楷体_GB2312" w:cs="Times New Roman"/>
          <w:b/>
          <w:bCs/>
          <w:color w:val="auto"/>
          <w:sz w:val="32"/>
          <w:szCs w:val="32"/>
          <w:lang w:val="en-US" w:eastAsia="zh-CN"/>
        </w:rPr>
        <w:t>第一节</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lang w:val="en-US" w:eastAsia="zh-CN"/>
        </w:rPr>
        <w:t>老有所养</w:t>
      </w:r>
      <w:bookmarkEnd w:id="137"/>
      <w:bookmarkEnd w:id="138"/>
      <w:bookmarkEnd w:id="139"/>
      <w:bookmarkEnd w:id="140"/>
      <w:bookmarkEnd w:id="141"/>
      <w:bookmarkEnd w:id="142"/>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val="0"/>
          <w:bCs w:val="0"/>
          <w:color w:val="auto"/>
          <w:kern w:val="2"/>
          <w:sz w:val="32"/>
          <w:szCs w:val="32"/>
          <w:highlight w:val="yellow"/>
          <w:lang w:val="en-US" w:eastAsia="zh-CN" w:bidi="ar-SA"/>
        </w:rPr>
      </w:pPr>
      <w:r>
        <w:rPr>
          <w:rFonts w:hint="default" w:ascii="Times New Roman" w:hAnsi="Times New Roman" w:eastAsia="楷体" w:cs="Times New Roman"/>
          <w:b/>
          <w:bCs/>
          <w:color w:val="auto"/>
          <w:kern w:val="2"/>
          <w:sz w:val="32"/>
          <w:szCs w:val="32"/>
          <w:lang w:val="en-US" w:eastAsia="zh-CN" w:bidi="ar-SA"/>
        </w:rPr>
        <w:t>强化基本养老服务保障。</w:t>
      </w:r>
      <w:r>
        <w:rPr>
          <w:rFonts w:hint="default" w:ascii="Times New Roman" w:hAnsi="Times New Roman" w:eastAsia="仿宋_GB2312" w:cs="Times New Roman"/>
          <w:b w:val="0"/>
          <w:bCs w:val="0"/>
          <w:color w:val="auto"/>
          <w:kern w:val="2"/>
          <w:sz w:val="32"/>
          <w:szCs w:val="32"/>
          <w:lang w:val="en-US" w:eastAsia="zh-CN" w:bidi="ar-SA"/>
        </w:rPr>
        <w:t>完善基本养老服务制度，优先将经济困难的特殊老年人群体纳入基本养老服务对象范围。落实省老年人能力综合评估标准，评估结果作为领取老年人补贴、接受基本养老服务的参考依据。健全特殊困难老年人关爱探访机制，落实农村老年人联系人登记、农村特殊困难老年人探视走访、老年人赡养协议签订3项制度，实施“皖伴计划”，依托社区养老服务站、社会工作站等开展居家高龄、独居、不能自理等特殊困难老年人社区探访，周探访率实现100%。健全城镇职工基本养老金合理调整机制，适时调整城乡居民基础养老金标准。</w:t>
      </w:r>
      <w:r>
        <w:rPr>
          <w:rFonts w:hint="default" w:ascii="Times New Roman" w:hAnsi="Times New Roman" w:eastAsia="仿宋_GB2312" w:cs="Times New Roman"/>
          <w:b w:val="0"/>
          <w:bCs w:val="0"/>
          <w:color w:val="auto"/>
          <w:kern w:val="2"/>
          <w:sz w:val="32"/>
          <w:szCs w:val="32"/>
          <w:highlight w:val="none"/>
          <w:lang w:val="en-US" w:eastAsia="zh-CN" w:bidi="ar-SA"/>
        </w:rPr>
        <w:t>探索建立</w:t>
      </w:r>
      <w:r>
        <w:rPr>
          <w:rFonts w:hint="default" w:ascii="Times New Roman" w:hAnsi="Times New Roman" w:eastAsia="仿宋_GB2312" w:cs="Times New Roman"/>
          <w:b w:val="0"/>
          <w:bCs w:val="0"/>
          <w:color w:val="auto"/>
          <w:kern w:val="2"/>
          <w:sz w:val="32"/>
          <w:szCs w:val="32"/>
          <w:lang w:val="en-US" w:eastAsia="zh-CN" w:bidi="ar-SA"/>
        </w:rPr>
        <w:t>长期照护保障制度，研究符合我市实际的长期护理保险制度框架。</w:t>
      </w:r>
    </w:p>
    <w:p>
      <w:pPr>
        <w:pStyle w:val="16"/>
        <w:keepNext w:val="0"/>
        <w:keepLines w:val="0"/>
        <w:pageBreakBefore w:val="0"/>
        <w:widowControl w:val="0"/>
        <w:kinsoku/>
        <w:wordWrap/>
        <w:overflowPunct/>
        <w:topLinePunct w:val="0"/>
        <w:autoSpaceDE/>
        <w:autoSpaceDN/>
        <w:bidi w:val="0"/>
        <w:spacing w:after="0" w:afterLines="0" w:line="600" w:lineRule="exact"/>
        <w:ind w:left="0" w:leftChars="0" w:firstLine="64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 w:cs="Times New Roman"/>
          <w:b/>
          <w:bCs/>
          <w:color w:val="auto"/>
          <w:kern w:val="2"/>
          <w:sz w:val="32"/>
          <w:szCs w:val="32"/>
          <w:highlight w:val="none"/>
          <w:lang w:val="en-US" w:eastAsia="zh-CN" w:bidi="ar-SA"/>
        </w:rPr>
        <w:t>提升居家社区养老服务能力。</w:t>
      </w:r>
      <w:r>
        <w:rPr>
          <w:rFonts w:hint="default" w:ascii="Times New Roman" w:hAnsi="Times New Roman" w:eastAsia="仿宋_GB2312" w:cs="Times New Roman"/>
          <w:b w:val="0"/>
          <w:bCs w:val="0"/>
          <w:color w:val="auto"/>
          <w:sz w:val="32"/>
          <w:szCs w:val="32"/>
        </w:rPr>
        <w:t>支持家庭承担养老功能</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color w:val="auto"/>
          <w:sz w:val="32"/>
          <w:szCs w:val="32"/>
        </w:rPr>
        <w:t>深入推进居家和社区养老服务改革试点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kern w:val="2"/>
          <w:sz w:val="32"/>
          <w:szCs w:val="32"/>
          <w:lang w:val="en-US" w:eastAsia="zh-CN" w:bidi="ar-SA"/>
        </w:rPr>
        <w:t>加快打造“15分钟养老服务圈”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实施老年人家庭照护者培训计划，对照顾失能失智老年人的家庭成员提供每年不少于1次养老护理技能培训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kern w:val="2"/>
          <w:sz w:val="32"/>
          <w:szCs w:val="32"/>
          <w:lang w:val="en-US" w:eastAsia="zh-CN" w:bidi="ar-SA"/>
        </w:rPr>
        <w:t>推进困难老年人家庭适老化改造，重点推进“家庭养老床位”建设。鼓励各类社会资源为失能老年人家庭提供“喘息服务”。</w:t>
      </w:r>
      <w:r>
        <w:rPr>
          <w:rFonts w:hint="default" w:ascii="Times New Roman" w:hAnsi="Times New Roman" w:eastAsia="仿宋_GB2312" w:cs="Times New Roman"/>
          <w:color w:val="auto"/>
          <w:sz w:val="32"/>
          <w:szCs w:val="32"/>
        </w:rPr>
        <w:t>完善社区养老服务设施建设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kern w:val="2"/>
          <w:sz w:val="32"/>
          <w:szCs w:val="32"/>
          <w:highlight w:val="none"/>
          <w:lang w:val="en-US" w:eastAsia="zh-CN" w:bidi="ar-SA"/>
        </w:rPr>
        <w:t>城市新建居住区按照每百户不少于30平方米标准配建社区养老服务用房，</w:t>
      </w:r>
      <w:r>
        <w:rPr>
          <w:rFonts w:hint="default" w:ascii="Times New Roman" w:hAnsi="Times New Roman" w:eastAsia="仿宋_GB2312" w:cs="Times New Roman"/>
          <w:color w:val="auto"/>
          <w:sz w:val="32"/>
          <w:szCs w:val="40"/>
        </w:rPr>
        <w:t>老旧城区</w:t>
      </w:r>
      <w:r>
        <w:rPr>
          <w:rFonts w:hint="default" w:ascii="Times New Roman" w:hAnsi="Times New Roman" w:eastAsia="仿宋_GB2312" w:cs="Times New Roman"/>
          <w:color w:val="auto"/>
          <w:sz w:val="32"/>
          <w:szCs w:val="40"/>
          <w:lang w:val="en-US" w:eastAsia="zh-CN"/>
        </w:rPr>
        <w:t>和</w:t>
      </w:r>
      <w:r>
        <w:rPr>
          <w:rFonts w:hint="default" w:ascii="Times New Roman" w:hAnsi="Times New Roman" w:eastAsia="仿宋_GB2312" w:cs="Times New Roman"/>
          <w:color w:val="auto"/>
          <w:sz w:val="32"/>
          <w:szCs w:val="40"/>
        </w:rPr>
        <w:t>已建成居住区按照每百户</w:t>
      </w:r>
      <w:r>
        <w:rPr>
          <w:rFonts w:hint="default" w:ascii="Times New Roman" w:hAnsi="Times New Roman" w:eastAsia="仿宋_GB2312" w:cs="Times New Roman"/>
          <w:color w:val="auto"/>
          <w:sz w:val="32"/>
          <w:szCs w:val="40"/>
          <w:lang w:val="en-US" w:eastAsia="zh-CN"/>
        </w:rPr>
        <w:t>不低于</w:t>
      </w:r>
      <w:r>
        <w:rPr>
          <w:rFonts w:hint="default" w:ascii="Times New Roman" w:hAnsi="Times New Roman" w:eastAsia="仿宋_GB2312" w:cs="Times New Roman"/>
          <w:color w:val="auto"/>
          <w:sz w:val="32"/>
          <w:szCs w:val="40"/>
        </w:rPr>
        <w:t>20平方米标准</w:t>
      </w:r>
      <w:r>
        <w:rPr>
          <w:rFonts w:hint="default" w:ascii="Times New Roman" w:hAnsi="Times New Roman" w:eastAsia="仿宋_GB2312" w:cs="Times New Roman"/>
          <w:color w:val="auto"/>
          <w:sz w:val="32"/>
          <w:szCs w:val="40"/>
          <w:lang w:val="en-US" w:eastAsia="zh-CN"/>
        </w:rPr>
        <w:t>补齐</w:t>
      </w:r>
      <w:r>
        <w:rPr>
          <w:rFonts w:hint="default" w:ascii="Times New Roman" w:hAnsi="Times New Roman" w:eastAsia="仿宋_GB2312" w:cs="Times New Roman"/>
          <w:color w:val="auto"/>
          <w:sz w:val="32"/>
          <w:szCs w:val="40"/>
        </w:rPr>
        <w:t>社区养老服务设施</w:t>
      </w:r>
      <w:r>
        <w:rPr>
          <w:rFonts w:hint="default" w:ascii="Times New Roman" w:hAnsi="Times New Roman" w:eastAsia="仿宋_GB2312" w:cs="Times New Roman"/>
          <w:b w:val="0"/>
          <w:bCs w:val="0"/>
          <w:color w:val="auto"/>
          <w:kern w:val="2"/>
          <w:sz w:val="32"/>
          <w:szCs w:val="32"/>
          <w:lang w:val="en-US" w:eastAsia="zh-CN" w:bidi="ar-SA"/>
        </w:rPr>
        <w:t>。优化社区居家养老服务供给，通过政府购买服务等方式重点发展城乡老年助餐、助浴、助洁服务。提升县级养老服务指导中心、街道（乡镇）养老服务中心、社区（村）养老服务站“三级中心</w:t>
      </w:r>
      <w:r>
        <w:rPr>
          <w:rFonts w:hint="default" w:ascii="Times New Roman" w:hAnsi="Times New Roman" w:eastAsia="仿宋_GB2312" w:cs="Times New Roman"/>
          <w:b w:val="0"/>
          <w:bCs w:val="0"/>
          <w:color w:val="auto"/>
          <w:kern w:val="2"/>
          <w:sz w:val="32"/>
          <w:szCs w:val="32"/>
          <w:highlight w:val="none"/>
          <w:lang w:val="en-US" w:eastAsia="zh-CN" w:bidi="ar-SA"/>
        </w:rPr>
        <w:t>”运管水平，</w:t>
      </w:r>
      <w:r>
        <w:rPr>
          <w:rFonts w:hint="default" w:ascii="Times New Roman" w:hAnsi="Times New Roman" w:eastAsia="仿宋_GB2312" w:cs="Times New Roman"/>
          <w:color w:val="auto"/>
          <w:sz w:val="32"/>
          <w:szCs w:val="40"/>
        </w:rPr>
        <w:t>提升街道、社区两级养老服务中心全托、日照等照护服务功能。</w:t>
      </w:r>
    </w:p>
    <w:p>
      <w:pPr>
        <w:pStyle w:val="16"/>
        <w:keepNext w:val="0"/>
        <w:keepLines w:val="0"/>
        <w:pageBreakBefore w:val="0"/>
        <w:widowControl w:val="0"/>
        <w:kinsoku/>
        <w:wordWrap/>
        <w:overflowPunct/>
        <w:topLinePunct w:val="0"/>
        <w:autoSpaceDE/>
        <w:autoSpaceDN/>
        <w:bidi w:val="0"/>
        <w:spacing w:after="0" w:afterLines="0" w:line="600" w:lineRule="exact"/>
        <w:ind w:left="0" w:leftChars="0" w:firstLine="64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提高养老机构服务能力。</w:t>
      </w:r>
      <w:r>
        <w:rPr>
          <w:rFonts w:hint="default" w:ascii="Times New Roman" w:hAnsi="Times New Roman" w:eastAsia="仿宋_GB2312" w:cs="Times New Roman"/>
          <w:color w:val="auto"/>
          <w:sz w:val="32"/>
          <w:szCs w:val="40"/>
        </w:rPr>
        <w:t>落实安徽省养老机构管理运营相关规范和标准，</w:t>
      </w:r>
      <w:r>
        <w:rPr>
          <w:rFonts w:hint="default" w:ascii="Times New Roman" w:hAnsi="Times New Roman" w:eastAsia="仿宋_GB2312" w:cs="Times New Roman"/>
          <w:color w:val="auto"/>
          <w:sz w:val="32"/>
          <w:szCs w:val="32"/>
          <w:lang w:eastAsia="zh-CN"/>
        </w:rPr>
        <w:t>开展养老服务等级评定与认证。</w:t>
      </w:r>
      <w:bookmarkStart w:id="143" w:name="_Hlk84539421"/>
      <w:r>
        <w:rPr>
          <w:rFonts w:hint="default" w:ascii="Times New Roman" w:hAnsi="Times New Roman" w:eastAsia="仿宋_GB2312" w:cs="Times New Roman"/>
          <w:color w:val="auto"/>
          <w:sz w:val="32"/>
          <w:szCs w:val="32"/>
        </w:rPr>
        <w:t>发挥公办和公建民营养老机构保障作用，公办养老机构优先接收经济困难的失能失智、孤寡、残疾、高龄老年人以及计划生育特殊家庭老年人、为社会作出重要贡献的老年人，并提供符合质量和安全标准的养老服务。</w:t>
      </w:r>
      <w:r>
        <w:rPr>
          <w:rFonts w:hint="default" w:ascii="Times New Roman" w:hAnsi="Times New Roman" w:eastAsia="仿宋_GB2312" w:cs="Times New Roman"/>
          <w:color w:val="auto"/>
          <w:kern w:val="2"/>
          <w:sz w:val="32"/>
          <w:szCs w:val="32"/>
          <w:highlight w:val="none"/>
          <w:lang w:val="en-US" w:eastAsia="zh-CN" w:bidi="ar-SA"/>
        </w:rPr>
        <w:t>实施公办养老机构“三达标”提升行动，重点支持新建面向失能失智老年人的老年养护院和特困人员供养服务机构（敬老院）。加大存量公办养老服务设施改造，提升失能老年人照护服务，增设失智老年人护理专区，推动消防设施提升改造。</w:t>
      </w:r>
      <w:r>
        <w:rPr>
          <w:rFonts w:hint="default" w:ascii="Times New Roman" w:hAnsi="Times New Roman" w:eastAsia="仿宋_GB2312" w:cs="Times New Roman"/>
          <w:color w:val="auto"/>
          <w:sz w:val="32"/>
          <w:szCs w:val="32"/>
        </w:rPr>
        <w:t>推动具备条件的公办养老机构配备应急防护物资、隔离设施，培养培训专业养老服务应急队伍，加强应急能力建设。鼓励有条件的民办养老机构提升应急救援能力。</w:t>
      </w:r>
      <w:r>
        <w:rPr>
          <w:rFonts w:hint="default" w:ascii="Times New Roman" w:hAnsi="Times New Roman" w:eastAsia="仿宋_GB2312" w:cs="Times New Roman"/>
          <w:b w:val="0"/>
          <w:bCs w:val="0"/>
          <w:color w:val="auto"/>
          <w:kern w:val="2"/>
          <w:sz w:val="32"/>
          <w:szCs w:val="32"/>
          <w:lang w:val="en-US" w:eastAsia="zh-CN" w:bidi="ar-SA"/>
        </w:rPr>
        <w:t>加强养老机构负责人、管理人员岗前培训，开展养老护理员技能培训和职业技能等级认定</w:t>
      </w:r>
      <w:bookmarkEnd w:id="143"/>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color w:val="auto"/>
          <w:sz w:val="32"/>
          <w:szCs w:val="32"/>
        </w:rPr>
        <w:t>壮大养老护理员、老年社会工作者队伍</w:t>
      </w:r>
      <w:r>
        <w:rPr>
          <w:rFonts w:hint="default"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3" w:firstLineChars="200"/>
        <w:jc w:val="both"/>
        <w:textAlignment w:val="auto"/>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楷体_GB2312" w:cs="Times New Roman"/>
          <w:b/>
          <w:bCs/>
          <w:color w:val="auto"/>
          <w:kern w:val="2"/>
          <w:sz w:val="32"/>
          <w:szCs w:val="32"/>
          <w:highlight w:val="none"/>
          <w:lang w:val="en-US" w:eastAsia="zh-CN" w:bidi="ar-SA"/>
        </w:rPr>
        <w:t>补齐农村养老服务短板。</w:t>
      </w:r>
      <w:r>
        <w:rPr>
          <w:rFonts w:hint="default" w:ascii="Times New Roman" w:hAnsi="Times New Roman" w:eastAsia="仿宋_GB2312" w:cs="Times New Roman"/>
          <w:b w:val="0"/>
          <w:bCs w:val="0"/>
          <w:color w:val="auto"/>
          <w:kern w:val="2"/>
          <w:sz w:val="32"/>
          <w:szCs w:val="32"/>
          <w:lang w:val="en-US" w:eastAsia="zh-CN" w:bidi="ar-SA"/>
        </w:rPr>
        <w:t>推进农村养老服务与乡村振兴有效融合，发展“自治、法治、德治＋农村养老”。</w:t>
      </w:r>
      <w:r>
        <w:rPr>
          <w:rFonts w:hint="default" w:ascii="Times New Roman" w:hAnsi="Times New Roman" w:eastAsia="仿宋_GB2312" w:cs="Times New Roman"/>
          <w:color w:val="auto"/>
          <w:kern w:val="2"/>
          <w:sz w:val="32"/>
          <w:szCs w:val="32"/>
          <w:lang w:val="en-US" w:eastAsia="zh-CN" w:bidi="ar-SA"/>
        </w:rPr>
        <w:t>建立城乡养老机构结对共建机制，推进城市优质养老服务资源向农村拓展延伸。实施县级特困供养服务机构提升改造工程，推动特困供养服务机构（敬老院）转型升级为开放型、护理型、区域性养老服务中心。</w:t>
      </w:r>
      <w:r>
        <w:rPr>
          <w:rFonts w:hint="default" w:ascii="Times New Roman" w:hAnsi="Times New Roman" w:eastAsia="仿宋_GB2312" w:cs="Times New Roman"/>
          <w:color w:val="auto"/>
          <w:sz w:val="32"/>
          <w:szCs w:val="40"/>
        </w:rPr>
        <w:t>推进村级养老服务站建设</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兴建具有日托和全托功能的农村幸福院。加快推进农村互助养老发展，利用农村空置住房发展“候鸟式”养老，培育壮大农村养老互助服务队伍，组织农村留守妇女、低龄健康老年人等群体照护农村高龄、失能失智老年人。</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rPr>
          <w:rFonts w:hint="default" w:ascii="Times New Roman" w:hAnsi="Times New Roman" w:eastAsia="楷体_GB2312" w:cs="Times New Roman"/>
          <w:b/>
          <w:bCs/>
          <w:color w:val="auto"/>
          <w:sz w:val="32"/>
          <w:szCs w:val="32"/>
          <w:lang w:val="en-US" w:eastAsia="zh-CN"/>
        </w:rPr>
      </w:pPr>
      <w:bookmarkStart w:id="144" w:name="_Toc87883530"/>
      <w:bookmarkStart w:id="145" w:name="_Toc14562"/>
      <w:bookmarkStart w:id="146" w:name="_Toc12008"/>
      <w:bookmarkStart w:id="147" w:name="_Toc26624"/>
      <w:bookmarkStart w:id="148" w:name="_Toc8952"/>
      <w:bookmarkStart w:id="149" w:name="_Toc22703"/>
      <w:r>
        <w:rPr>
          <w:rFonts w:hint="default" w:ascii="Times New Roman" w:hAnsi="Times New Roman" w:eastAsia="楷体_GB2312" w:cs="Times New Roman"/>
          <w:b/>
          <w:bCs/>
          <w:color w:val="auto"/>
          <w:sz w:val="32"/>
          <w:szCs w:val="32"/>
          <w:lang w:val="en-US" w:eastAsia="zh-CN"/>
        </w:rPr>
        <w:t>第二节</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lang w:val="en-US" w:eastAsia="zh-CN"/>
        </w:rPr>
        <w:t>老有颐养</w:t>
      </w:r>
      <w:bookmarkEnd w:id="144"/>
      <w:bookmarkEnd w:id="145"/>
      <w:bookmarkEnd w:id="146"/>
      <w:bookmarkEnd w:id="147"/>
      <w:bookmarkEnd w:id="148"/>
      <w:bookmarkEnd w:id="149"/>
    </w:p>
    <w:p>
      <w:pPr>
        <w:spacing w:line="600" w:lineRule="exact"/>
        <w:ind w:firstLine="643" w:firstLineChars="200"/>
        <w:rPr>
          <w:rFonts w:hint="default" w:ascii="Times New Roman" w:hAnsi="Times New Roman" w:eastAsia="仿宋_GB2312" w:cs="Times New Roman"/>
          <w:color w:val="auto"/>
          <w:sz w:val="32"/>
          <w:szCs w:val="32"/>
          <w:lang w:bidi="ar"/>
        </w:rPr>
      </w:pPr>
      <w:r>
        <w:rPr>
          <w:rFonts w:hint="default" w:ascii="Times New Roman" w:hAnsi="Times New Roman" w:eastAsia="楷体_GB2312" w:cs="Times New Roman"/>
          <w:b/>
          <w:bCs/>
          <w:color w:val="auto"/>
          <w:kern w:val="2"/>
          <w:sz w:val="32"/>
          <w:szCs w:val="32"/>
          <w:highlight w:val="none"/>
          <w:lang w:val="en-US" w:eastAsia="zh-CN" w:bidi="ar-SA"/>
        </w:rPr>
        <w:t>扩大普惠养老服务供给。</w:t>
      </w:r>
      <w:r>
        <w:rPr>
          <w:rFonts w:hint="default" w:ascii="Times New Roman" w:hAnsi="Times New Roman" w:eastAsia="仿宋_GB2312" w:cs="Times New Roman"/>
          <w:b w:val="0"/>
          <w:bCs w:val="0"/>
          <w:color w:val="auto"/>
          <w:kern w:val="2"/>
          <w:sz w:val="32"/>
          <w:szCs w:val="32"/>
          <w:lang w:val="en-US" w:eastAsia="zh-CN" w:bidi="ar-SA"/>
        </w:rPr>
        <w:t>积极开展普惠养老城企联动专项行动，</w:t>
      </w:r>
      <w:r>
        <w:rPr>
          <w:rFonts w:hint="default" w:ascii="Times New Roman" w:hAnsi="Times New Roman" w:eastAsia="仿宋_GB2312" w:cs="Times New Roman"/>
          <w:color w:val="auto"/>
          <w:sz w:val="32"/>
          <w:szCs w:val="32"/>
          <w:lang w:bidi="ar"/>
        </w:rPr>
        <w:t>制定支持性“政策包”，带动企业提供普惠型“服务包”，推动建立一批普惠型养老机构，重点为广大中等收入家庭提供优质的养老服务。</w:t>
      </w:r>
      <w:r>
        <w:rPr>
          <w:rFonts w:hint="default" w:ascii="Times New Roman" w:hAnsi="Times New Roman" w:eastAsia="仿宋_GB2312" w:cs="Times New Roman"/>
          <w:color w:val="auto"/>
          <w:sz w:val="32"/>
          <w:szCs w:val="32"/>
        </w:rPr>
        <w:t>支持国有经济加大对养老服务的投入，引导国有资本布局养老基础设施</w:t>
      </w:r>
      <w:r>
        <w:rPr>
          <w:rFonts w:hint="default" w:ascii="Times New Roman" w:hAnsi="Times New Roman" w:eastAsia="仿宋_GB2312" w:cs="Times New Roman"/>
          <w:b w:val="0"/>
          <w:bCs w:val="0"/>
          <w:color w:val="auto"/>
          <w:kern w:val="2"/>
          <w:sz w:val="32"/>
          <w:szCs w:val="32"/>
          <w:lang w:val="en-US" w:eastAsia="zh-CN" w:bidi="ar-SA"/>
        </w:rPr>
        <w:t>。坚持应改尽改、能转则转，推动党政机关和国有企事业单位所属培训疗养机构主要转型为医养结合、社区嵌入等普惠型养老服务设施，不得以养老名义经营其他业务。</w:t>
      </w:r>
      <w:r>
        <w:rPr>
          <w:rFonts w:hint="default" w:ascii="Times New Roman" w:hAnsi="Times New Roman" w:eastAsia="仿宋_GB2312" w:cs="Times New Roman"/>
          <w:color w:val="auto"/>
          <w:sz w:val="32"/>
          <w:szCs w:val="32"/>
          <w:lang w:bidi="ar"/>
        </w:rPr>
        <w:t>探索具备条件的公办养老机构改制为国有养老服务企业。</w:t>
      </w:r>
    </w:p>
    <w:p>
      <w:pPr>
        <w:spacing w:line="600" w:lineRule="exact"/>
        <w:ind w:firstLine="643" w:firstLineChars="200"/>
        <w:rPr>
          <w:rFonts w:hint="default" w:ascii="Times New Roman" w:hAnsi="Times New Roman" w:eastAsia="仿宋_GB2312" w:cs="Times New Roman"/>
          <w:color w:val="auto"/>
          <w:sz w:val="32"/>
          <w:szCs w:val="32"/>
          <w:highlight w:val="none"/>
          <w:lang w:bidi="ar"/>
        </w:rPr>
      </w:pPr>
      <w:r>
        <w:rPr>
          <w:rFonts w:hint="default" w:ascii="Times New Roman" w:hAnsi="Times New Roman" w:eastAsia="楷体_GB2312" w:cs="Times New Roman"/>
          <w:b/>
          <w:bCs/>
          <w:color w:val="auto"/>
          <w:sz w:val="32"/>
          <w:szCs w:val="32"/>
          <w:highlight w:val="none"/>
          <w:lang w:val="en-US" w:eastAsia="zh-CN" w:bidi="ar-SA"/>
        </w:rPr>
        <w:t>深化</w:t>
      </w:r>
      <w:r>
        <w:rPr>
          <w:rFonts w:hint="default" w:ascii="Times New Roman" w:hAnsi="Times New Roman" w:eastAsia="楷体_GB2312" w:cs="Times New Roman"/>
          <w:b/>
          <w:bCs/>
          <w:color w:val="auto"/>
          <w:sz w:val="32"/>
          <w:szCs w:val="32"/>
          <w:highlight w:val="none"/>
          <w:lang w:bidi="ar-SA"/>
        </w:rPr>
        <w:t>医养结合</w:t>
      </w:r>
      <w:r>
        <w:rPr>
          <w:rFonts w:hint="default" w:ascii="Times New Roman" w:hAnsi="Times New Roman" w:eastAsia="楷体_GB2312" w:cs="Times New Roman"/>
          <w:b/>
          <w:bCs/>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val="en-US" w:eastAsia="zh-CN"/>
        </w:rPr>
        <w:t>深化省级医养结合示范区建设，提升公、民办养老机构专业护理能力，</w:t>
      </w:r>
      <w:r>
        <w:rPr>
          <w:rFonts w:hint="default" w:ascii="Times New Roman" w:hAnsi="Times New Roman" w:eastAsia="仿宋_GB2312" w:cs="Times New Roman"/>
          <w:color w:val="auto"/>
          <w:kern w:val="0"/>
          <w:sz w:val="32"/>
          <w:highlight w:val="none"/>
          <w:shd w:val="clear" w:color="auto" w:fill="FFFFFF"/>
        </w:rPr>
        <w:t>推进养老机构与协议合作的医疗机构开通绿色通道</w:t>
      </w:r>
      <w:r>
        <w:rPr>
          <w:rFonts w:hint="default" w:ascii="Times New Roman" w:hAnsi="Times New Roman" w:eastAsia="仿宋_GB2312" w:cs="Times New Roman"/>
          <w:color w:val="auto"/>
          <w:kern w:val="0"/>
          <w:sz w:val="32"/>
          <w:highlight w:val="none"/>
          <w:shd w:val="clear" w:color="auto" w:fill="FFFFFF"/>
          <w:lang w:eastAsia="zh-CN"/>
        </w:rPr>
        <w:t>。</w:t>
      </w:r>
      <w:r>
        <w:rPr>
          <w:rFonts w:hint="default" w:ascii="Times New Roman" w:hAnsi="Times New Roman" w:eastAsia="仿宋_GB2312" w:cs="Times New Roman"/>
          <w:color w:val="auto"/>
          <w:kern w:val="0"/>
          <w:sz w:val="32"/>
          <w:highlight w:val="none"/>
          <w:shd w:val="clear" w:color="auto" w:fill="FFFFFF"/>
        </w:rPr>
        <w:t>实施社区医养结合能力提升行动，支持新建社区卫生服务机构与养老服务机构、乡镇卫生院与敬老院、乡村卫生服务中心与农村幸福院统筹规划、毗邻建设。促进康养融合发展</w:t>
      </w:r>
      <w:r>
        <w:rPr>
          <w:rFonts w:hint="default" w:ascii="Times New Roman" w:hAnsi="Times New Roman" w:eastAsia="仿宋_GB2312" w:cs="Times New Roman"/>
          <w:color w:val="auto"/>
          <w:kern w:val="0"/>
          <w:sz w:val="32"/>
          <w:highlight w:val="none"/>
          <w:shd w:val="clear" w:color="auto" w:fill="FFFFFF"/>
          <w:lang w:eastAsia="zh-CN"/>
        </w:rPr>
        <w:t>，</w:t>
      </w:r>
      <w:r>
        <w:rPr>
          <w:rFonts w:hint="default" w:ascii="Times New Roman" w:hAnsi="Times New Roman" w:eastAsia="仿宋_GB2312" w:cs="Times New Roman"/>
          <w:color w:val="auto"/>
          <w:kern w:val="0"/>
          <w:sz w:val="32"/>
          <w:highlight w:val="none"/>
          <w:shd w:val="clear" w:color="auto" w:fill="FFFFFF"/>
        </w:rPr>
        <w:t>普及社区老年健康教育，加强老年人群重点慢性病的早期筛查、干预及分类指导，开展老年口腔健康、老年营养改善、老年痴呆防治和心理关爱行动。落实基本公共卫生服务老年人健康管理，支持有条件的医疗卫生机构为老年人提供上门医疗服务。</w:t>
      </w:r>
      <w:r>
        <w:rPr>
          <w:rFonts w:hint="default" w:ascii="Times New Roman" w:hAnsi="Times New Roman" w:eastAsia="仿宋_GB2312" w:cs="Times New Roman"/>
          <w:color w:val="auto"/>
          <w:kern w:val="0"/>
          <w:sz w:val="32"/>
          <w:highlight w:val="none"/>
          <w:shd w:val="clear" w:color="auto" w:fill="FFFFFF"/>
          <w:lang w:val="en-US" w:eastAsia="zh-CN"/>
        </w:rPr>
        <w:t>推进</w:t>
      </w:r>
      <w:r>
        <w:rPr>
          <w:rFonts w:hint="default" w:ascii="Times New Roman" w:hAnsi="Times New Roman" w:eastAsia="仿宋_GB2312" w:cs="Times New Roman"/>
          <w:color w:val="auto"/>
          <w:kern w:val="0"/>
          <w:sz w:val="32"/>
          <w:highlight w:val="none"/>
          <w:shd w:val="clear" w:color="auto" w:fill="FFFFFF"/>
        </w:rPr>
        <w:t>安宁疗护</w:t>
      </w:r>
      <w:r>
        <w:rPr>
          <w:rFonts w:hint="default" w:ascii="Times New Roman" w:hAnsi="Times New Roman" w:eastAsia="仿宋_GB2312" w:cs="Times New Roman"/>
          <w:color w:val="auto"/>
          <w:kern w:val="0"/>
          <w:sz w:val="32"/>
          <w:highlight w:val="none"/>
          <w:shd w:val="clear" w:color="auto" w:fill="FFFFFF"/>
          <w:lang w:val="en-US" w:eastAsia="zh-CN"/>
        </w:rPr>
        <w:t>发展，</w:t>
      </w:r>
      <w:r>
        <w:rPr>
          <w:rFonts w:hint="default" w:ascii="Times New Roman" w:hAnsi="Times New Roman" w:eastAsia="仿宋_GB2312" w:cs="Times New Roman"/>
          <w:color w:val="auto"/>
          <w:sz w:val="32"/>
          <w:szCs w:val="32"/>
          <w:lang w:bidi="ar"/>
        </w:rPr>
        <w:t>推动养老服务由基本生活照料向精神慰藉、康复护理、紧急救援、临终关怀等领域延伸</w:t>
      </w:r>
      <w:r>
        <w:rPr>
          <w:rFonts w:hint="default" w:ascii="Times New Roman" w:hAnsi="Times New Roman" w:eastAsia="仿宋_GB2312" w:cs="Times New Roman"/>
          <w:color w:val="auto"/>
          <w:kern w:val="0"/>
          <w:sz w:val="32"/>
          <w:highlight w:val="none"/>
          <w:shd w:val="clear" w:color="auto" w:fill="FFFFFF"/>
        </w:rPr>
        <w:t>。</w:t>
      </w:r>
    </w:p>
    <w:p>
      <w:pPr>
        <w:pStyle w:val="16"/>
        <w:keepNext w:val="0"/>
        <w:keepLines w:val="0"/>
        <w:pageBreakBefore w:val="0"/>
        <w:kinsoku/>
        <w:wordWrap/>
        <w:overflowPunct/>
        <w:topLinePunct w:val="0"/>
        <w:autoSpaceDE/>
        <w:autoSpaceDN/>
        <w:bidi w:val="0"/>
        <w:spacing w:after="0" w:afterLines="0" w:line="600" w:lineRule="exact"/>
        <w:ind w:left="0" w:leftChars="0" w:right="0" w:firstLine="643" w:firstLineChars="200"/>
        <w:jc w:val="both"/>
        <w:textAlignment w:val="auto"/>
        <w:rPr>
          <w:rFonts w:hint="default" w:ascii="Times New Roman" w:hAnsi="Times New Roman" w:eastAsia="仿宋_GB2312" w:cs="Times New Roman"/>
          <w:color w:val="auto"/>
          <w:kern w:val="2"/>
          <w:sz w:val="32"/>
          <w:szCs w:val="32"/>
          <w:highlight w:val="yellow"/>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推动养老产业高质量发展。</w:t>
      </w:r>
      <w:r>
        <w:rPr>
          <w:rFonts w:hint="default" w:ascii="Times New Roman" w:hAnsi="Times New Roman" w:eastAsia="仿宋_GB2312" w:cs="Times New Roman"/>
          <w:color w:val="auto"/>
          <w:sz w:val="32"/>
          <w:szCs w:val="32"/>
          <w:lang w:bidi="ar"/>
        </w:rPr>
        <w:t>实施“养老服务+行业”行动，促进</w:t>
      </w:r>
      <w:r>
        <w:rPr>
          <w:rFonts w:hint="eastAsia" w:ascii="Times New Roman" w:hAnsi="Times New Roman" w:eastAsia="仿宋_GB2312" w:cs="Times New Roman"/>
          <w:color w:val="auto"/>
          <w:sz w:val="32"/>
          <w:szCs w:val="32"/>
          <w:lang w:val="en-US" w:eastAsia="zh-CN" w:bidi="ar"/>
        </w:rPr>
        <w:t>与</w:t>
      </w:r>
      <w:r>
        <w:rPr>
          <w:rFonts w:hint="default" w:ascii="Times New Roman" w:hAnsi="Times New Roman" w:eastAsia="仿宋_GB2312" w:cs="Times New Roman"/>
          <w:color w:val="auto"/>
          <w:sz w:val="32"/>
          <w:szCs w:val="32"/>
          <w:lang w:bidi="ar"/>
        </w:rPr>
        <w:t>文化、旅游、</w:t>
      </w:r>
      <w:r>
        <w:rPr>
          <w:rFonts w:hint="default" w:ascii="Times New Roman" w:hAnsi="Times New Roman" w:eastAsia="仿宋_GB2312" w:cs="Times New Roman"/>
          <w:color w:val="auto"/>
          <w:sz w:val="32"/>
          <w:szCs w:val="32"/>
          <w:lang w:val="en-US" w:eastAsia="zh-CN" w:bidi="ar"/>
        </w:rPr>
        <w:t>体育、</w:t>
      </w:r>
      <w:r>
        <w:rPr>
          <w:rFonts w:hint="default" w:ascii="Times New Roman" w:hAnsi="Times New Roman" w:eastAsia="仿宋_GB2312" w:cs="Times New Roman"/>
          <w:color w:val="auto"/>
          <w:sz w:val="32"/>
          <w:szCs w:val="32"/>
          <w:lang w:bidi="ar"/>
        </w:rPr>
        <w:t>健康</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家政等行业融合发展。</w:t>
      </w:r>
      <w:r>
        <w:rPr>
          <w:rFonts w:hint="default" w:ascii="Times New Roman" w:hAnsi="Times New Roman" w:eastAsia="仿宋_GB2312" w:cs="Times New Roman"/>
          <w:color w:val="auto"/>
          <w:sz w:val="32"/>
          <w:szCs w:val="40"/>
        </w:rPr>
        <w:t>促进养老服务</w:t>
      </w:r>
      <w:r>
        <w:rPr>
          <w:rFonts w:hint="default" w:ascii="Times New Roman" w:hAnsi="Times New Roman" w:eastAsia="仿宋_GB2312" w:cs="Times New Roman"/>
          <w:color w:val="auto"/>
          <w:sz w:val="32"/>
          <w:szCs w:val="40"/>
          <w:lang w:val="en-US" w:eastAsia="zh-CN"/>
        </w:rPr>
        <w:t>机构</w:t>
      </w:r>
      <w:r>
        <w:rPr>
          <w:rFonts w:hint="default" w:ascii="Times New Roman" w:hAnsi="Times New Roman" w:eastAsia="仿宋_GB2312" w:cs="Times New Roman"/>
          <w:color w:val="auto"/>
          <w:sz w:val="32"/>
          <w:szCs w:val="40"/>
        </w:rPr>
        <w:t>规模化、品牌化、连锁化发展，</w:t>
      </w:r>
      <w:r>
        <w:rPr>
          <w:rFonts w:hint="default" w:ascii="Times New Roman" w:hAnsi="Times New Roman" w:eastAsia="仿宋_GB2312" w:cs="Times New Roman"/>
          <w:color w:val="auto"/>
          <w:sz w:val="32"/>
          <w:szCs w:val="40"/>
          <w:lang w:val="en-US" w:eastAsia="zh-CN"/>
        </w:rPr>
        <w:t>积极争创</w:t>
      </w:r>
      <w:r>
        <w:rPr>
          <w:rFonts w:hint="default" w:ascii="Times New Roman" w:hAnsi="Times New Roman" w:eastAsia="仿宋_GB2312" w:cs="Times New Roman"/>
          <w:color w:val="auto"/>
          <w:sz w:val="32"/>
          <w:szCs w:val="40"/>
        </w:rPr>
        <w:t>养老服务领域“皖美品牌”</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32"/>
          <w:lang w:bidi="ar"/>
        </w:rPr>
        <w:t>鼓励社会力量投资兴办健康养老、康体养生等服务设施，</w:t>
      </w:r>
      <w:r>
        <w:rPr>
          <w:rFonts w:hint="default" w:ascii="Times New Roman" w:hAnsi="Times New Roman" w:eastAsia="仿宋_GB2312" w:cs="Times New Roman"/>
          <w:color w:val="auto"/>
          <w:sz w:val="32"/>
          <w:szCs w:val="32"/>
          <w:lang w:eastAsia="zh-CN"/>
        </w:rPr>
        <w:t>推动</w:t>
      </w:r>
      <w:r>
        <w:rPr>
          <w:rFonts w:hint="default" w:ascii="Times New Roman" w:hAnsi="Times New Roman" w:eastAsia="仿宋_GB2312" w:cs="Times New Roman"/>
          <w:color w:val="auto"/>
          <w:sz w:val="32"/>
          <w:szCs w:val="32"/>
          <w:lang w:val="en-US" w:eastAsia="zh-CN"/>
        </w:rPr>
        <w:t>异域风情颐养旅游小镇、国家级大别山康养旅游度假区（中医药健康旅游示范区）等建设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打造</w:t>
      </w:r>
      <w:r>
        <w:rPr>
          <w:rFonts w:hint="default" w:ascii="Times New Roman" w:hAnsi="Times New Roman" w:eastAsia="仿宋_GB2312" w:cs="Times New Roman"/>
          <w:color w:val="auto"/>
          <w:sz w:val="32"/>
          <w:szCs w:val="32"/>
          <w:lang w:eastAsia="zh-CN"/>
        </w:rPr>
        <w:t>全国知名红色旅游示范和康养基地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40"/>
        </w:rPr>
        <w:t>加快发展老年人服装服饰、日用辅助产品、生活护理产品、康复训练及健康促进辅具等老年用品产业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培育老年消费市场</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32"/>
          <w:lang w:val="en-US" w:eastAsia="zh-CN"/>
        </w:rPr>
        <w:t>积极</w:t>
      </w:r>
      <w:r>
        <w:rPr>
          <w:rFonts w:hint="default" w:ascii="Times New Roman" w:hAnsi="Times New Roman" w:eastAsia="仿宋_GB2312" w:cs="Times New Roman"/>
          <w:color w:val="auto"/>
          <w:sz w:val="32"/>
          <w:szCs w:val="32"/>
        </w:rPr>
        <w:t>打造健康养老产业集群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40"/>
          <w:lang w:val="en-US" w:eastAsia="zh-CN"/>
        </w:rPr>
        <w:t>加快</w:t>
      </w:r>
      <w:r>
        <w:rPr>
          <w:rFonts w:hint="default" w:ascii="Times New Roman" w:hAnsi="Times New Roman" w:eastAsia="仿宋_GB2312" w:cs="Times New Roman"/>
          <w:color w:val="auto"/>
          <w:sz w:val="32"/>
          <w:szCs w:val="40"/>
        </w:rPr>
        <w:t>建设养老服务业发展园区（基地）</w:t>
      </w:r>
      <w:r>
        <w:rPr>
          <w:rFonts w:hint="default" w:ascii="Times New Roman" w:hAnsi="Times New Roman" w:eastAsia="仿宋_GB2312" w:cs="Times New Roman"/>
          <w:color w:val="auto"/>
          <w:sz w:val="32"/>
          <w:szCs w:val="32"/>
          <w:lang w:val="en-US" w:eastAsia="zh-CN"/>
        </w:rPr>
        <w:t>。</w:t>
      </w:r>
    </w:p>
    <w:p>
      <w:pPr>
        <w:pStyle w:val="16"/>
        <w:keepNext w:val="0"/>
        <w:keepLines w:val="0"/>
        <w:pageBreakBefore w:val="0"/>
        <w:kinsoku/>
        <w:wordWrap/>
        <w:overflowPunct/>
        <w:topLinePunct w:val="0"/>
        <w:autoSpaceDE/>
        <w:autoSpaceDN/>
        <w:bidi w:val="0"/>
        <w:spacing w:after="0" w:afterLines="0" w:line="600" w:lineRule="exact"/>
        <w:ind w:left="0" w:leftChars="0" w:right="0"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推动智慧养老发展。</w:t>
      </w:r>
      <w:r>
        <w:rPr>
          <w:rFonts w:hint="default" w:ascii="Times New Roman" w:hAnsi="Times New Roman" w:eastAsia="仿宋_GB2312" w:cs="Times New Roman"/>
          <w:b w:val="0"/>
          <w:bCs w:val="0"/>
          <w:color w:val="auto"/>
          <w:kern w:val="2"/>
          <w:sz w:val="32"/>
          <w:szCs w:val="32"/>
          <w:highlight w:val="none"/>
          <w:lang w:val="en-US" w:eastAsia="zh-CN" w:bidi="ar-SA"/>
        </w:rPr>
        <w:t>实施智慧养老建设示范工程，</w:t>
      </w:r>
      <w:r>
        <w:rPr>
          <w:rFonts w:hint="default" w:ascii="Times New Roman" w:hAnsi="Times New Roman" w:eastAsia="仿宋_GB2312" w:cs="Times New Roman"/>
          <w:color w:val="auto"/>
          <w:sz w:val="32"/>
          <w:szCs w:val="32"/>
          <w:highlight w:val="none"/>
        </w:rPr>
        <w:t>推进智慧养老机构和智慧社区居家养老服务中心建设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打造智慧养老服务应用场景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到</w:t>
      </w:r>
      <w:r>
        <w:rPr>
          <w:rFonts w:hint="default" w:ascii="Times New Roman" w:hAnsi="Times New Roman" w:eastAsia="仿宋_GB2312" w:cs="Times New Roman"/>
          <w:color w:val="auto"/>
          <w:sz w:val="32"/>
          <w:szCs w:val="32"/>
          <w:lang w:eastAsia="zh-CN"/>
        </w:rPr>
        <w:t>2025年，每个县区至少建设2家智慧养老机构，智慧社区居家养老服务中心比例达到50%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2"/>
          <w:sz w:val="32"/>
          <w:szCs w:val="32"/>
          <w:highlight w:val="none"/>
          <w:lang w:val="en-US" w:eastAsia="zh-CN" w:bidi="ar-SA"/>
        </w:rPr>
        <w:t>鼓励引导养老机构依托新兴技术手段，拓展照护监测、智能呼叫等场景应用。</w:t>
      </w:r>
      <w:r>
        <w:rPr>
          <w:rFonts w:hint="default" w:ascii="Times New Roman" w:hAnsi="Times New Roman" w:eastAsia="仿宋_GB2312" w:cs="Times New Roman"/>
          <w:color w:val="auto"/>
          <w:sz w:val="32"/>
          <w:szCs w:val="40"/>
        </w:rPr>
        <w:t>支持企业、高等院校和研究机构研发康复辅具、健康监测可穿戴设备、智能穿戴设备等适老化智能终端产品。</w:t>
      </w:r>
      <w:r>
        <w:rPr>
          <w:rFonts w:hint="default" w:ascii="Times New Roman" w:hAnsi="Times New Roman" w:eastAsia="仿宋_GB2312" w:cs="Times New Roman"/>
          <w:color w:val="auto"/>
          <w:kern w:val="2"/>
          <w:sz w:val="32"/>
          <w:szCs w:val="32"/>
          <w:lang w:val="en-US" w:eastAsia="zh-CN" w:bidi="ar-SA"/>
        </w:rPr>
        <w:t>依托物联网、互联网、智能呼叫、GPS定位技术等信息技术，</w:t>
      </w:r>
      <w:r>
        <w:rPr>
          <w:rFonts w:hint="default" w:ascii="Times New Roman" w:hAnsi="Times New Roman" w:eastAsia="仿宋_GB2312" w:cs="Times New Roman"/>
          <w:color w:val="auto"/>
          <w:sz w:val="32"/>
          <w:szCs w:val="40"/>
        </w:rPr>
        <w:t>创新发展慢性病管理、个性化健康管理、健康咨询、生活照护、物品代购等健康养老服务消费热点</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kern w:val="2"/>
          <w:sz w:val="32"/>
          <w:szCs w:val="32"/>
          <w:lang w:val="en-US" w:eastAsia="zh-CN" w:bidi="ar-SA"/>
        </w:rPr>
        <w:t>创新“子女网上下单、老人体验服务”等消费模式。</w:t>
      </w:r>
    </w:p>
    <w:p>
      <w:pPr>
        <w:bidi w:val="0"/>
        <w:spacing w:line="600" w:lineRule="exact"/>
        <w:ind w:firstLine="643" w:firstLineChars="200"/>
        <w:rPr>
          <w:rFonts w:hint="default" w:ascii="Times New Roman" w:hAnsi="Times New Roman" w:cs="Times New Roman"/>
          <w:color w:val="auto"/>
          <w:lang w:val="en-US" w:eastAsia="zh-CN"/>
        </w:rPr>
      </w:pPr>
      <w:r>
        <w:rPr>
          <w:rFonts w:hint="default" w:ascii="Times New Roman" w:hAnsi="Times New Roman" w:eastAsia="楷体_GB2312" w:cs="Times New Roman"/>
          <w:b/>
          <w:bCs/>
          <w:color w:val="auto"/>
          <w:kern w:val="2"/>
          <w:sz w:val="32"/>
          <w:szCs w:val="32"/>
          <w:highlight w:val="none"/>
          <w:lang w:val="en-US" w:eastAsia="zh-CN" w:bidi="ar-SA"/>
        </w:rPr>
        <w:t>建设老年友好型社会。</w:t>
      </w:r>
      <w:r>
        <w:rPr>
          <w:rFonts w:hint="default" w:ascii="Times New Roman" w:hAnsi="Times New Roman" w:eastAsia="仿宋_GB2312" w:cs="Times New Roman"/>
          <w:color w:val="auto"/>
          <w:sz w:val="32"/>
          <w:szCs w:val="40"/>
        </w:rPr>
        <w:t>统筹推进公共基础设施、生活服务设施、医疗卫生设施、文化旅游和体育设施适老化改造</w:t>
      </w:r>
      <w:r>
        <w:rPr>
          <w:rFonts w:hint="default" w:ascii="Times New Roman" w:hAnsi="Times New Roman" w:eastAsia="仿宋_GB2312" w:cs="Times New Roman"/>
          <w:color w:val="auto"/>
          <w:sz w:val="32"/>
          <w:szCs w:val="32"/>
          <w:lang w:val="en-US" w:eastAsia="zh-CN"/>
        </w:rPr>
        <w:t>。支持老年协会组织开展老年文娱体育活动，丰富老年人精神文化生活。</w:t>
      </w:r>
      <w:r>
        <w:rPr>
          <w:rFonts w:hint="default" w:ascii="Times New Roman" w:hAnsi="Times New Roman" w:eastAsia="仿宋_GB2312" w:cs="Times New Roman"/>
          <w:color w:val="auto"/>
          <w:kern w:val="2"/>
          <w:sz w:val="32"/>
          <w:szCs w:val="32"/>
          <w:lang w:val="en-US" w:eastAsia="zh-CN" w:bidi="ar-SA"/>
        </w:rPr>
        <w:t>加快建设老年人法律援助工作站或联系点，严厉打击侵害老年人合法权益的违法犯罪活动。</w:t>
      </w:r>
      <w:r>
        <w:rPr>
          <w:rFonts w:hint="default" w:ascii="Times New Roman" w:hAnsi="Times New Roman" w:eastAsia="仿宋_GB2312" w:cs="Times New Roman"/>
          <w:color w:val="auto"/>
          <w:sz w:val="32"/>
          <w:szCs w:val="40"/>
        </w:rPr>
        <w:t>支持老年人依法从事经营生产活动、参与社会公益事业</w:t>
      </w:r>
      <w:r>
        <w:rPr>
          <w:rFonts w:hint="default" w:ascii="Times New Roman" w:hAnsi="Times New Roman" w:eastAsia="仿宋_GB2312" w:cs="Times New Roman"/>
          <w:color w:val="auto"/>
          <w:sz w:val="32"/>
          <w:szCs w:val="32"/>
          <w:lang w:val="en-US" w:eastAsia="zh-CN"/>
        </w:rPr>
        <w:t>，建立老年人才信息库。强化社会舆论引导及正向宣传，支持养老机构参加养老服务工作先进集体和先进个人评选活动。</w:t>
      </w:r>
    </w:p>
    <w:p>
      <w:pPr>
        <w:pStyle w:val="6"/>
        <w:keepNext w:val="0"/>
        <w:keepLines w:val="0"/>
        <w:pageBreakBefore w:val="0"/>
        <w:kinsoku/>
        <w:wordWrap/>
        <w:overflowPunct/>
        <w:topLinePunct w:val="0"/>
        <w:autoSpaceDE/>
        <w:autoSpaceDN/>
        <w:bidi w:val="0"/>
        <w:spacing w:line="600" w:lineRule="exact"/>
        <w:ind w:right="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rPr>
        <w:t xml:space="preserve">专栏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SEQ 专栏 \* ARABIC </w:instrText>
      </w:r>
      <w:r>
        <w:rPr>
          <w:rFonts w:hint="default" w:ascii="Times New Roman" w:hAnsi="Times New Roman" w:cs="Times New Roman"/>
          <w:color w:val="auto"/>
        </w:rPr>
        <w:fldChar w:fldCharType="separate"/>
      </w:r>
      <w:r>
        <w:rPr>
          <w:rFonts w:hint="default" w:ascii="Times New Roman" w:hAnsi="Times New Roman" w:cs="Times New Roman"/>
          <w:color w:val="auto"/>
        </w:rPr>
        <w:t>7</w:t>
      </w:r>
      <w:r>
        <w:rPr>
          <w:rFonts w:hint="default" w:ascii="Times New Roman" w:hAnsi="Times New Roman" w:cs="Times New Roman"/>
          <w:color w:val="auto"/>
        </w:rPr>
        <w:fldChar w:fldCharType="end"/>
      </w:r>
      <w:bookmarkStart w:id="150" w:name="_Toc13642"/>
      <w:bookmarkStart w:id="151" w:name="_Toc14359"/>
      <w:bookmarkStart w:id="152" w:name="_Toc26889"/>
      <w:bookmarkStart w:id="153" w:name="_Toc1169"/>
      <w:bookmarkStart w:id="154" w:name="_Toc13656"/>
      <w:r>
        <w:rPr>
          <w:rFonts w:hint="default" w:ascii="Times New Roman" w:hAnsi="Times New Roman" w:cs="Times New Roman"/>
          <w:color w:val="auto"/>
          <w:lang w:val="en-US" w:eastAsia="zh-CN"/>
        </w:rPr>
        <w:t xml:space="preserve"> 养老服务重点</w:t>
      </w:r>
      <w:bookmarkEnd w:id="150"/>
      <w:bookmarkEnd w:id="151"/>
      <w:bookmarkEnd w:id="152"/>
      <w:bookmarkEnd w:id="153"/>
      <w:r>
        <w:rPr>
          <w:rFonts w:hint="default" w:ascii="Times New Roman" w:hAnsi="Times New Roman" w:cs="Times New Roman"/>
          <w:color w:val="auto"/>
          <w:lang w:val="en-US" w:eastAsia="zh-CN"/>
        </w:rPr>
        <w:t>工程</w:t>
      </w:r>
      <w:bookmarkEnd w:id="154"/>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6"/>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640"/>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楷体_GB2312" w:cs="Times New Roman"/>
                <w:b/>
                <w:bCs/>
                <w:color w:val="auto"/>
                <w:sz w:val="24"/>
                <w:szCs w:val="24"/>
                <w:vertAlign w:val="baseline"/>
              </w:rPr>
              <w:t>1.养老服务设施</w:t>
            </w:r>
            <w:r>
              <w:rPr>
                <w:rFonts w:hint="default" w:ascii="Times New Roman" w:hAnsi="Times New Roman" w:eastAsia="楷体_GB2312" w:cs="Times New Roman"/>
                <w:b/>
                <w:bCs/>
                <w:color w:val="auto"/>
                <w:sz w:val="24"/>
                <w:szCs w:val="24"/>
                <w:vertAlign w:val="baseline"/>
                <w:lang w:val="en-US" w:eastAsia="zh-CN"/>
              </w:rPr>
              <w:t>提升</w:t>
            </w:r>
            <w:r>
              <w:rPr>
                <w:rFonts w:hint="default" w:ascii="Times New Roman" w:hAnsi="Times New Roman" w:eastAsia="楷体_GB2312" w:cs="Times New Roman"/>
                <w:b/>
                <w:bCs/>
                <w:color w:val="auto"/>
                <w:sz w:val="24"/>
                <w:szCs w:val="24"/>
                <w:vertAlign w:val="baseline"/>
              </w:rPr>
              <w:t>工程。</w:t>
            </w:r>
            <w:r>
              <w:rPr>
                <w:rFonts w:hint="default" w:ascii="Times New Roman" w:hAnsi="Times New Roman" w:eastAsia="仿宋_GB2312" w:cs="Times New Roman"/>
                <w:color w:val="auto"/>
                <w:sz w:val="24"/>
                <w:szCs w:val="24"/>
                <w:vertAlign w:val="baseline"/>
              </w:rPr>
              <w:t>支持特困人员供养服务机构（敬老院）及老旧城</w:t>
            </w:r>
            <w:r>
              <w:rPr>
                <w:rFonts w:hint="default" w:ascii="Times New Roman" w:hAnsi="Times New Roman" w:eastAsia="仿宋_GB2312" w:cs="Times New Roman"/>
                <w:color w:val="auto"/>
                <w:kern w:val="2"/>
                <w:sz w:val="24"/>
                <w:szCs w:val="24"/>
                <w:vertAlign w:val="baseline"/>
                <w:lang w:val="en-US" w:eastAsia="zh-CN" w:bidi="ar-SA"/>
              </w:rPr>
              <w:t>区和已建成居住（小）区养老服务设施建设及适老化改造，支持老年人集中居住的多层老旧住宅配备上下楼梯的辅助器具，鼓励有条件的社区加装电梯，提供面向高龄老人、失能老人提供基本型康复辅助器具及应急呼叫救援设备。每年实施不少于300户困难老年人居家适老化改造。</w:t>
            </w:r>
            <w:r>
              <w:rPr>
                <w:rFonts w:hint="default" w:ascii="Times New Roman" w:hAnsi="Times New Roman" w:eastAsia="仿宋_GB2312" w:cs="Times New Roman"/>
                <w:color w:val="auto"/>
                <w:sz w:val="24"/>
              </w:rPr>
              <w:t>全面开展城镇配套养老服务设施专项治理，清查自2014年以来新建城区、新建居住区配套情况，定期进行通报，2025年前全面完成整改。</w:t>
            </w:r>
            <w:r>
              <w:rPr>
                <w:rFonts w:hint="default" w:ascii="Times New Roman" w:hAnsi="Times New Roman" w:eastAsia="仿宋_GB2312" w:cs="Times New Roman"/>
                <w:color w:val="auto"/>
                <w:kern w:val="2"/>
                <w:sz w:val="24"/>
                <w:szCs w:val="24"/>
                <w:vertAlign w:val="baseline"/>
                <w:lang w:val="en-US" w:eastAsia="zh-CN" w:bidi="ar-SA"/>
              </w:rPr>
              <w:t>到2022年底，</w:t>
            </w:r>
            <w:r>
              <w:rPr>
                <w:rFonts w:hint="default" w:ascii="Times New Roman" w:hAnsi="Times New Roman" w:eastAsia="仿宋_GB2312" w:cs="Times New Roman"/>
                <w:color w:val="auto"/>
                <w:sz w:val="24"/>
              </w:rPr>
              <w:t>每个县（区）至少建有1所以失能、部分失能特困人员专业照护为主的县级供养服务设施（敬老院）</w:t>
            </w:r>
            <w:r>
              <w:rPr>
                <w:rFonts w:hint="default" w:ascii="Times New Roman" w:hAnsi="Times New Roman" w:eastAsia="仿宋_GB2312" w:cs="Times New Roman"/>
                <w:color w:val="auto"/>
                <w:kern w:val="2"/>
                <w:sz w:val="24"/>
                <w:szCs w:val="24"/>
                <w:vertAlign w:val="baseline"/>
                <w:lang w:val="en-US" w:eastAsia="zh-CN" w:bidi="ar-SA"/>
              </w:rPr>
              <w:t>。到2025年，建成社区康养中心40个（其中金安区21个、裕安区19个）。</w:t>
            </w:r>
          </w:p>
          <w:p>
            <w:pPr>
              <w:pStyle w:val="16"/>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640"/>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b/>
                <w:bCs/>
                <w:color w:val="auto"/>
                <w:kern w:val="2"/>
                <w:sz w:val="24"/>
                <w:szCs w:val="24"/>
                <w:vertAlign w:val="baseline"/>
                <w:lang w:val="en-US" w:eastAsia="zh-CN" w:bidi="ar-SA"/>
              </w:rPr>
              <w:t>2.</w:t>
            </w:r>
            <w:r>
              <w:rPr>
                <w:rFonts w:hint="default" w:ascii="Times New Roman" w:hAnsi="Times New Roman" w:eastAsia="仿宋_GB2312" w:cs="Times New Roman"/>
                <w:b/>
                <w:bCs/>
                <w:color w:val="auto"/>
                <w:sz w:val="24"/>
              </w:rPr>
              <w:t>社区居家养老服务提升工程</w:t>
            </w:r>
            <w:r>
              <w:rPr>
                <w:rFonts w:hint="default" w:ascii="Times New Roman" w:hAnsi="Times New Roman" w:eastAsia="仿宋_GB2312" w:cs="Times New Roman"/>
                <w:b/>
                <w:bCs/>
                <w:color w:val="auto"/>
                <w:sz w:val="24"/>
                <w:lang w:eastAsia="zh-CN"/>
              </w:rPr>
              <w:t>。</w:t>
            </w:r>
            <w:r>
              <w:rPr>
                <w:rFonts w:hint="default" w:ascii="Times New Roman" w:hAnsi="Times New Roman" w:eastAsia="仿宋_GB2312" w:cs="Times New Roman"/>
                <w:color w:val="auto"/>
                <w:sz w:val="24"/>
              </w:rPr>
              <w:t>建立</w:t>
            </w:r>
            <w:r>
              <w:rPr>
                <w:rFonts w:hint="default" w:ascii="Times New Roman" w:hAnsi="Times New Roman" w:eastAsia="仿宋_GB2312" w:cs="Times New Roman"/>
                <w:color w:val="auto"/>
                <w:sz w:val="24"/>
                <w:lang w:val="en-US" w:eastAsia="zh-CN"/>
              </w:rPr>
              <w:t>健全</w:t>
            </w:r>
            <w:r>
              <w:rPr>
                <w:rFonts w:hint="default" w:ascii="Times New Roman" w:hAnsi="Times New Roman" w:eastAsia="仿宋_GB2312" w:cs="Times New Roman"/>
                <w:color w:val="auto"/>
                <w:sz w:val="24"/>
              </w:rPr>
              <w:t>助餐服务网络，依托日间照料中心、养老机构等养老服务设施，利用社区闲置房屋等资源，打造一批“后厨可观、食材可溯、安全可查、送餐可及、质量可评”的标准化社区老年食堂（助餐服务点）。丰富创新助餐服务提供机制，推进“中央厨房”与“社区食堂”等多种模式联动，探索推广老年流动餐车。</w:t>
            </w:r>
            <w:r>
              <w:rPr>
                <w:rFonts w:hint="default" w:ascii="Times New Roman" w:hAnsi="Times New Roman" w:eastAsia="仿宋_GB2312" w:cs="Times New Roman"/>
                <w:color w:val="auto"/>
                <w:sz w:val="24"/>
                <w:lang w:val="en-US" w:eastAsia="zh-CN"/>
              </w:rPr>
              <w:t>落实省</w:t>
            </w:r>
            <w:r>
              <w:rPr>
                <w:rFonts w:hint="default" w:ascii="Times New Roman" w:hAnsi="Times New Roman" w:eastAsia="仿宋_GB2312" w:cs="Times New Roman"/>
                <w:color w:val="auto"/>
                <w:sz w:val="24"/>
              </w:rPr>
              <w:t>孤寡、失能、残疾、高龄等特殊困难老年人群体的助餐支持政策，给予倾斜支持和优先服务。支持农村、远郊有条件的养老服务机构、餐饮场所等增加老年助餐服务功能，积极推广发展邻里互助助餐模式。引导各类餐饮企业、外卖平台等市场主体参与提供助餐及配送服务</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大力发展老年人助浴服务，培育不少于3家专业化连锁化助浴服务机构</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为老年人提供优质普惠的集中助浴和上门助浴服务。支持家政企业开发被褥清洗、收纳整理、消毒除尘等适合老年人需求的保洁服务产品。鼓励引导物业企业将保洁服务范围由公共区域向老年人家庭延伸。</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仿宋_GB2312" w:cs="Times New Roman"/>
                <w:color w:val="auto"/>
                <w:sz w:val="24"/>
                <w:szCs w:val="24"/>
                <w:vertAlign w:val="baseline"/>
              </w:rPr>
            </w:pPr>
            <w:r>
              <w:rPr>
                <w:rFonts w:hint="default" w:ascii="Times New Roman" w:hAnsi="Times New Roman" w:eastAsia="楷体_GB2312" w:cs="Times New Roman"/>
                <w:b/>
                <w:bCs/>
                <w:color w:val="auto"/>
                <w:sz w:val="24"/>
                <w:szCs w:val="24"/>
                <w:vertAlign w:val="baseline"/>
                <w:lang w:val="en-US" w:eastAsia="zh-CN"/>
              </w:rPr>
              <w:t>3</w:t>
            </w:r>
            <w:r>
              <w:rPr>
                <w:rFonts w:hint="default" w:ascii="Times New Roman" w:hAnsi="Times New Roman" w:eastAsia="楷体_GB2312" w:cs="Times New Roman"/>
                <w:b/>
                <w:bCs/>
                <w:color w:val="auto"/>
                <w:sz w:val="24"/>
                <w:szCs w:val="24"/>
                <w:vertAlign w:val="baseline"/>
              </w:rPr>
              <w:t>.康养服务重点提升工程。</w:t>
            </w:r>
            <w:r>
              <w:rPr>
                <w:rFonts w:hint="default" w:ascii="Times New Roman" w:hAnsi="Times New Roman" w:eastAsia="仿宋_GB2312" w:cs="Times New Roman"/>
                <w:b w:val="0"/>
                <w:bCs w:val="0"/>
                <w:color w:val="auto"/>
                <w:sz w:val="24"/>
                <w:szCs w:val="24"/>
                <w:vertAlign w:val="baseline"/>
                <w:lang w:val="en-US" w:eastAsia="zh-CN"/>
              </w:rPr>
              <w:t>加快</w:t>
            </w:r>
            <w:r>
              <w:rPr>
                <w:rFonts w:hint="default" w:ascii="Times New Roman" w:hAnsi="Times New Roman" w:eastAsia="仿宋_GB2312" w:cs="Times New Roman"/>
                <w:color w:val="auto"/>
                <w:sz w:val="24"/>
                <w:szCs w:val="24"/>
                <w:shd w:val="clear"/>
                <w:vertAlign w:val="baseline"/>
                <w:lang w:val="en-US" w:eastAsia="zh-CN"/>
              </w:rPr>
              <w:t>推进</w:t>
            </w:r>
            <w:r>
              <w:rPr>
                <w:rFonts w:hint="default" w:ascii="Times New Roman" w:hAnsi="Times New Roman" w:eastAsia="仿宋_GB2312" w:cs="Times New Roman"/>
                <w:color w:val="auto"/>
                <w:sz w:val="24"/>
                <w:szCs w:val="24"/>
                <w:vertAlign w:val="baseline"/>
              </w:rPr>
              <w:t>如龙健康养老产业园、</w:t>
            </w:r>
            <w:r>
              <w:rPr>
                <w:rFonts w:hint="default" w:ascii="Times New Roman" w:hAnsi="Times New Roman" w:eastAsia="仿宋_GB2312" w:cs="Times New Roman"/>
                <w:color w:val="auto"/>
                <w:sz w:val="24"/>
                <w:szCs w:val="24"/>
                <w:vertAlign w:val="baseline"/>
                <w:lang w:val="en-US" w:eastAsia="zh-CN"/>
              </w:rPr>
              <w:t>紫荆花怡养小镇、</w:t>
            </w:r>
            <w:r>
              <w:rPr>
                <w:rFonts w:hint="default" w:ascii="Times New Roman" w:hAnsi="Times New Roman" w:eastAsia="仿宋_GB2312" w:cs="Times New Roman"/>
                <w:color w:val="auto"/>
                <w:sz w:val="24"/>
                <w:szCs w:val="24"/>
                <w:vertAlign w:val="baseline"/>
              </w:rPr>
              <w:t>临淮岗康养度假区、异域风情颐养旅游小镇、六安蓝城高端颐养小镇、大化坪百里康养旅游新居地、荣盛“一品原乡”旅游康养度假区、大别山养生慢谷旅游度假区</w:t>
            </w:r>
            <w:r>
              <w:rPr>
                <w:rFonts w:hint="default" w:ascii="Times New Roman" w:hAnsi="Times New Roman" w:eastAsia="仿宋_GB2312" w:cs="Times New Roman"/>
                <w:color w:val="auto"/>
                <w:sz w:val="24"/>
                <w:szCs w:val="24"/>
                <w:vertAlign w:val="baseline"/>
                <w:lang w:eastAsia="zh-CN"/>
              </w:rPr>
              <w:t>、霍山县中医院上土市康养中心、霍山县县医院医养中心</w:t>
            </w:r>
            <w:r>
              <w:rPr>
                <w:rFonts w:hint="default" w:ascii="Times New Roman" w:hAnsi="Times New Roman" w:eastAsia="仿宋_GB2312" w:cs="Times New Roman"/>
                <w:color w:val="auto"/>
                <w:sz w:val="24"/>
                <w:szCs w:val="24"/>
                <w:vertAlign w:val="baseline"/>
              </w:rPr>
              <w:t>等</w:t>
            </w:r>
            <w:r>
              <w:rPr>
                <w:rFonts w:hint="default" w:ascii="Times New Roman" w:hAnsi="Times New Roman" w:eastAsia="仿宋_GB2312" w:cs="Times New Roman"/>
                <w:color w:val="auto"/>
                <w:sz w:val="24"/>
                <w:szCs w:val="24"/>
                <w:shd w:val="clear"/>
                <w:vertAlign w:val="baseline"/>
                <w:lang w:val="en-US" w:eastAsia="zh-CN"/>
              </w:rPr>
              <w:t>项目建设</w:t>
            </w:r>
            <w:r>
              <w:rPr>
                <w:rFonts w:hint="default" w:ascii="Times New Roman" w:hAnsi="Times New Roman" w:eastAsia="仿宋_GB2312" w:cs="Times New Roman"/>
                <w:color w:val="auto"/>
                <w:sz w:val="24"/>
                <w:szCs w:val="24"/>
                <w:vertAlign w:val="baseline"/>
              </w:rPr>
              <w:t>。基于中医医院等</w:t>
            </w:r>
            <w:r>
              <w:rPr>
                <w:rFonts w:hint="default" w:ascii="Times New Roman" w:hAnsi="Times New Roman" w:eastAsia="仿宋_GB2312" w:cs="Times New Roman"/>
                <w:color w:val="auto"/>
                <w:sz w:val="24"/>
                <w:szCs w:val="24"/>
                <w:vertAlign w:val="baseline"/>
                <w:lang w:eastAsia="zh-CN"/>
              </w:rPr>
              <w:t>医疗资源机构</w:t>
            </w:r>
            <w:r>
              <w:rPr>
                <w:rFonts w:hint="default" w:ascii="Times New Roman" w:hAnsi="Times New Roman" w:eastAsia="仿宋_GB2312" w:cs="Times New Roman"/>
                <w:color w:val="auto"/>
                <w:sz w:val="24"/>
                <w:szCs w:val="24"/>
                <w:vertAlign w:val="baseline"/>
              </w:rPr>
              <w:t>，开发中药健康养生产品</w:t>
            </w:r>
            <w:r>
              <w:rPr>
                <w:rFonts w:hint="default" w:ascii="Times New Roman" w:hAnsi="Times New Roman" w:eastAsia="仿宋_GB2312" w:cs="Times New Roman"/>
                <w:color w:val="auto"/>
                <w:sz w:val="24"/>
                <w:szCs w:val="24"/>
                <w:vertAlign w:val="baseline"/>
                <w:lang w:eastAsia="zh-CN"/>
              </w:rPr>
              <w:t>，</w:t>
            </w:r>
            <w:r>
              <w:rPr>
                <w:rFonts w:hint="default" w:ascii="Times New Roman" w:hAnsi="Times New Roman" w:eastAsia="仿宋_GB2312" w:cs="Times New Roman"/>
                <w:color w:val="auto"/>
                <w:sz w:val="24"/>
                <w:szCs w:val="24"/>
                <w:vertAlign w:val="baseline"/>
                <w:lang w:val="en-US" w:eastAsia="zh-CN"/>
              </w:rPr>
              <w:t>加快</w:t>
            </w:r>
            <w:r>
              <w:rPr>
                <w:rFonts w:hint="default" w:ascii="Times New Roman" w:hAnsi="Times New Roman" w:eastAsia="仿宋_GB2312" w:cs="Times New Roman"/>
                <w:color w:val="auto"/>
                <w:sz w:val="24"/>
                <w:szCs w:val="24"/>
                <w:vertAlign w:val="baseline"/>
              </w:rPr>
              <w:t>建设以万佛湖、响洪甸、佛子岭、青山湖等湖群为核心的中医药生态养生旅游休闲示范区。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仿宋_GB2312" w:cs="Times New Roman"/>
                <w:color w:val="auto"/>
                <w:sz w:val="24"/>
                <w:szCs w:val="24"/>
                <w:vertAlign w:val="baseline"/>
              </w:rPr>
            </w:pPr>
            <w:r>
              <w:rPr>
                <w:rFonts w:hint="default" w:ascii="Times New Roman" w:hAnsi="Times New Roman" w:eastAsia="楷体_GB2312" w:cs="Times New Roman"/>
                <w:b/>
                <w:bCs/>
                <w:color w:val="auto"/>
                <w:sz w:val="24"/>
                <w:szCs w:val="24"/>
                <w:vertAlign w:val="baseline"/>
                <w:lang w:val="en-US" w:eastAsia="zh-CN"/>
              </w:rPr>
              <w:t>4</w:t>
            </w:r>
            <w:r>
              <w:rPr>
                <w:rFonts w:hint="default" w:ascii="Times New Roman" w:hAnsi="Times New Roman" w:eastAsia="楷体_GB2312" w:cs="Times New Roman"/>
                <w:b/>
                <w:bCs/>
                <w:color w:val="auto"/>
                <w:sz w:val="24"/>
                <w:szCs w:val="24"/>
                <w:vertAlign w:val="baseline"/>
              </w:rPr>
              <w:t>.养老服务人才队伍建设工程。</w:t>
            </w:r>
            <w:r>
              <w:rPr>
                <w:rFonts w:hint="default" w:ascii="Times New Roman" w:hAnsi="Times New Roman" w:eastAsia="仿宋_GB2312" w:cs="Times New Roman"/>
                <w:color w:val="auto"/>
                <w:sz w:val="24"/>
                <w:szCs w:val="24"/>
                <w:vertAlign w:val="baseline"/>
              </w:rPr>
              <w:t>提高市级院校社会工作、康复护理等老年专业学历教育，扩充专业人才体量</w:t>
            </w:r>
            <w:r>
              <w:rPr>
                <w:rFonts w:hint="default" w:ascii="Times New Roman" w:hAnsi="Times New Roman" w:eastAsia="仿宋_GB2312" w:cs="Times New Roman"/>
                <w:color w:val="auto"/>
                <w:sz w:val="24"/>
                <w:szCs w:val="24"/>
                <w:vertAlign w:val="baseline"/>
                <w:lang w:eastAsia="zh-CN"/>
              </w:rPr>
              <w:t>；</w:t>
            </w:r>
            <w:r>
              <w:rPr>
                <w:rFonts w:hint="default" w:ascii="Times New Roman" w:hAnsi="Times New Roman" w:eastAsia="仿宋_GB2312" w:cs="Times New Roman"/>
                <w:color w:val="auto"/>
                <w:sz w:val="24"/>
                <w:szCs w:val="24"/>
                <w:vertAlign w:val="baseline"/>
              </w:rPr>
              <w:t>鼓励学校通过订单培养、共建实训基地等校企合作方式，重点建设一批养老服务实训基地</w:t>
            </w:r>
            <w:r>
              <w:rPr>
                <w:rFonts w:hint="default" w:ascii="Times New Roman" w:hAnsi="Times New Roman" w:eastAsia="仿宋_GB2312" w:cs="Times New Roman"/>
                <w:color w:val="auto"/>
                <w:sz w:val="24"/>
                <w:szCs w:val="24"/>
                <w:vertAlign w:val="baseline"/>
                <w:lang w:eastAsia="zh-CN"/>
              </w:rPr>
              <w:t>；</w:t>
            </w:r>
            <w:r>
              <w:rPr>
                <w:rFonts w:hint="default" w:ascii="Times New Roman" w:hAnsi="Times New Roman" w:eastAsia="仿宋_GB2312" w:cs="Times New Roman"/>
                <w:color w:val="auto"/>
                <w:sz w:val="24"/>
                <w:szCs w:val="24"/>
                <w:vertAlign w:val="baseline"/>
              </w:rPr>
              <w:t>完善养老服务人员在岗技能培训、教育培训和技能认定制度，启动“学历证书+若干职业技能等级证书”工作</w:t>
            </w:r>
            <w:r>
              <w:rPr>
                <w:rFonts w:hint="default" w:ascii="Times New Roman" w:hAnsi="Times New Roman" w:eastAsia="仿宋_GB2312" w:cs="Times New Roman"/>
                <w:color w:val="auto"/>
                <w:sz w:val="24"/>
                <w:szCs w:val="24"/>
                <w:vertAlign w:val="baseline"/>
                <w:lang w:eastAsia="zh-CN"/>
              </w:rPr>
              <w:t>；</w:t>
            </w:r>
            <w:r>
              <w:rPr>
                <w:rFonts w:hint="default" w:ascii="Times New Roman" w:hAnsi="Times New Roman" w:eastAsia="仿宋_GB2312" w:cs="Times New Roman"/>
                <w:color w:val="auto"/>
                <w:sz w:val="24"/>
                <w:szCs w:val="24"/>
                <w:vertAlign w:val="baseline"/>
              </w:rPr>
              <w:t>建立养老服务人才引进和交流计划</w:t>
            </w:r>
            <w:r>
              <w:rPr>
                <w:rFonts w:hint="default" w:ascii="Times New Roman" w:hAnsi="Times New Roman" w:eastAsia="仿宋_GB2312" w:cs="Times New Roman"/>
                <w:color w:val="auto"/>
                <w:sz w:val="24"/>
                <w:szCs w:val="24"/>
                <w:vertAlign w:val="baseline"/>
                <w:lang w:eastAsia="zh-CN"/>
              </w:rPr>
              <w:t>，</w:t>
            </w:r>
            <w:r>
              <w:rPr>
                <w:rFonts w:hint="default" w:ascii="Times New Roman" w:hAnsi="Times New Roman" w:eastAsia="仿宋_GB2312" w:cs="Times New Roman"/>
                <w:b w:val="0"/>
                <w:bCs w:val="0"/>
                <w:color w:val="auto"/>
                <w:kern w:val="2"/>
                <w:sz w:val="24"/>
                <w:szCs w:val="24"/>
                <w:lang w:val="en-US" w:eastAsia="zh-CN" w:bidi="ar-SA"/>
              </w:rPr>
              <w:t>积极推进居家失能老年人家庭照护者技能培训工作。到2025年，</w:t>
            </w:r>
            <w:r>
              <w:rPr>
                <w:rFonts w:hint="default" w:ascii="Times New Roman" w:hAnsi="Times New Roman" w:eastAsia="仿宋_GB2312" w:cs="Times New Roman"/>
                <w:color w:val="auto"/>
                <w:kern w:val="2"/>
                <w:sz w:val="24"/>
                <w:szCs w:val="24"/>
                <w:vertAlign w:val="baseline"/>
                <w:lang w:val="en-US" w:eastAsia="zh-CN" w:bidi="ar-SA"/>
              </w:rPr>
              <w:t>力争养老护理从业人员达到5000人，养老护理员职业技能等级认定合格率达到50%。</w:t>
            </w:r>
          </w:p>
        </w:tc>
      </w:tr>
    </w:tbl>
    <w:p>
      <w:pPr>
        <w:pStyle w:val="3"/>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exact"/>
        <w:textAlignment w:val="auto"/>
        <w:rPr>
          <w:rFonts w:hint="default" w:ascii="Times New Roman" w:hAnsi="Times New Roman" w:cs="Times New Roman"/>
          <w:color w:val="auto"/>
          <w:lang w:val="en-US" w:eastAsia="zh-CN"/>
        </w:rPr>
        <w:sectPr>
          <w:pgSz w:w="11906" w:h="16838"/>
          <w:pgMar w:top="1440" w:right="1800" w:bottom="1440" w:left="1800" w:header="851" w:footer="992" w:gutter="0"/>
          <w:pgNumType w:fmt="decimal"/>
          <w:cols w:space="425" w:num="1"/>
          <w:docGrid w:type="lines" w:linePitch="312" w:charSpace="0"/>
        </w:sectPr>
      </w:pPr>
      <w:bookmarkStart w:id="155" w:name="_Toc4537"/>
      <w:bookmarkStart w:id="156" w:name="_Toc87883531"/>
    </w:p>
    <w:p>
      <w:pPr>
        <w:pStyle w:val="3"/>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exact"/>
        <w:textAlignment w:val="auto"/>
        <w:rPr>
          <w:rFonts w:hint="default" w:ascii="Times New Roman" w:hAnsi="Times New Roman" w:cs="Times New Roman"/>
          <w:color w:val="auto"/>
          <w:lang w:val="en-US" w:eastAsia="zh-CN"/>
        </w:rPr>
      </w:pPr>
      <w:bookmarkStart w:id="157" w:name="_Toc7683"/>
      <w:bookmarkStart w:id="158" w:name="_Toc7784"/>
      <w:bookmarkStart w:id="159" w:name="_Toc19241"/>
      <w:bookmarkStart w:id="160" w:name="_Toc28401"/>
      <w:r>
        <w:rPr>
          <w:rFonts w:hint="default" w:ascii="Times New Roman" w:hAnsi="Times New Roman" w:cs="Times New Roman"/>
          <w:color w:val="auto"/>
          <w:lang w:val="en-US" w:eastAsia="zh-CN"/>
        </w:rPr>
        <w:t>第八章  精准高效的社会服务</w:t>
      </w:r>
      <w:bookmarkEnd w:id="155"/>
      <w:bookmarkEnd w:id="156"/>
      <w:bookmarkEnd w:id="157"/>
      <w:bookmarkEnd w:id="158"/>
      <w:bookmarkEnd w:id="159"/>
      <w:bookmarkEnd w:id="160"/>
    </w:p>
    <w:p>
      <w:pPr>
        <w:keepNext w:val="0"/>
        <w:keepLines w:val="0"/>
        <w:pageBreakBefore w:val="0"/>
        <w:widowControl w:val="0"/>
        <w:kinsoku/>
        <w:wordWrap/>
        <w:overflowPunct/>
        <w:topLinePunct w:val="0"/>
        <w:autoSpaceDE/>
        <w:autoSpaceDN/>
        <w:bidi w:val="0"/>
        <w:snapToGrid/>
        <w:spacing w:line="60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bookmarkStart w:id="161" w:name="_Toc87883532"/>
      <w:r>
        <w:rPr>
          <w:rFonts w:hint="default" w:ascii="Times New Roman" w:hAnsi="Times New Roman" w:eastAsia="仿宋_GB2312" w:cs="Times New Roman"/>
          <w:color w:val="auto"/>
          <w:sz w:val="32"/>
          <w:szCs w:val="32"/>
          <w:lang w:val="en-US" w:eastAsia="zh-CN"/>
        </w:rPr>
        <w:t>深化新时代社会救助体系建设，鼓励社会工作专业力量参与精准救助，促进现代慈善事业和志愿服务健康发展，切实筑牢重点群体兜底保障和关爱服务体系。</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rPr>
          <w:rFonts w:hint="default" w:ascii="Times New Roman" w:hAnsi="Times New Roman" w:eastAsia="楷体_GB2312" w:cs="Times New Roman"/>
          <w:b/>
          <w:bCs/>
          <w:color w:val="auto"/>
          <w:sz w:val="32"/>
          <w:szCs w:val="32"/>
          <w:lang w:val="en-US" w:eastAsia="zh-CN"/>
        </w:rPr>
      </w:pPr>
      <w:bookmarkStart w:id="162" w:name="_Toc13738"/>
      <w:bookmarkStart w:id="163" w:name="_Toc6448"/>
      <w:bookmarkStart w:id="164" w:name="_Toc3513"/>
      <w:bookmarkStart w:id="165" w:name="_Toc21142"/>
      <w:bookmarkStart w:id="166" w:name="_Toc204"/>
      <w:r>
        <w:rPr>
          <w:rFonts w:hint="default" w:ascii="Times New Roman" w:hAnsi="Times New Roman" w:eastAsia="楷体_GB2312" w:cs="Times New Roman"/>
          <w:b/>
          <w:bCs/>
          <w:color w:val="auto"/>
          <w:sz w:val="32"/>
          <w:szCs w:val="32"/>
          <w:lang w:val="en-US" w:eastAsia="zh-CN"/>
        </w:rPr>
        <w:t>第一节</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lang w:val="en-US" w:eastAsia="zh-CN"/>
        </w:rPr>
        <w:t>弱有所扶</w:t>
      </w:r>
      <w:bookmarkEnd w:id="161"/>
      <w:bookmarkEnd w:id="162"/>
      <w:bookmarkEnd w:id="163"/>
      <w:bookmarkEnd w:id="164"/>
      <w:bookmarkEnd w:id="165"/>
      <w:bookmarkEnd w:id="166"/>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cs="Times New Roman"/>
          <w:color w:val="auto"/>
          <w:highlight w:val="yellow"/>
          <w:lang w:eastAsia="zh-CN"/>
        </w:rPr>
      </w:pPr>
      <w:r>
        <w:rPr>
          <w:rFonts w:hint="default" w:ascii="Times New Roman" w:hAnsi="Times New Roman" w:eastAsia="楷体_GB2312" w:cs="Times New Roman"/>
          <w:b/>
          <w:bCs/>
          <w:color w:val="auto"/>
          <w:sz w:val="32"/>
          <w:szCs w:val="32"/>
          <w:lang w:val="en-US" w:eastAsia="zh-CN"/>
        </w:rPr>
        <w:t>健全</w:t>
      </w:r>
      <w:r>
        <w:rPr>
          <w:rFonts w:hint="default" w:ascii="Times New Roman" w:hAnsi="Times New Roman" w:eastAsia="楷体_GB2312" w:cs="Times New Roman"/>
          <w:b/>
          <w:bCs/>
          <w:color w:val="auto"/>
          <w:sz w:val="32"/>
          <w:szCs w:val="32"/>
        </w:rPr>
        <w:t>社会救助体系</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color w:val="auto"/>
          <w:sz w:val="32"/>
          <w:szCs w:val="32"/>
        </w:rPr>
        <w:t>建立以基本生活救助、专项社会救助、急难社会救助为主体，社会力量参与为补充的分层分类救助体系</w:t>
      </w:r>
      <w:r>
        <w:rPr>
          <w:rFonts w:hint="default" w:ascii="Times New Roman" w:hAnsi="Times New Roman" w:eastAsia="仿宋_GB2312" w:cs="Times New Roman"/>
          <w:color w:val="auto"/>
          <w:sz w:val="32"/>
          <w:szCs w:val="32"/>
          <w:lang w:eastAsia="zh-CN"/>
        </w:rPr>
        <w:t>。规范低保对象认定程序，建立低保准入准出机制，根据我市经济社会发展水平、人均消费支出和物价变动情况，合理确定低保标准。</w:t>
      </w:r>
      <w:r>
        <w:rPr>
          <w:rFonts w:hint="default" w:ascii="Times New Roman" w:hAnsi="Times New Roman" w:eastAsia="仿宋_GB2312" w:cs="Times New Roman"/>
          <w:color w:val="auto"/>
          <w:sz w:val="32"/>
          <w:szCs w:val="32"/>
        </w:rPr>
        <w:t>完善特困人员认定办法，推进购买特困人员住院护理险工作。</w:t>
      </w:r>
      <w:r>
        <w:rPr>
          <w:rFonts w:hint="eastAsia" w:ascii="Times New Roman" w:hAnsi="Times New Roman" w:eastAsia="仿宋_GB2312" w:cs="Times New Roman"/>
          <w:color w:val="auto"/>
          <w:sz w:val="32"/>
          <w:szCs w:val="32"/>
          <w:lang w:val="en-US" w:eastAsia="zh-CN"/>
        </w:rPr>
        <w:t>健全</w:t>
      </w:r>
      <w:r>
        <w:rPr>
          <w:rFonts w:hint="default" w:ascii="Times New Roman" w:hAnsi="Times New Roman" w:eastAsia="仿宋_GB2312" w:cs="Times New Roman"/>
          <w:color w:val="auto"/>
          <w:sz w:val="32"/>
          <w:szCs w:val="32"/>
        </w:rPr>
        <w:t>基本生活救助标准动态调整机制和家庭经济状况核对机制，对不符合低保或特困供养条件的低收入家庭和刚性支出较大导致基本生活出现严重困难的家庭，根据实际需要给予相应的专项社会救助或实施其他必要救助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建设低收入人口动态监测信息平台，健全常态化救助帮扶机制。</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深化生活无着的流浪乞讨人员救助管理工作体制机制改革，持续开展无法查明身份信息受助人员落户安置工作。</w:t>
      </w:r>
      <w:r>
        <w:rPr>
          <w:rFonts w:hint="default" w:ascii="Times New Roman" w:hAnsi="Times New Roman" w:eastAsia="仿宋_GB2312" w:cs="Times New Roman"/>
          <w:color w:val="auto"/>
          <w:sz w:val="32"/>
          <w:szCs w:val="32"/>
        </w:rPr>
        <w:t>加强临时救助，提升急难发生地临时救助能力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建立乡镇（街道）临时救助备用金制度</w:t>
      </w:r>
      <w:r>
        <w:rPr>
          <w:rFonts w:hint="default" w:ascii="Times New Roman" w:hAnsi="Times New Roman" w:eastAsia="仿宋_GB2312" w:cs="Times New Roman"/>
          <w:color w:val="auto"/>
          <w:sz w:val="32"/>
          <w:szCs w:val="32"/>
          <w:lang w:eastAsia="zh-CN"/>
        </w:rPr>
        <w:t>。推进公共法律服务体系建设，完善法律援助制度，健全司法救助体系。</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推进</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互联网</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社会救助</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，整合社会救助数据信息，推进社会救助异地申请受理、网上办理，并逐步向移动端延伸。</w:t>
      </w:r>
    </w:p>
    <w:p>
      <w:pPr>
        <w:pStyle w:val="16"/>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firstLine="643" w:firstLineChars="200"/>
        <w:jc w:val="both"/>
        <w:textAlignment w:val="auto"/>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保障妇女和未成年人合法权益。</w:t>
      </w:r>
      <w:r>
        <w:rPr>
          <w:rFonts w:hint="default" w:ascii="Times New Roman" w:hAnsi="Times New Roman" w:eastAsia="仿宋_GB2312" w:cs="Times New Roman"/>
          <w:color w:val="auto"/>
          <w:kern w:val="2"/>
          <w:sz w:val="32"/>
          <w:szCs w:val="32"/>
          <w:lang w:val="en-US" w:eastAsia="zh-CN" w:bidi="ar-SA"/>
        </w:rPr>
        <w:t>贯彻落实《妇女权益保护法》及《中国妇女发展纲要》，保障妇女平等获得就学、就业、婚姻家庭财产、参与社会事务等权利和机会</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2"/>
          <w:sz w:val="32"/>
          <w:szCs w:val="32"/>
          <w:lang w:val="en-US" w:eastAsia="zh-CN" w:bidi="ar-SA"/>
        </w:rPr>
        <w:t>加大对残疾、留守妇女等特殊妇女群体的关爱帮扶，严厉打击暴力侵害妇女、拐卖妇女等犯罪行为。实施《未成年人保护法》及《中国儿童发展纲要》，</w:t>
      </w:r>
      <w:r>
        <w:rPr>
          <w:rFonts w:hint="default" w:ascii="Times New Roman" w:hAnsi="Times New Roman" w:eastAsia="仿宋_GB2312" w:cs="Times New Roman"/>
          <w:color w:val="auto"/>
          <w:sz w:val="32"/>
          <w:szCs w:val="32"/>
          <w:lang w:val="en-US" w:eastAsia="zh-CN"/>
        </w:rPr>
        <w:t>健全未成年人保护工作机制和未成年人监护制度，实施困境儿童关爱保护工程，贯彻落实残疾儿童康复救助制度，加大对农村留守儿童和困境儿童的关爱力度。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1"/>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提升残疾人保障和发展能力。</w:t>
      </w:r>
      <w:r>
        <w:rPr>
          <w:rFonts w:hint="default" w:ascii="Times New Roman" w:hAnsi="Times New Roman" w:eastAsia="仿宋_GB2312" w:cs="Times New Roman"/>
          <w:color w:val="auto"/>
          <w:kern w:val="2"/>
          <w:sz w:val="32"/>
          <w:szCs w:val="32"/>
          <w:lang w:val="en-US" w:eastAsia="zh-CN" w:bidi="ar-SA"/>
        </w:rPr>
        <w:t>建立残疾人两项补贴标准动态调整机制，确保残疾人两项补贴现行补贴标准与当地经济社会发展水平相适应。持续开展残疾人救助帮困工作，鼓励通过托养、政府购买服务等形式，为困难重度残疾人提供集中或社会化的照护服务。加强残疾人就业支持力度，配套优化残疾人就业补贴政策，多渠道扶持残疾人自主创业和灵活就业。实施困难残疾人家庭无障碍改造及公共场所无障碍环境建设，加快实施辅助器具补贴和租赁。强化严重精神障碍患者救助救治和监护补贴发放工作，加强精神卫生福利机构建设，推动精神障碍康复服务向社区延伸。</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rPr>
          <w:rFonts w:hint="default" w:ascii="Times New Roman" w:hAnsi="Times New Roman" w:eastAsia="楷体_GB2312" w:cs="Times New Roman"/>
          <w:b/>
          <w:bCs/>
          <w:color w:val="auto"/>
          <w:sz w:val="32"/>
          <w:szCs w:val="32"/>
          <w:lang w:val="en-US" w:eastAsia="zh-CN"/>
        </w:rPr>
      </w:pPr>
      <w:bookmarkStart w:id="167" w:name="_Toc28757"/>
      <w:bookmarkStart w:id="168" w:name="_Toc25344"/>
      <w:bookmarkStart w:id="169" w:name="_Toc14243"/>
      <w:bookmarkStart w:id="170" w:name="_Toc20571"/>
      <w:bookmarkStart w:id="171" w:name="_Toc8464"/>
      <w:bookmarkStart w:id="172" w:name="_Toc87883533"/>
      <w:r>
        <w:rPr>
          <w:rFonts w:hint="default" w:ascii="Times New Roman" w:hAnsi="Times New Roman" w:eastAsia="楷体_GB2312" w:cs="Times New Roman"/>
          <w:b/>
          <w:bCs/>
          <w:color w:val="auto"/>
          <w:sz w:val="32"/>
          <w:szCs w:val="32"/>
          <w:lang w:val="en-US" w:eastAsia="zh-CN"/>
        </w:rPr>
        <w:t>第二节</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lang w:val="en-US" w:eastAsia="zh-CN"/>
        </w:rPr>
        <w:t>弱有众扶</w:t>
      </w:r>
      <w:bookmarkEnd w:id="167"/>
      <w:bookmarkEnd w:id="168"/>
      <w:bookmarkEnd w:id="169"/>
      <w:bookmarkEnd w:id="170"/>
      <w:bookmarkEnd w:id="171"/>
      <w:bookmarkEnd w:id="172"/>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1"/>
        <w:jc w:val="both"/>
        <w:textAlignment w:val="auto"/>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大力发展现代慈善事业。</w:t>
      </w:r>
      <w:r>
        <w:rPr>
          <w:rFonts w:hint="default" w:ascii="Times New Roman" w:hAnsi="Times New Roman" w:eastAsia="仿宋_GB2312" w:cs="Times New Roman"/>
          <w:color w:val="auto"/>
          <w:sz w:val="32"/>
          <w:szCs w:val="32"/>
        </w:rPr>
        <w:t>完善有利于慈善组织持续健康发展的体制机制，畅通社会各方面参与慈善事业发展的渠道。探索各类新型捐赠方式，培育发展资助型基金会，引导专业型基金会拓展新的慈善领域。</w:t>
      </w:r>
      <w:r>
        <w:rPr>
          <w:rFonts w:hint="default" w:ascii="Times New Roman" w:hAnsi="Times New Roman" w:eastAsia="仿宋_GB2312" w:cs="Times New Roman"/>
          <w:color w:val="auto"/>
          <w:sz w:val="32"/>
          <w:szCs w:val="32"/>
          <w:lang w:val="en-US" w:eastAsia="zh-CN"/>
        </w:rPr>
        <w:t>鼓励支持各县区建立健全慈善表彰制度，对慈善事业发展作出突出贡献的个人或组织给予表彰。加强慈善组织和活动监督管理，建立慈善资金使用跟踪反馈机制，</w:t>
      </w:r>
      <w:r>
        <w:rPr>
          <w:rFonts w:hint="default" w:ascii="Times New Roman" w:hAnsi="Times New Roman" w:eastAsia="仿宋_GB2312" w:cs="Times New Roman"/>
          <w:color w:val="auto"/>
          <w:sz w:val="32"/>
          <w:szCs w:val="32"/>
        </w:rPr>
        <w:t>规范慈善行为。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1"/>
        <w:jc w:val="both"/>
        <w:textAlignment w:val="auto"/>
        <w:rPr>
          <w:rFonts w:hint="default" w:ascii="Times New Roman" w:hAnsi="Times New Roman" w:cs="Times New Roman"/>
          <w:color w:val="auto"/>
          <w:highlight w:val="yellow"/>
          <w:lang w:val="en-US" w:eastAsia="zh-CN"/>
        </w:rPr>
      </w:pPr>
      <w:r>
        <w:rPr>
          <w:rFonts w:hint="default" w:ascii="Times New Roman" w:hAnsi="Times New Roman" w:eastAsia="楷体_GB2312" w:cs="Times New Roman"/>
          <w:b/>
          <w:bCs/>
          <w:color w:val="auto"/>
          <w:kern w:val="2"/>
          <w:sz w:val="32"/>
          <w:szCs w:val="32"/>
          <w:lang w:val="en-US" w:eastAsia="zh-CN" w:bidi="ar-SA"/>
        </w:rPr>
        <w:t>鼓励社会工作专业力量参与。</w:t>
      </w:r>
      <w:r>
        <w:rPr>
          <w:rFonts w:hint="default" w:ascii="Times New Roman" w:hAnsi="Times New Roman" w:eastAsia="仿宋_GB2312" w:cs="Times New Roman"/>
          <w:color w:val="auto"/>
          <w:sz w:val="32"/>
          <w:szCs w:val="32"/>
        </w:rPr>
        <w:t>支持民政服务机构与基层民政经办机构、社区和社会服务机构设置社会工作岗位，在养老机构、儿童福利机构、未成年人保护机构中广泛开展社工服务。</w:t>
      </w:r>
      <w:r>
        <w:rPr>
          <w:rFonts w:hint="default" w:ascii="Times New Roman" w:hAnsi="Times New Roman" w:eastAsia="仿宋_GB2312" w:cs="Times New Roman"/>
          <w:b w:val="0"/>
          <w:bCs w:val="0"/>
          <w:color w:val="auto"/>
          <w:kern w:val="2"/>
          <w:sz w:val="32"/>
          <w:szCs w:val="32"/>
          <w:lang w:val="en-US" w:eastAsia="zh-CN" w:bidi="ar-SA"/>
        </w:rPr>
        <w:t>加快推进乡镇（街道）社会工作站建设。</w:t>
      </w:r>
      <w:r>
        <w:rPr>
          <w:rFonts w:hint="default" w:ascii="Times New Roman" w:hAnsi="Times New Roman" w:eastAsia="仿宋_GB2312" w:cs="Times New Roman"/>
          <w:color w:val="auto"/>
          <w:sz w:val="32"/>
          <w:szCs w:val="32"/>
        </w:rPr>
        <w:t>鼓励和引导以民政服务对象为重点开展专业服务，实施社工服务品牌建设工程。</w:t>
      </w:r>
      <w:r>
        <w:rPr>
          <w:rFonts w:hint="default" w:ascii="Times New Roman" w:hAnsi="Times New Roman" w:eastAsia="仿宋_GB2312" w:cs="Times New Roman"/>
          <w:b w:val="0"/>
          <w:bCs w:val="0"/>
          <w:color w:val="auto"/>
          <w:kern w:val="2"/>
          <w:sz w:val="32"/>
          <w:szCs w:val="32"/>
          <w:lang w:val="en-US" w:eastAsia="zh-CN" w:bidi="ar-SA"/>
        </w:rPr>
        <w:t>加大对社工服务机构、一线社会工作者的培养培训力度，提高社会工作专业人才</w:t>
      </w:r>
      <w:r>
        <w:rPr>
          <w:rFonts w:hint="eastAsia" w:ascii="Times New Roman" w:hAnsi="Times New Roman" w:eastAsia="仿宋_GB2312" w:cs="Times New Roman"/>
          <w:b w:val="0"/>
          <w:bCs w:val="0"/>
          <w:color w:val="auto"/>
          <w:kern w:val="2"/>
          <w:sz w:val="32"/>
          <w:szCs w:val="32"/>
          <w:lang w:val="en-US" w:eastAsia="zh-CN" w:bidi="ar-SA"/>
        </w:rPr>
        <w:t>数</w:t>
      </w:r>
      <w:r>
        <w:rPr>
          <w:rFonts w:hint="default" w:ascii="Times New Roman" w:hAnsi="Times New Roman" w:eastAsia="仿宋_GB2312" w:cs="Times New Roman"/>
          <w:b w:val="0"/>
          <w:bCs w:val="0"/>
          <w:color w:val="auto"/>
          <w:kern w:val="2"/>
          <w:sz w:val="32"/>
          <w:szCs w:val="32"/>
          <w:lang w:val="en-US" w:eastAsia="zh-CN" w:bidi="ar-SA"/>
        </w:rPr>
        <w:t>量和水平。完善社会工作专业人才培养、评价、使用、激励机制，形成初、中、高级结构优化的社会工作专业人才梯队。</w:t>
      </w:r>
      <w:r>
        <w:rPr>
          <w:rFonts w:hint="default" w:ascii="Times New Roman" w:hAnsi="Times New Roman" w:eastAsia="仿宋_GB2312" w:cs="Times New Roman"/>
          <w:color w:val="auto"/>
          <w:sz w:val="32"/>
          <w:szCs w:val="32"/>
        </w:rPr>
        <w:t>推动落实社工人才薪酬激励制度。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
          <w:bCs/>
          <w:color w:val="auto"/>
          <w:sz w:val="32"/>
          <w:szCs w:val="32"/>
          <w:lang w:val="en-US" w:eastAsia="zh-CN"/>
        </w:rPr>
        <w:t>支持壮大志愿服务力量。</w:t>
      </w:r>
      <w:r>
        <w:rPr>
          <w:rFonts w:hint="default" w:ascii="Times New Roman" w:hAnsi="Times New Roman" w:eastAsia="仿宋_GB2312" w:cs="Times New Roman"/>
          <w:color w:val="auto"/>
          <w:sz w:val="32"/>
          <w:szCs w:val="32"/>
        </w:rPr>
        <w:t>加快培育发展各类行业性、专业性志愿服务组织，鼓励建立地方特色的志愿服务组织孵化基地。协同推进志愿服务激励褒扬、保险保障等制度建设，完善六安新时代文明实践志愿服务体系。加强社会救助志愿服务制度建设，依托社区综合服务设施、社会工作站，建设志愿服务站点</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加快志愿服务信息化建设，持续推进志愿服务信息数据的归集和管理，加强志愿服务记录和证明出具的管理。推动志愿服务项目化运作，强化与慈善项目、社会工作项目的协同推进，积极开展社会救助、养老助残、儿童福利和未成年人保护等领域志愿服务活动。</w:t>
      </w:r>
    </w:p>
    <w:p>
      <w:pPr>
        <w:pStyle w:val="6"/>
        <w:bidi w:val="0"/>
        <w:rPr>
          <w:rFonts w:hint="default" w:ascii="Times New Roman" w:hAnsi="Times New Roman" w:eastAsia="黑体" w:cs="Times New Roman"/>
          <w:color w:val="auto"/>
          <w:lang w:val="en-US" w:eastAsia="zh-CN"/>
        </w:rPr>
      </w:pPr>
      <w:r>
        <w:rPr>
          <w:rFonts w:hint="default" w:ascii="Times New Roman" w:hAnsi="Times New Roman" w:cs="Times New Roman"/>
          <w:color w:val="auto"/>
        </w:rPr>
        <w:t xml:space="preserve">专栏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SEQ 专栏 \* ARABIC </w:instrText>
      </w:r>
      <w:r>
        <w:rPr>
          <w:rFonts w:hint="default" w:ascii="Times New Roman" w:hAnsi="Times New Roman" w:cs="Times New Roman"/>
          <w:color w:val="auto"/>
        </w:rPr>
        <w:fldChar w:fldCharType="separate"/>
      </w:r>
      <w:r>
        <w:rPr>
          <w:rFonts w:hint="default" w:ascii="Times New Roman" w:hAnsi="Times New Roman" w:cs="Times New Roman"/>
          <w:color w:val="auto"/>
        </w:rPr>
        <w:t>8</w:t>
      </w:r>
      <w:r>
        <w:rPr>
          <w:rFonts w:hint="default" w:ascii="Times New Roman" w:hAnsi="Times New Roman" w:cs="Times New Roman"/>
          <w:color w:val="auto"/>
        </w:rPr>
        <w:fldChar w:fldCharType="end"/>
      </w:r>
      <w:bookmarkStart w:id="173" w:name="_Toc29182"/>
      <w:r>
        <w:rPr>
          <w:rFonts w:hint="default" w:ascii="Times New Roman" w:hAnsi="Times New Roman" w:cs="Times New Roman"/>
          <w:color w:val="auto"/>
          <w:lang w:val="en-US" w:eastAsia="zh-CN"/>
        </w:rPr>
        <w:t xml:space="preserve"> </w:t>
      </w:r>
      <w:bookmarkStart w:id="174" w:name="_Toc3539"/>
      <w:bookmarkStart w:id="175" w:name="_Toc28755"/>
      <w:bookmarkStart w:id="176" w:name="_Toc12963"/>
      <w:bookmarkStart w:id="177" w:name="_Toc2402"/>
      <w:r>
        <w:rPr>
          <w:rFonts w:hint="default" w:ascii="Times New Roman" w:hAnsi="Times New Roman" w:cs="Times New Roman"/>
          <w:color w:val="auto"/>
          <w:lang w:val="en-US" w:eastAsia="zh-CN"/>
        </w:rPr>
        <w:t>社会服务重点</w:t>
      </w:r>
      <w:bookmarkEnd w:id="174"/>
      <w:bookmarkEnd w:id="175"/>
      <w:bookmarkEnd w:id="176"/>
      <w:bookmarkEnd w:id="177"/>
      <w:r>
        <w:rPr>
          <w:rFonts w:hint="default" w:ascii="Times New Roman" w:hAnsi="Times New Roman" w:cs="Times New Roman"/>
          <w:color w:val="auto"/>
          <w:lang w:val="en-US" w:eastAsia="zh-CN"/>
        </w:rPr>
        <w:t>工程</w:t>
      </w:r>
      <w:bookmarkEnd w:id="173"/>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仿宋_GB2312" w:cs="Times New Roman"/>
                <w:b w:val="0"/>
                <w:bCs w:val="0"/>
                <w:color w:val="auto"/>
                <w:sz w:val="24"/>
                <w:szCs w:val="24"/>
                <w:vertAlign w:val="baseline"/>
              </w:rPr>
            </w:pPr>
            <w:r>
              <w:rPr>
                <w:rFonts w:hint="default" w:ascii="Times New Roman" w:hAnsi="Times New Roman" w:eastAsia="楷体_GB2312" w:cs="Times New Roman"/>
                <w:b/>
                <w:bCs/>
                <w:color w:val="auto"/>
                <w:sz w:val="24"/>
                <w:szCs w:val="24"/>
                <w:vertAlign w:val="baseline"/>
              </w:rPr>
              <w:t>1.社会救助服务提质扩容工程。</w:t>
            </w:r>
            <w:r>
              <w:rPr>
                <w:rFonts w:hint="default" w:ascii="Times New Roman" w:hAnsi="Times New Roman" w:eastAsia="仿宋_GB2312" w:cs="Times New Roman"/>
                <w:b w:val="0"/>
                <w:bCs w:val="0"/>
                <w:color w:val="auto"/>
                <w:sz w:val="24"/>
                <w:szCs w:val="24"/>
                <w:vertAlign w:val="baseline"/>
              </w:rPr>
              <w:t>强化乡镇（街道）社会救助职责，设立村级社会救助协理员，在困难群众较多的村（社区），建立社会救助服务站（点）。依托省社会救助大数据信息系统，推进省、市、县、乡社会救助平台的对接联网，建立全市低收入人口数据库及社会救助服务管理平台，做好社会救助申请、核对、</w:t>
            </w:r>
            <w:r>
              <w:rPr>
                <w:rFonts w:hint="default" w:ascii="Times New Roman" w:hAnsi="Times New Roman" w:eastAsia="仿宋_GB2312" w:cs="Times New Roman"/>
                <w:b w:val="0"/>
                <w:bCs w:val="0"/>
                <w:color w:val="auto"/>
                <w:sz w:val="24"/>
                <w:szCs w:val="24"/>
                <w:vertAlign w:val="baseline"/>
                <w:lang w:eastAsia="zh-CN"/>
              </w:rPr>
              <w:t>审核确认</w:t>
            </w:r>
            <w:r>
              <w:rPr>
                <w:rFonts w:hint="default" w:ascii="Times New Roman" w:hAnsi="Times New Roman" w:eastAsia="仿宋_GB2312" w:cs="Times New Roman"/>
                <w:b w:val="0"/>
                <w:bCs w:val="0"/>
                <w:color w:val="auto"/>
                <w:sz w:val="24"/>
                <w:szCs w:val="24"/>
                <w:vertAlign w:val="baseline"/>
              </w:rPr>
              <w:t>、救助、管控为一体的社会救助网络端口的管理，健全低收入人口动态监测。</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楷体_GB2312" w:cs="Times New Roman"/>
                <w:b/>
                <w:bCs/>
                <w:color w:val="auto"/>
                <w:sz w:val="24"/>
                <w:szCs w:val="24"/>
                <w:vertAlign w:val="baseline"/>
              </w:rPr>
            </w:pPr>
            <w:r>
              <w:rPr>
                <w:rFonts w:hint="default" w:ascii="Times New Roman" w:hAnsi="Times New Roman" w:eastAsia="楷体_GB2312" w:cs="Times New Roman"/>
                <w:b/>
                <w:bCs/>
                <w:color w:val="auto"/>
                <w:sz w:val="24"/>
                <w:szCs w:val="24"/>
                <w:vertAlign w:val="baseline"/>
              </w:rPr>
              <w:t>2.残疾人保障服务优化工程。</w:t>
            </w:r>
            <w:r>
              <w:rPr>
                <w:rFonts w:hint="default" w:ascii="Times New Roman" w:hAnsi="Times New Roman" w:eastAsia="仿宋_GB2312" w:cs="Times New Roman"/>
                <w:b w:val="0"/>
                <w:bCs w:val="0"/>
                <w:color w:val="auto"/>
                <w:sz w:val="24"/>
                <w:szCs w:val="24"/>
                <w:vertAlign w:val="baseline"/>
              </w:rPr>
              <w:t>健全防止残疾人返贫或因残致贫的帮扶机制，开展残疾人精准康复及康复托养服务行动，实施残疾人就业就学扶持行动，持续开展“五个一”文化进家庭、读书达人等残疾人群众性文化活动，积极开展残疾人体育运动。</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仿宋_GB2312" w:cs="Times New Roman"/>
                <w:b w:val="0"/>
                <w:bCs w:val="0"/>
                <w:color w:val="auto"/>
                <w:sz w:val="24"/>
                <w:szCs w:val="24"/>
                <w:vertAlign w:val="baseline"/>
              </w:rPr>
            </w:pPr>
            <w:r>
              <w:rPr>
                <w:rFonts w:hint="default" w:ascii="Times New Roman" w:hAnsi="Times New Roman" w:eastAsia="楷体_GB2312" w:cs="Times New Roman"/>
                <w:b/>
                <w:bCs/>
                <w:color w:val="auto"/>
                <w:sz w:val="24"/>
                <w:szCs w:val="24"/>
                <w:vertAlign w:val="baseline"/>
              </w:rPr>
              <w:t>3.未成年人保护能力提升工程。</w:t>
            </w:r>
            <w:r>
              <w:rPr>
                <w:rFonts w:hint="default" w:ascii="Times New Roman" w:hAnsi="Times New Roman" w:eastAsia="仿宋_GB2312" w:cs="Times New Roman"/>
                <w:b w:val="0"/>
                <w:bCs w:val="0"/>
                <w:color w:val="auto"/>
                <w:sz w:val="24"/>
                <w:szCs w:val="24"/>
                <w:vertAlign w:val="baseline"/>
              </w:rPr>
              <w:t>探索儿童福利机构面向社会残疾儿童开展替代照料、养育辅导、康复训练等服务，推进儿童类家庭式养育示范基地建设。建立未成</w:t>
            </w:r>
            <w:r>
              <w:rPr>
                <w:rFonts w:hint="eastAsia" w:ascii="Times New Roman" w:hAnsi="Times New Roman" w:eastAsia="仿宋_GB2312" w:cs="Times New Roman"/>
                <w:b w:val="0"/>
                <w:bCs w:val="0"/>
                <w:color w:val="auto"/>
                <w:sz w:val="24"/>
                <w:szCs w:val="24"/>
                <w:vertAlign w:val="baseline"/>
                <w:lang w:eastAsia="zh-CN"/>
              </w:rPr>
              <w:t>年</w:t>
            </w:r>
            <w:bookmarkStart w:id="326" w:name="_GoBack"/>
            <w:bookmarkEnd w:id="326"/>
            <w:r>
              <w:rPr>
                <w:rFonts w:hint="default" w:ascii="Times New Roman" w:hAnsi="Times New Roman" w:eastAsia="仿宋_GB2312" w:cs="Times New Roman"/>
                <w:b w:val="0"/>
                <w:bCs w:val="0"/>
                <w:color w:val="auto"/>
                <w:sz w:val="24"/>
                <w:szCs w:val="24"/>
                <w:vertAlign w:val="baseline"/>
              </w:rPr>
              <w:t>人保护工作热线，搭建未成年人保护联动响应一体化平台；推进乡镇（街道）设立未成年人保护工作站，推动村（居）民委员会设立未成年人保护工作岗位。</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仿宋_GB2312" w:cs="Times New Roman"/>
                <w:color w:val="auto"/>
                <w:sz w:val="24"/>
                <w:szCs w:val="24"/>
                <w:vertAlign w:val="baseline"/>
              </w:rPr>
            </w:pPr>
            <w:r>
              <w:rPr>
                <w:rFonts w:hint="default" w:ascii="Times New Roman" w:hAnsi="Times New Roman" w:eastAsia="楷体_GB2312" w:cs="Times New Roman"/>
                <w:b/>
                <w:bCs/>
                <w:color w:val="auto"/>
                <w:sz w:val="24"/>
                <w:szCs w:val="24"/>
                <w:vertAlign w:val="baseline"/>
              </w:rPr>
              <w:t>4.殡葬服务改善提升工程。</w:t>
            </w:r>
            <w:r>
              <w:rPr>
                <w:rFonts w:hint="default" w:ascii="Times New Roman" w:hAnsi="Times New Roman" w:eastAsia="仿宋_GB2312" w:cs="Times New Roman"/>
                <w:b w:val="0"/>
                <w:bCs w:val="0"/>
                <w:color w:val="auto"/>
                <w:sz w:val="24"/>
                <w:szCs w:val="24"/>
                <w:vertAlign w:val="baseline"/>
              </w:rPr>
              <w:t>扩大城乡居民殡葬服务公益范围，加强老旧殡仪馆改扩建，推进公益性公墓标准化建设。因地制宜补充建设村级公益性公墓，加强对农村原有公共墓地和集中埋葬点的资源整合、改造提升。</w:t>
            </w:r>
          </w:p>
        </w:tc>
      </w:tr>
    </w:tbl>
    <w:p>
      <w:pPr>
        <w:pStyle w:val="3"/>
        <w:spacing w:before="156" w:beforeLines="50" w:after="156" w:afterLines="50" w:line="600" w:lineRule="exact"/>
        <w:rPr>
          <w:rFonts w:hint="default" w:ascii="Times New Roman" w:hAnsi="Times New Roman" w:cs="Times New Roman"/>
          <w:color w:val="auto"/>
        </w:rPr>
        <w:sectPr>
          <w:pgSz w:w="11906" w:h="16838"/>
          <w:pgMar w:top="1440" w:right="1800" w:bottom="1440" w:left="1800" w:header="851" w:footer="992" w:gutter="0"/>
          <w:pgNumType w:fmt="decimal"/>
          <w:cols w:space="425" w:num="1"/>
          <w:docGrid w:type="lines" w:linePitch="312" w:charSpace="0"/>
        </w:sectPr>
      </w:pPr>
      <w:bookmarkStart w:id="178" w:name="_Toc87883534"/>
      <w:bookmarkStart w:id="179" w:name="_Toc7943"/>
    </w:p>
    <w:p>
      <w:pPr>
        <w:pStyle w:val="3"/>
        <w:keepNext w:val="0"/>
        <w:keepLines w:val="0"/>
        <w:pageBreakBefore w:val="0"/>
        <w:widowControl w:val="0"/>
        <w:kinsoku/>
        <w:wordWrap/>
        <w:overflowPunct/>
        <w:topLinePunct w:val="0"/>
        <w:autoSpaceDE/>
        <w:autoSpaceDN/>
        <w:bidi w:val="0"/>
        <w:snapToGrid/>
        <w:spacing w:before="156" w:beforeLines="50" w:after="156" w:afterLines="50" w:line="600" w:lineRule="exact"/>
        <w:textAlignment w:val="auto"/>
        <w:rPr>
          <w:rFonts w:hint="eastAsia" w:ascii="Times New Roman" w:hAnsi="Times New Roman" w:eastAsia="黑体" w:cs="Times New Roman"/>
          <w:color w:val="auto"/>
          <w:lang w:eastAsia="zh-CN"/>
        </w:rPr>
      </w:pPr>
      <w:bookmarkStart w:id="180" w:name="_Toc27001"/>
      <w:bookmarkStart w:id="181" w:name="_Toc26373"/>
      <w:bookmarkStart w:id="182" w:name="_Toc30608"/>
      <w:bookmarkStart w:id="183" w:name="_Toc2938"/>
      <w:r>
        <w:rPr>
          <w:rFonts w:hint="default" w:ascii="Times New Roman" w:hAnsi="Times New Roman" w:cs="Times New Roman"/>
          <w:color w:val="auto"/>
        </w:rPr>
        <w:t>第九章  舒适宜人的住房保障服务</w:t>
      </w:r>
      <w:bookmarkEnd w:id="178"/>
      <w:bookmarkEnd w:id="179"/>
      <w:bookmarkEnd w:id="180"/>
      <w:bookmarkEnd w:id="181"/>
      <w:bookmarkEnd w:id="182"/>
      <w:bookmarkEnd w:id="183"/>
      <w:bookmarkStart w:id="184" w:name="_Toc87883535"/>
    </w:p>
    <w:bookmarkEnd w:id="184"/>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color w:val="auto"/>
          <w:sz w:val="32"/>
          <w:szCs w:val="32"/>
        </w:rPr>
      </w:pPr>
      <w:bookmarkStart w:id="185" w:name="_Toc87883548"/>
      <w:bookmarkStart w:id="186" w:name="_Toc30416"/>
      <w:r>
        <w:rPr>
          <w:rFonts w:hint="default" w:ascii="Times New Roman" w:hAnsi="Times New Roman" w:eastAsia="仿宋_GB2312" w:cs="Times New Roman"/>
          <w:color w:val="auto"/>
          <w:sz w:val="32"/>
          <w:szCs w:val="32"/>
        </w:rPr>
        <w:t>有效优化住房保障方式，扩大租赁住房供给，改善城镇居民居住条件，</w:t>
      </w:r>
      <w:r>
        <w:rPr>
          <w:rFonts w:hint="default" w:ascii="Times New Roman" w:hAnsi="Times New Roman" w:eastAsia="仿宋_GB2312" w:cs="Times New Roman"/>
          <w:color w:val="auto"/>
          <w:sz w:val="32"/>
          <w:szCs w:val="32"/>
          <w:lang w:val="en-US" w:eastAsia="zh-CN"/>
        </w:rPr>
        <w:t>持续优化</w:t>
      </w:r>
      <w:r>
        <w:rPr>
          <w:rFonts w:hint="default" w:ascii="Times New Roman" w:hAnsi="Times New Roman" w:eastAsia="仿宋_GB2312" w:cs="Times New Roman"/>
          <w:color w:val="auto"/>
          <w:sz w:val="32"/>
          <w:szCs w:val="32"/>
        </w:rPr>
        <w:t>人居环境。</w:t>
      </w:r>
    </w:p>
    <w:p>
      <w:pPr>
        <w:pStyle w:val="2"/>
        <w:keepNext w:val="0"/>
        <w:keepLines w:val="0"/>
        <w:pageBreakBefore w:val="0"/>
        <w:widowControl w:val="0"/>
        <w:kinsoku/>
        <w:wordWrap/>
        <w:overflowPunct/>
        <w:topLinePunct w:val="0"/>
        <w:autoSpaceDE/>
        <w:autoSpaceDN/>
        <w:bidi w:val="0"/>
        <w:snapToGrid/>
        <w:spacing w:before="156" w:beforeLines="50" w:after="156" w:afterLines="50" w:line="600" w:lineRule="exact"/>
        <w:textAlignment w:val="auto"/>
        <w:rPr>
          <w:rFonts w:hint="default" w:ascii="Times New Roman" w:hAnsi="Times New Roman" w:cs="Times New Roman"/>
          <w:color w:val="auto"/>
        </w:rPr>
      </w:pPr>
      <w:bookmarkStart w:id="187" w:name="_Toc4226"/>
      <w:bookmarkStart w:id="188" w:name="_Toc16467"/>
      <w:bookmarkStart w:id="189" w:name="_Toc21337"/>
      <w:bookmarkStart w:id="190" w:name="_Toc19295"/>
      <w:bookmarkStart w:id="191" w:name="_Toc23442"/>
      <w:r>
        <w:rPr>
          <w:rFonts w:hint="default" w:ascii="Times New Roman" w:hAnsi="Times New Roman" w:cs="Times New Roman"/>
          <w:color w:val="auto"/>
        </w:rPr>
        <w:t>第一节  住有所居</w:t>
      </w:r>
      <w:bookmarkEnd w:id="187"/>
      <w:bookmarkEnd w:id="188"/>
      <w:bookmarkEnd w:id="189"/>
      <w:bookmarkEnd w:id="190"/>
      <w:bookmarkEnd w:id="191"/>
    </w:p>
    <w:p>
      <w:pPr>
        <w:keepNext w:val="0"/>
        <w:keepLines w:val="0"/>
        <w:pageBreakBefore w:val="0"/>
        <w:widowControl w:val="0"/>
        <w:kinsoku/>
        <w:wordWrap/>
        <w:overflowPunct/>
        <w:topLinePunct w:val="0"/>
        <w:autoSpaceDE/>
        <w:autoSpaceDN/>
        <w:bidi w:val="0"/>
        <w:snapToGrid/>
        <w:spacing w:line="600" w:lineRule="exact"/>
        <w:ind w:firstLine="643"/>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大力发展租赁住房。</w:t>
      </w:r>
      <w:r>
        <w:rPr>
          <w:rFonts w:hint="default" w:ascii="Times New Roman" w:hAnsi="Times New Roman" w:eastAsia="仿宋_GB2312" w:cs="Times New Roman"/>
          <w:color w:val="auto"/>
          <w:sz w:val="32"/>
          <w:szCs w:val="32"/>
        </w:rPr>
        <w:t>建立由公租房、保障性租赁住房构成的住房保障体系，推进实物保障与租赁补贴并举的住房保障供应体系。聚焦公租房精准保障，实现城镇低保、低收入和中等偏下收入住房困难家庭应保尽保。将符合条件的新就业无房职工、青年教师、青年医护人员等公共服务行业住房困难群体纳入公租房住房保障范围，为其提供阶段性、周转性住房支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有效增加小户型、低租金房源等保障性租赁住房供给，优化租赁住房供应结构。加快完善长租房政策，逐步使租购住房在公共服务享受上具有同等权利。</w:t>
      </w:r>
    </w:p>
    <w:p>
      <w:pPr>
        <w:keepNext w:val="0"/>
        <w:keepLines w:val="0"/>
        <w:pageBreakBefore w:val="0"/>
        <w:widowControl w:val="0"/>
        <w:kinsoku/>
        <w:wordWrap/>
        <w:overflowPunct/>
        <w:topLinePunct w:val="0"/>
        <w:autoSpaceDE/>
        <w:autoSpaceDN/>
        <w:bidi w:val="0"/>
        <w:snapToGrid/>
        <w:spacing w:line="600" w:lineRule="exact"/>
        <w:ind w:firstLine="643"/>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楷体_GB2312" w:cs="Times New Roman"/>
          <w:b/>
          <w:bCs/>
          <w:color w:val="auto"/>
          <w:sz w:val="32"/>
          <w:szCs w:val="32"/>
        </w:rPr>
        <w:t>加强住房改造服务。</w:t>
      </w:r>
      <w:r>
        <w:rPr>
          <w:rFonts w:hint="default" w:ascii="Times New Roman" w:hAnsi="Times New Roman" w:eastAsia="仿宋_GB2312" w:cs="Times New Roman"/>
          <w:color w:val="auto"/>
          <w:sz w:val="32"/>
          <w:szCs w:val="32"/>
        </w:rPr>
        <w:t>推进城镇老旧小区改造，重点解决供水、供电、供气等问题，鼓励有条件的小区加装电梯、增设停车位等便民设施。加快推进棚户区改造，持续关注续建项目施工进度，力争竣工交付达成双100%。推进农村危房改造，聚焦农村易返贫致贫户、低保户、分散供养特困人员，以及因病因灾因意外事故等刚性支出较大或收入大幅缩减导致基本生活出现严重困难家庭等，根据房屋危险程度和农户改造意愿选择加固改造、拆除重建或选址新建，对于符合条件农户的危房做到应改尽改；加强农村危房动态监测，确保改造质量安全，提升农房建设品质。严格工程质量安全监管。</w:t>
      </w:r>
    </w:p>
    <w:p>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hint="default" w:ascii="Times New Roman" w:hAnsi="Times New Roman" w:cs="Times New Roman"/>
          <w:color w:val="auto"/>
        </w:rPr>
      </w:pPr>
      <w:bookmarkStart w:id="192" w:name="_Toc87883536"/>
      <w:bookmarkStart w:id="193" w:name="_Toc31844"/>
      <w:bookmarkStart w:id="194" w:name="_Toc1893"/>
      <w:bookmarkStart w:id="195" w:name="_Toc31724"/>
      <w:bookmarkStart w:id="196" w:name="_Toc9080"/>
      <w:bookmarkStart w:id="197" w:name="_Toc17595"/>
      <w:r>
        <w:rPr>
          <w:rFonts w:hint="default" w:ascii="Times New Roman" w:hAnsi="Times New Roman" w:cs="Times New Roman"/>
          <w:color w:val="auto"/>
        </w:rPr>
        <w:t>第二节  住有宜居</w:t>
      </w:r>
      <w:bookmarkEnd w:id="192"/>
      <w:bookmarkEnd w:id="193"/>
      <w:bookmarkEnd w:id="194"/>
      <w:bookmarkEnd w:id="195"/>
      <w:bookmarkEnd w:id="196"/>
      <w:bookmarkEnd w:id="197"/>
    </w:p>
    <w:p>
      <w:pPr>
        <w:spacing w:line="60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完善小区配套和市政基础设施建设，高质量配备教育、医疗、文化、体育等公共服务设施，加强道路、桥梁、路灯、管网及其附属设施管护。加强社区便民利民服务供给，重点发展社区物业管理、便利店、菜市场（菜店）、快递物流、再生资源回收等服务，培育发展养老托育、家政服务、社区照料、外卖配送等家庭服务业。探索以县（区）或乡镇（街道）为单位开展整建制全域统筹试点，构建平台信息化、数据集聚化、参与多元化、管理规范化、服务便捷化的社区综合服务管理体系。探索支持利用集体建设用地按照规划建设租赁住房，引导租赁企业收储分散式房源集中改造后开展经营，鼓励支持房地产企业将自持住房用于租赁经营。不断扩大住房公积金制度覆盖范围，持续推进住房公积金缴存扩面，鼓励灵活就业人员参加住房公积金制度。</w:t>
      </w:r>
    </w:p>
    <w:p>
      <w:pPr>
        <w:pStyle w:val="6"/>
        <w:bidi w:val="0"/>
        <w:rPr>
          <w:rFonts w:hint="default" w:ascii="Times New Roman" w:hAnsi="Times New Roman" w:eastAsia="黑体" w:cs="Times New Roman"/>
          <w:color w:val="auto"/>
          <w:lang w:eastAsia="zh-CN"/>
        </w:rPr>
      </w:pPr>
      <w:r>
        <w:rPr>
          <w:rFonts w:hint="default" w:ascii="Times New Roman" w:hAnsi="Times New Roman" w:cs="Times New Roman"/>
          <w:color w:val="auto"/>
        </w:rPr>
        <w:t xml:space="preserve">专栏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SEQ 专栏 \* ARABIC </w:instrText>
      </w:r>
      <w:r>
        <w:rPr>
          <w:rFonts w:hint="default" w:ascii="Times New Roman" w:hAnsi="Times New Roman" w:cs="Times New Roman"/>
          <w:color w:val="auto"/>
        </w:rPr>
        <w:fldChar w:fldCharType="separate"/>
      </w:r>
      <w:r>
        <w:rPr>
          <w:rFonts w:hint="default" w:ascii="Times New Roman" w:hAnsi="Times New Roman" w:cs="Times New Roman"/>
          <w:color w:val="auto"/>
        </w:rPr>
        <w:t>9</w:t>
      </w:r>
      <w:r>
        <w:rPr>
          <w:rFonts w:hint="default" w:ascii="Times New Roman" w:hAnsi="Times New Roman" w:cs="Times New Roman"/>
          <w:color w:val="auto"/>
        </w:rPr>
        <w:fldChar w:fldCharType="end"/>
      </w:r>
      <w:bookmarkStart w:id="198" w:name="_Toc11969"/>
      <w:r>
        <w:rPr>
          <w:rFonts w:hint="default" w:ascii="Times New Roman" w:hAnsi="Times New Roman" w:cs="Times New Roman"/>
          <w:color w:val="auto"/>
          <w:lang w:val="en-US" w:eastAsia="zh-CN"/>
        </w:rPr>
        <w:t xml:space="preserve"> </w:t>
      </w:r>
      <w:r>
        <w:rPr>
          <w:rFonts w:hint="default" w:ascii="Times New Roman" w:hAnsi="Times New Roman" w:cs="Times New Roman"/>
          <w:color w:val="auto"/>
          <w:szCs w:val="28"/>
        </w:rPr>
        <w:t>住房保障服务重点</w:t>
      </w:r>
      <w:r>
        <w:rPr>
          <w:rFonts w:hint="default" w:ascii="Times New Roman" w:hAnsi="Times New Roman" w:cs="Times New Roman"/>
          <w:color w:val="auto"/>
          <w:szCs w:val="28"/>
          <w:lang w:val="en-US" w:eastAsia="zh-CN"/>
        </w:rPr>
        <w:t>工程</w:t>
      </w:r>
      <w:bookmarkEnd w:id="198"/>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5"/>
              <w:spacing w:line="400" w:lineRule="exact"/>
              <w:ind w:firstLine="480"/>
              <w:rPr>
                <w:rFonts w:hint="default" w:ascii="Times New Roman" w:hAnsi="Times New Roman" w:cs="Times New Roman"/>
                <w:color w:val="auto"/>
                <w:szCs w:val="24"/>
              </w:rPr>
            </w:pPr>
            <w:r>
              <w:rPr>
                <w:rFonts w:hint="default" w:ascii="Times New Roman" w:hAnsi="Times New Roman" w:cs="Times New Roman"/>
                <w:color w:val="auto"/>
                <w:szCs w:val="24"/>
              </w:rPr>
              <w:t>“十四五”期间，新增公租房实物配租1500户，新增公租房租赁补贴发放1000套，实施棚户区改造42316户，新建安置房约47400套。实施改造项目209个，城镇老旧小区改造户数5.5万户，涉及改造住宅楼3456栋，改造总建筑面积约624万平方米，重点改造2000年底前建成的老旧小区，应</w:t>
            </w:r>
            <w:r>
              <w:rPr>
                <w:rFonts w:hint="default" w:ascii="Times New Roman" w:hAnsi="Times New Roman" w:cs="Times New Roman"/>
                <w:color w:val="auto"/>
                <w:szCs w:val="24"/>
                <w:lang w:val="en-US" w:eastAsia="zh-CN"/>
              </w:rPr>
              <w:t>改</w:t>
            </w:r>
            <w:r>
              <w:rPr>
                <w:rFonts w:hint="default" w:ascii="Times New Roman" w:hAnsi="Times New Roman" w:cs="Times New Roman"/>
                <w:color w:val="auto"/>
                <w:szCs w:val="24"/>
              </w:rPr>
              <w:t>尽改前提下，对2005年底前建成的经评估符合改造条件的老旧小区进行改造。</w:t>
            </w:r>
          </w:p>
        </w:tc>
      </w:tr>
    </w:tbl>
    <w:p>
      <w:pPr>
        <w:pStyle w:val="3"/>
        <w:spacing w:before="156" w:beforeLines="50" w:after="156" w:afterLines="50" w:line="600" w:lineRule="exact"/>
        <w:rPr>
          <w:rFonts w:hint="default" w:ascii="Times New Roman" w:hAnsi="Times New Roman" w:cs="Times New Roman"/>
          <w:color w:val="auto"/>
          <w:szCs w:val="32"/>
        </w:rPr>
        <w:sectPr>
          <w:pgSz w:w="11906" w:h="16838"/>
          <w:pgMar w:top="1440" w:right="1800" w:bottom="1440" w:left="1800" w:header="851" w:footer="992" w:gutter="0"/>
          <w:pgNumType w:fmt="decimal"/>
          <w:cols w:space="425" w:num="1"/>
          <w:docGrid w:type="lines" w:linePitch="312" w:charSpace="0"/>
        </w:sectPr>
      </w:pPr>
      <w:bookmarkStart w:id="199" w:name="_Toc87883537"/>
      <w:bookmarkStart w:id="200" w:name="_Toc27983"/>
    </w:p>
    <w:p>
      <w:pPr>
        <w:pStyle w:val="3"/>
        <w:spacing w:before="156" w:beforeLines="50" w:after="156" w:afterLines="50" w:line="600" w:lineRule="exact"/>
        <w:rPr>
          <w:rFonts w:hint="eastAsia" w:ascii="Times New Roman" w:hAnsi="Times New Roman" w:eastAsia="黑体" w:cs="Times New Roman"/>
          <w:color w:val="auto"/>
          <w:szCs w:val="32"/>
          <w:lang w:eastAsia="zh-CN"/>
        </w:rPr>
      </w:pPr>
      <w:bookmarkStart w:id="201" w:name="_Toc24287"/>
      <w:bookmarkStart w:id="202" w:name="_Toc1414"/>
      <w:bookmarkStart w:id="203" w:name="_Toc21569"/>
      <w:bookmarkStart w:id="204" w:name="_Toc12571"/>
      <w:r>
        <w:rPr>
          <w:rFonts w:hint="default" w:ascii="Times New Roman" w:hAnsi="Times New Roman" w:cs="Times New Roman"/>
          <w:color w:val="auto"/>
          <w:szCs w:val="32"/>
        </w:rPr>
        <w:t xml:space="preserve">第十章  </w:t>
      </w:r>
      <w:r>
        <w:rPr>
          <w:rFonts w:hint="default" w:ascii="Times New Roman" w:hAnsi="Times New Roman" w:cs="Times New Roman"/>
          <w:color w:val="auto"/>
          <w:szCs w:val="32"/>
          <w:lang w:val="en-US" w:eastAsia="zh-CN"/>
        </w:rPr>
        <w:t>高质优享</w:t>
      </w:r>
      <w:r>
        <w:rPr>
          <w:rFonts w:hint="default" w:ascii="Times New Roman" w:hAnsi="Times New Roman" w:cs="Times New Roman"/>
          <w:color w:val="auto"/>
          <w:szCs w:val="32"/>
        </w:rPr>
        <w:t>的文旅体服务</w:t>
      </w:r>
      <w:bookmarkEnd w:id="199"/>
      <w:bookmarkEnd w:id="200"/>
      <w:bookmarkEnd w:id="201"/>
      <w:bookmarkEnd w:id="202"/>
      <w:bookmarkEnd w:id="203"/>
      <w:bookmarkEnd w:id="204"/>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聚焦兴文化、促旅游、强体育，加快完善文旅体公共服务设施，</w:t>
      </w:r>
      <w:r>
        <w:rPr>
          <w:rFonts w:hint="default" w:ascii="Times New Roman" w:hAnsi="Times New Roman" w:eastAsia="仿宋_GB2312" w:cs="Times New Roman"/>
          <w:color w:val="auto"/>
          <w:sz w:val="32"/>
          <w:szCs w:val="32"/>
          <w:lang w:val="en-US" w:eastAsia="zh-CN"/>
        </w:rPr>
        <w:t>丰富</w:t>
      </w:r>
      <w:r>
        <w:rPr>
          <w:rFonts w:hint="default" w:ascii="Times New Roman" w:hAnsi="Times New Roman" w:eastAsia="仿宋_GB2312" w:cs="Times New Roman"/>
          <w:color w:val="auto"/>
          <w:sz w:val="32"/>
          <w:szCs w:val="32"/>
        </w:rPr>
        <w:t>优质文旅体服务与产品供给，全面提升公共文化、旅游、体育服务水平。</w:t>
      </w:r>
    </w:p>
    <w:p>
      <w:pPr>
        <w:pStyle w:val="2"/>
        <w:spacing w:before="156" w:beforeLines="50" w:after="156" w:afterLines="50" w:line="600" w:lineRule="exact"/>
        <w:rPr>
          <w:rFonts w:hint="default" w:ascii="Times New Roman" w:hAnsi="Times New Roman" w:cs="Times New Roman"/>
          <w:color w:val="auto"/>
        </w:rPr>
      </w:pPr>
      <w:bookmarkStart w:id="205" w:name="_Toc16222"/>
      <w:bookmarkStart w:id="206" w:name="_Toc26501"/>
      <w:bookmarkStart w:id="207" w:name="_Toc17543"/>
      <w:bookmarkStart w:id="208" w:name="_Toc17951"/>
      <w:bookmarkStart w:id="209" w:name="_Toc87883538"/>
      <w:bookmarkStart w:id="210" w:name="_Toc7351"/>
      <w:r>
        <w:rPr>
          <w:rFonts w:hint="default" w:ascii="Times New Roman" w:hAnsi="Times New Roman" w:cs="Times New Roman"/>
          <w:color w:val="auto"/>
        </w:rPr>
        <w:t>第一节  闲有所享</w:t>
      </w:r>
      <w:bookmarkEnd w:id="205"/>
      <w:bookmarkEnd w:id="206"/>
      <w:bookmarkEnd w:id="207"/>
      <w:bookmarkEnd w:id="208"/>
      <w:bookmarkEnd w:id="209"/>
      <w:bookmarkEnd w:id="210"/>
    </w:p>
    <w:p>
      <w:pPr>
        <w:spacing w:line="600" w:lineRule="exact"/>
        <w:ind w:firstLine="643"/>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rPr>
        <w:t>提升公共文化服务水平。</w:t>
      </w:r>
      <w:r>
        <w:rPr>
          <w:rFonts w:hint="default" w:ascii="Times New Roman" w:hAnsi="Times New Roman" w:eastAsia="仿宋_GB2312" w:cs="Times New Roman"/>
          <w:color w:val="auto"/>
          <w:sz w:val="32"/>
          <w:szCs w:val="32"/>
        </w:rPr>
        <w:t>着力推进市县乡村四级公共文化设施补齐短板，制定市、县（区）基本公共文化服务项目供给目录，出台村（社区）综合公共文化服务中心建设标准。推动图书馆总分馆体系、文化馆总分馆体系建设，支持市文化馆、图书馆争创国家（市级）一级馆。加强淮河行蓄洪区文化阵地建设。拓展城乡实体书店网点，构建农家书屋长效管理机制，探索打造数字农家书屋。创新实施文化惠民工程，持续推进博物馆、纪念馆、美术馆、图书馆和文化馆等公益性文化场馆（文物建筑和遗址类博物馆除外）免费开放</w:t>
      </w:r>
      <w:r>
        <w:rPr>
          <w:rFonts w:hint="default" w:ascii="Times New Roman" w:hAnsi="Times New Roman" w:eastAsia="仿宋_GB2312" w:cs="Times New Roman"/>
          <w:color w:val="auto"/>
          <w:sz w:val="32"/>
          <w:szCs w:val="32"/>
          <w:lang w:eastAsia="zh-CN"/>
        </w:rPr>
        <w:t>，推动工人文化宫、青年之家、妇女儿童活动中心、青少年校外活动场所等免费提供公共文化服务，完善无障碍阅读设施建设</w:t>
      </w:r>
      <w:r>
        <w:rPr>
          <w:rFonts w:hint="default" w:ascii="Times New Roman" w:hAnsi="Times New Roman" w:eastAsia="仿宋_GB2312" w:cs="Times New Roman"/>
          <w:color w:val="auto"/>
          <w:sz w:val="32"/>
          <w:szCs w:val="32"/>
        </w:rPr>
        <w:t>；开展体验式、互动式的公共阅读和艺术普及活动。实施艺术精品行动计划，推动艺术创作“百年献礼工程”。全面加强庐剧等地方戏曲保护传承。提升基层广播电视播出机构服务能力，推进地面数字电视广播覆盖网建设。加强应急广播体系建设。做大做强主流媒体，推进融媒体中心建设</w:t>
      </w:r>
      <w:r>
        <w:rPr>
          <w:rFonts w:hint="default" w:ascii="Times New Roman" w:hAnsi="Times New Roman" w:eastAsia="仿宋_GB2312" w:cs="Times New Roman"/>
          <w:color w:val="auto"/>
          <w:sz w:val="32"/>
          <w:szCs w:val="32"/>
          <w:lang w:eastAsia="zh-CN"/>
        </w:rPr>
        <w:t>。</w:t>
      </w:r>
    </w:p>
    <w:p>
      <w:pPr>
        <w:spacing w:line="600" w:lineRule="exact"/>
        <w:ind w:firstLine="643" w:firstLineChars="200"/>
        <w:rPr>
          <w:rFonts w:hint="default" w:ascii="Times New Roman" w:hAnsi="Times New Roman" w:cs="Times New Roman"/>
          <w:color w:val="auto"/>
          <w:highlight w:val="yellow"/>
        </w:rPr>
      </w:pPr>
      <w:r>
        <w:rPr>
          <w:rFonts w:hint="default" w:ascii="Times New Roman" w:hAnsi="Times New Roman" w:eastAsia="楷体_GB2312" w:cs="Times New Roman"/>
          <w:b/>
          <w:bCs/>
          <w:color w:val="auto"/>
          <w:sz w:val="32"/>
          <w:szCs w:val="32"/>
        </w:rPr>
        <w:t>推动旅游公共服务升级。</w:t>
      </w:r>
      <w:r>
        <w:rPr>
          <w:rFonts w:hint="default" w:ascii="Times New Roman" w:hAnsi="Times New Roman" w:eastAsia="仿宋_GB2312" w:cs="Times New Roman"/>
          <w:color w:val="auto"/>
          <w:sz w:val="32"/>
          <w:szCs w:val="32"/>
        </w:rPr>
        <w:t>推进“四区联动”文化旅游发展，塑造城旅一体的景观体系和功能空间。实施交通主干线与景区、重点乡村旅游区的交通通达工程，推动重点通景公路建设提升。实施“廊道+慢道”的大别山廊道体系工程，完善城乡绿道等慢行系统。推进旅游集散中心、停车场、观景台、旅游厕所等基础和配套服务设施建设。推动文旅公共设施主客共享，将文化、旅游元素融入城市建设</w:t>
      </w:r>
      <w:r>
        <w:rPr>
          <w:rFonts w:hint="default" w:ascii="Times New Roman" w:hAnsi="Times New Roman" w:eastAsia="仿宋_GB2312" w:cs="Times New Roman"/>
          <w:color w:val="auto"/>
          <w:sz w:val="32"/>
          <w:szCs w:val="32"/>
          <w:lang w:eastAsia="zh-CN"/>
        </w:rPr>
        <w:t>。</w:t>
      </w:r>
    </w:p>
    <w:p>
      <w:pPr>
        <w:spacing w:line="60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提升公共体育服务水平。</w:t>
      </w:r>
      <w:r>
        <w:rPr>
          <w:rFonts w:hint="default" w:ascii="Times New Roman" w:hAnsi="Times New Roman" w:eastAsia="仿宋_GB2312" w:cs="Times New Roman"/>
          <w:color w:val="auto"/>
          <w:sz w:val="32"/>
          <w:szCs w:val="32"/>
        </w:rPr>
        <w:t>加强群众健身活动场地和设施建设，实施全民健身设施补短板工程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持续推动县（区）“五个一”和乡镇（街道）“三个一”体育设施建设，着力构建市县乡村四级全民健身设施网络和城市社区15分钟健身圈。推动体育资源社会共享，实现符合条件的公共体育设施和学校体育场地设施100%向社会开放。推进体育社会组织培育工程，稳妥推进体育社团社会化、实体化改革。实施全民健身普及工程，各县区定期举办全民健身运动会，乡镇（街道）每年举办5次以上不同项目的体育赛事和运动会，发展足球、篮球、排球、冰雪、水上等运动。健全全民健身科学指导机制，构建科学健身指导市县二级体系，推动社会体育指导员服务站全覆盖，开展全民运动健身模范市、县（区）创建。</w:t>
      </w:r>
    </w:p>
    <w:p>
      <w:pPr>
        <w:pStyle w:val="2"/>
        <w:spacing w:before="156" w:beforeLines="50" w:after="156" w:afterLines="50" w:line="600" w:lineRule="exact"/>
        <w:rPr>
          <w:rFonts w:hint="default" w:ascii="Times New Roman" w:hAnsi="Times New Roman" w:cs="Times New Roman"/>
          <w:color w:val="auto"/>
        </w:rPr>
      </w:pPr>
      <w:bookmarkStart w:id="211" w:name="_Toc8829"/>
      <w:bookmarkStart w:id="212" w:name="_Toc24779"/>
      <w:bookmarkStart w:id="213" w:name="_Toc87883539"/>
      <w:bookmarkStart w:id="214" w:name="_Toc19340"/>
      <w:bookmarkStart w:id="215" w:name="_Toc10300"/>
      <w:bookmarkStart w:id="216" w:name="_Toc9245"/>
      <w:r>
        <w:rPr>
          <w:rFonts w:hint="default" w:ascii="Times New Roman" w:hAnsi="Times New Roman" w:cs="Times New Roman"/>
          <w:color w:val="auto"/>
        </w:rPr>
        <w:t>第二节  闲有乐享</w:t>
      </w:r>
      <w:bookmarkEnd w:id="211"/>
      <w:bookmarkEnd w:id="212"/>
      <w:bookmarkEnd w:id="213"/>
      <w:bookmarkEnd w:id="214"/>
      <w:bookmarkEnd w:id="215"/>
      <w:bookmarkEnd w:id="216"/>
    </w:p>
    <w:p>
      <w:pPr>
        <w:spacing w:line="60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丰富多元文化消费产品。</w:t>
      </w:r>
      <w:r>
        <w:rPr>
          <w:rFonts w:hint="default" w:ascii="Times New Roman" w:hAnsi="Times New Roman" w:eastAsia="仿宋_GB2312" w:cs="Times New Roman"/>
          <w:color w:val="auto"/>
          <w:sz w:val="32"/>
          <w:szCs w:val="32"/>
        </w:rPr>
        <w:t>加强对民间特色传统技艺的挖掘、保护和发展，提升刺绣、石斛、翁墩剪纸、毛坦厂油纸伞、大别山盆景、临淮泥塑等传统文化消费产品品质。创建一批红色文化、乡俗文化、茶文化、养生文化、酒文化、工艺品销售等为特色的现代文化服务示范区和特色小镇。鼓励打造汇聚艺术表演、阅读分享、观影体验等消费业态的“文化MALL+演艺中心+主题乐园”模式的文化商业综合体。建设一批24小时实体书店、24小时自助图书馆，推进皖西博物馆等“博物馆之夜”等特色活动。</w:t>
      </w:r>
      <w:r>
        <w:rPr>
          <w:rFonts w:hint="default" w:ascii="Times New Roman" w:hAnsi="Times New Roman" w:eastAsia="仿宋_GB2312" w:cs="Times New Roman"/>
          <w:color w:val="auto"/>
          <w:sz w:val="32"/>
          <w:szCs w:val="32"/>
          <w:lang w:val="en-US" w:eastAsia="zh-CN"/>
        </w:rPr>
        <w:t>培育</w:t>
      </w:r>
      <w:r>
        <w:rPr>
          <w:rFonts w:hint="default" w:ascii="Times New Roman" w:hAnsi="Times New Roman" w:eastAsia="仿宋_GB2312" w:cs="Times New Roman"/>
          <w:color w:val="auto"/>
          <w:sz w:val="32"/>
          <w:szCs w:val="32"/>
        </w:rPr>
        <w:t>发展文艺创作表演、广播影视放映和互联网信息服务等重点文化服务业态。延长做优文化产业链，继续办好中国红色微电影盛典，积极创建国家级文化产业示范基地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园区</w:t>
      </w:r>
      <w:r>
        <w:rPr>
          <w:rFonts w:hint="default" w:ascii="Times New Roman" w:hAnsi="Times New Roman" w:eastAsia="仿宋_GB2312" w:cs="Times New Roman"/>
          <w:color w:val="auto"/>
          <w:sz w:val="32"/>
          <w:szCs w:val="32"/>
          <w:lang w:eastAsia="zh-CN"/>
        </w:rPr>
        <w:t>）。</w:t>
      </w:r>
    </w:p>
    <w:p>
      <w:pPr>
        <w:spacing w:line="600" w:lineRule="exact"/>
        <w:ind w:firstLine="643"/>
        <w:rPr>
          <w:rFonts w:hint="default" w:ascii="Times New Roman" w:hAnsi="Times New Roman" w:eastAsia="仿宋_GB2312" w:cs="Times New Roman"/>
          <w:b/>
          <w:bCs/>
          <w:color w:val="auto"/>
          <w:sz w:val="32"/>
          <w:szCs w:val="32"/>
        </w:rPr>
      </w:pPr>
      <w:r>
        <w:rPr>
          <w:rFonts w:hint="default" w:ascii="Times New Roman" w:hAnsi="Times New Roman" w:eastAsia="楷体_GB2312" w:cs="Times New Roman"/>
          <w:b/>
          <w:bCs/>
          <w:color w:val="auto"/>
          <w:sz w:val="32"/>
          <w:szCs w:val="32"/>
        </w:rPr>
        <w:t>提升旅游产业发展质量。</w:t>
      </w:r>
      <w:r>
        <w:rPr>
          <w:rFonts w:hint="default" w:ascii="Times New Roman" w:hAnsi="Times New Roman" w:eastAsia="仿宋_GB2312" w:cs="Times New Roman"/>
          <w:color w:val="auto"/>
          <w:sz w:val="32"/>
          <w:szCs w:val="32"/>
        </w:rPr>
        <w:t>巩固霍山、金寨全域旅游创建成果，支持金安区、舒城县、裕安区创建国家</w:t>
      </w:r>
      <w:r>
        <w:rPr>
          <w:rFonts w:hint="default" w:ascii="Times New Roman" w:hAnsi="Times New Roman" w:eastAsia="仿宋_GB2312" w:cs="Times New Roman"/>
          <w:color w:val="auto"/>
          <w:sz w:val="32"/>
          <w:szCs w:val="32"/>
          <w:lang w:eastAsia="zh-CN"/>
        </w:rPr>
        <w:t>和省级</w:t>
      </w:r>
      <w:r>
        <w:rPr>
          <w:rFonts w:hint="default" w:ascii="Times New Roman" w:hAnsi="Times New Roman" w:eastAsia="仿宋_GB2312" w:cs="Times New Roman"/>
          <w:color w:val="auto"/>
          <w:sz w:val="32"/>
          <w:szCs w:val="32"/>
        </w:rPr>
        <w:t>全域旅游示范区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施“旅游+”发展战略，发展乡村旅游、红色旅游、生态旅游、康养旅游和工业旅游。统筹推进大别山全景文化旅游区建设，构建大别山系列IP品牌体系，建设具有全国影响力的大别山文化体验中心和文化地标。引导景区、酒店、旅游特色街区推出夜间特色休闲娱乐项目和夜游精品线路，打造灯光秀、极光节等特色观赏项目。做强做优骨干文化旅游企业，培育和引进一批大型文化旅游集团，支持中小微文化旅游企业专业化、特色化发展。</w:t>
      </w:r>
    </w:p>
    <w:p>
      <w:pPr>
        <w:spacing w:line="60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推进体育服务繁荣发展。</w:t>
      </w:r>
      <w:r>
        <w:rPr>
          <w:rFonts w:hint="default" w:ascii="Times New Roman" w:hAnsi="Times New Roman" w:eastAsia="仿宋_GB2312" w:cs="Times New Roman"/>
          <w:color w:val="auto"/>
          <w:sz w:val="32"/>
          <w:szCs w:val="32"/>
        </w:rPr>
        <w:t>培育</w:t>
      </w:r>
      <w:r>
        <w:rPr>
          <w:rFonts w:hint="default" w:ascii="Times New Roman" w:hAnsi="Times New Roman" w:eastAsia="仿宋_GB2312" w:cs="Times New Roman"/>
          <w:color w:val="auto"/>
          <w:sz w:val="32"/>
          <w:szCs w:val="32"/>
          <w:lang w:val="en-US" w:eastAsia="zh-CN"/>
        </w:rPr>
        <w:t>发展</w:t>
      </w:r>
      <w:r>
        <w:rPr>
          <w:rFonts w:hint="default" w:ascii="Times New Roman" w:hAnsi="Times New Roman" w:eastAsia="仿宋_GB2312" w:cs="Times New Roman"/>
          <w:color w:val="auto"/>
          <w:sz w:val="32"/>
          <w:szCs w:val="32"/>
        </w:rPr>
        <w:t>健身休闲、竞赛表演、场馆服务、中介培训等体育服务业，推动体育旅游、体育传媒、体育会展等相关业态融合发展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积极争创</w:t>
      </w:r>
      <w:r>
        <w:rPr>
          <w:rFonts w:hint="default" w:ascii="Times New Roman" w:hAnsi="Times New Roman" w:eastAsia="仿宋_GB2312" w:cs="Times New Roman"/>
          <w:color w:val="auto"/>
          <w:sz w:val="32"/>
          <w:szCs w:val="32"/>
        </w:rPr>
        <w:t>国家级体育消费试点（示范）城市。实施品牌体育赛事培育工程，培育体育赛事承办主体，积极申办和引进具有较大影响力的</w:t>
      </w:r>
      <w:r>
        <w:rPr>
          <w:rFonts w:hint="default" w:ascii="Times New Roman" w:hAnsi="Times New Roman" w:eastAsia="仿宋_GB2312" w:cs="Times New Roman"/>
          <w:color w:val="auto"/>
          <w:sz w:val="32"/>
          <w:szCs w:val="32"/>
          <w:lang w:val="en-US" w:eastAsia="zh-CN"/>
        </w:rPr>
        <w:t>国内</w:t>
      </w:r>
      <w:r>
        <w:rPr>
          <w:rFonts w:hint="default" w:ascii="Times New Roman" w:hAnsi="Times New Roman" w:eastAsia="仿宋_GB2312" w:cs="Times New Roman"/>
          <w:color w:val="auto"/>
          <w:sz w:val="32"/>
          <w:szCs w:val="32"/>
        </w:rPr>
        <w:t>国际体育赛事。支持发展各类健身俱乐部，扩大新兴时尚健身项目供给。推进各级运动休闲基地建设，做大做强南山运动休闲小镇，推动紫荆花、霍山长院、金寨大湾村、舒城鹏翔等自驾车运动营地建设。</w:t>
      </w:r>
      <w:r>
        <w:rPr>
          <w:rFonts w:hint="default" w:ascii="Times New Roman" w:hAnsi="Times New Roman" w:eastAsia="仿宋_GB2312" w:cs="Times New Roman"/>
          <w:color w:val="auto"/>
          <w:sz w:val="32"/>
          <w:szCs w:val="32"/>
          <w:lang w:val="en-US" w:eastAsia="zh-CN"/>
        </w:rPr>
        <w:t>创新</w:t>
      </w:r>
      <w:r>
        <w:rPr>
          <w:rFonts w:hint="default" w:ascii="Times New Roman" w:hAnsi="Times New Roman" w:eastAsia="仿宋_GB2312" w:cs="Times New Roman"/>
          <w:color w:val="auto"/>
          <w:sz w:val="32"/>
          <w:szCs w:val="32"/>
        </w:rPr>
        <w:t>发展“智慧体育”，强化数字化体育场馆建设，积极开展网络赛事、线上培训、信息发布等智能化精准健身指导。到2025年，全市体育产业总产出超过150亿元。</w:t>
      </w:r>
    </w:p>
    <w:p>
      <w:pPr>
        <w:pStyle w:val="6"/>
        <w:bidi w:val="0"/>
        <w:rPr>
          <w:rFonts w:hint="default" w:ascii="Times New Roman" w:hAnsi="Times New Roman" w:eastAsia="黑体" w:cs="Times New Roman"/>
          <w:color w:val="auto"/>
          <w:lang w:val="en-US" w:eastAsia="zh-CN"/>
        </w:rPr>
      </w:pPr>
      <w:r>
        <w:rPr>
          <w:rFonts w:hint="default" w:ascii="Times New Roman" w:hAnsi="Times New Roman" w:cs="Times New Roman"/>
          <w:color w:val="auto"/>
        </w:rPr>
        <w:t xml:space="preserve">专栏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SEQ 专栏 \* ARABIC </w:instrText>
      </w:r>
      <w:r>
        <w:rPr>
          <w:rFonts w:hint="default" w:ascii="Times New Roman" w:hAnsi="Times New Roman" w:cs="Times New Roman"/>
          <w:color w:val="auto"/>
        </w:rPr>
        <w:fldChar w:fldCharType="separate"/>
      </w:r>
      <w:r>
        <w:rPr>
          <w:rFonts w:hint="default" w:ascii="Times New Roman" w:hAnsi="Times New Roman" w:cs="Times New Roman"/>
          <w:color w:val="auto"/>
        </w:rPr>
        <w:t>10</w:t>
      </w:r>
      <w:r>
        <w:rPr>
          <w:rFonts w:hint="default" w:ascii="Times New Roman" w:hAnsi="Times New Roman" w:cs="Times New Roman"/>
          <w:color w:val="auto"/>
        </w:rPr>
        <w:fldChar w:fldCharType="end"/>
      </w:r>
      <w:bookmarkStart w:id="217" w:name="_Toc28811"/>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文旅体服务重点</w:t>
      </w:r>
      <w:r>
        <w:rPr>
          <w:rFonts w:hint="default" w:ascii="Times New Roman" w:hAnsi="Times New Roman" w:cs="Times New Roman"/>
          <w:color w:val="auto"/>
          <w:lang w:val="en-US" w:eastAsia="zh-CN"/>
        </w:rPr>
        <w:t>工程</w:t>
      </w:r>
      <w:bookmarkEnd w:id="217"/>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5"/>
              <w:spacing w:line="400" w:lineRule="exact"/>
              <w:ind w:firstLine="482"/>
              <w:rPr>
                <w:rFonts w:hint="default" w:ascii="Times New Roman" w:hAnsi="Times New Roman" w:eastAsia="仿宋_GB2312" w:cs="Times New Roman"/>
                <w:color w:val="auto"/>
                <w:szCs w:val="24"/>
                <w:lang w:eastAsia="zh-CN"/>
              </w:rPr>
            </w:pPr>
            <w:r>
              <w:rPr>
                <w:rFonts w:hint="default" w:ascii="Times New Roman" w:hAnsi="Times New Roman" w:eastAsia="楷体_GB2312" w:cs="Times New Roman"/>
                <w:b/>
                <w:bCs w:val="0"/>
                <w:color w:val="auto"/>
                <w:szCs w:val="24"/>
              </w:rPr>
              <w:t>1.公共文化</w:t>
            </w:r>
            <w:r>
              <w:rPr>
                <w:rFonts w:hint="default" w:ascii="Times New Roman" w:hAnsi="Times New Roman" w:eastAsia="楷体_GB2312" w:cs="Times New Roman"/>
                <w:b/>
                <w:bCs w:val="0"/>
                <w:color w:val="auto"/>
                <w:szCs w:val="24"/>
                <w:shd w:val="clear"/>
                <w:lang w:val="en-US" w:eastAsia="zh-CN"/>
              </w:rPr>
              <w:t>基础设施</w:t>
            </w:r>
            <w:r>
              <w:rPr>
                <w:rFonts w:hint="default" w:ascii="Times New Roman" w:hAnsi="Times New Roman" w:eastAsia="楷体_GB2312" w:cs="Times New Roman"/>
                <w:b/>
                <w:bCs w:val="0"/>
                <w:color w:val="auto"/>
                <w:szCs w:val="24"/>
              </w:rPr>
              <w:t>。</w:t>
            </w:r>
            <w:r>
              <w:rPr>
                <w:rFonts w:hint="default" w:ascii="Times New Roman" w:hAnsi="Times New Roman" w:eastAsia="仿宋_GB2312" w:cs="Times New Roman"/>
                <w:b w:val="0"/>
                <w:bCs/>
                <w:color w:val="auto"/>
                <w:szCs w:val="24"/>
                <w:shd w:val="clear"/>
                <w:lang w:val="en-US" w:eastAsia="zh-CN"/>
              </w:rPr>
              <w:t>推进</w:t>
            </w:r>
            <w:r>
              <w:rPr>
                <w:rFonts w:hint="default" w:ascii="Times New Roman" w:hAnsi="Times New Roman" w:cs="Times New Roman"/>
                <w:color w:val="auto"/>
                <w:szCs w:val="24"/>
              </w:rPr>
              <w:t>市博物馆免费开放和临时性展览，城市文化基础设施提升工程（一院一中心+N空间）；金安区三馆一中心（图书馆、文化馆、档案馆和全民健身中心）；裕安区文化馆、图书馆、智慧文化馆和智慧图书馆等；叶集区文化馆、图书馆、博物馆、科技馆、城市规划展览馆、影剧院、乡镇综合文化服务中心；霍邱县县融媒体中心综合楼及发射塔迁建项目等；舒城县“三馆一院一空间”；金寨县图书馆、文化馆、美术馆、数字馆（含数字档案馆、史志馆、博物馆、规划馆）、科技馆、金寨文化艺术长廊、县乡村三级图书借阅一体化、乡镇综合文化服务中心；霍山县文化馆、图书馆、博物馆装修布展，招租投用多功能影剧院剧场，铜锣寨大别山文化苑等</w:t>
            </w:r>
            <w:r>
              <w:rPr>
                <w:rFonts w:hint="default" w:ascii="Times New Roman" w:hAnsi="Times New Roman" w:cs="Times New Roman"/>
                <w:color w:val="auto"/>
                <w:szCs w:val="24"/>
                <w:shd w:val="clear"/>
                <w:lang w:val="en-US" w:eastAsia="zh-CN"/>
              </w:rPr>
              <w:t>项目建设</w:t>
            </w:r>
            <w:r>
              <w:rPr>
                <w:rFonts w:hint="default" w:ascii="Times New Roman" w:hAnsi="Times New Roman" w:cs="Times New Roman"/>
                <w:color w:val="auto"/>
                <w:szCs w:val="24"/>
              </w:rPr>
              <w:t>。</w:t>
            </w:r>
          </w:p>
          <w:p>
            <w:pPr>
              <w:pStyle w:val="15"/>
              <w:spacing w:line="400" w:lineRule="exact"/>
              <w:ind w:firstLine="482"/>
              <w:rPr>
                <w:rFonts w:hint="default" w:ascii="Times New Roman" w:hAnsi="Times New Roman" w:cs="Times New Roman"/>
                <w:color w:val="auto"/>
                <w:szCs w:val="24"/>
              </w:rPr>
            </w:pPr>
            <w:r>
              <w:rPr>
                <w:rFonts w:hint="default" w:ascii="Times New Roman" w:hAnsi="Times New Roman" w:eastAsia="楷体_GB2312" w:cs="Times New Roman"/>
                <w:b/>
                <w:bCs w:val="0"/>
                <w:color w:val="auto"/>
                <w:szCs w:val="24"/>
              </w:rPr>
              <w:t>2.旅游公共设施。</w:t>
            </w:r>
            <w:r>
              <w:rPr>
                <w:rFonts w:hint="default" w:ascii="Times New Roman" w:hAnsi="Times New Roman" w:cs="Times New Roman"/>
                <w:color w:val="auto"/>
                <w:szCs w:val="24"/>
              </w:rPr>
              <w:t>持续提升六安茶谷、九十里山水画廊、大别山湿地旅游环线、大别山1号公路、中国红岭公路、淮河风景道、山湖大道等基础和配套服务设施建设。加快旅游标识标牌、停车场、观景台等公共服务体系建设，新建110个停车场，对75个需要充电设施的停车场进行改造，推动高速公路实现4A级以上、国省道实现3A级以上旅游景区标识牌提升。建设旅游集散、旅游服务中心、汽车营地、自驾旅游、公共交通等多功能业态的二级旅游集散服务中心，建设满足游客旅游交通的基本服务的三级旅游集散服务中心，支持叶集区、裕安区、舒城县、金寨县、霍邱县等旅游集散中心建设。推进旅游公共交通服务和旅游交通换乘系统建设，开通一批旅游公交专线。</w:t>
            </w:r>
          </w:p>
          <w:p>
            <w:pPr>
              <w:pStyle w:val="15"/>
              <w:spacing w:line="400" w:lineRule="exact"/>
              <w:ind w:firstLine="482"/>
              <w:rPr>
                <w:rFonts w:hint="default" w:ascii="Times New Roman" w:hAnsi="Times New Roman" w:cs="Times New Roman"/>
                <w:color w:val="auto"/>
                <w:szCs w:val="24"/>
              </w:rPr>
            </w:pPr>
            <w:r>
              <w:rPr>
                <w:rFonts w:hint="default" w:ascii="Times New Roman" w:hAnsi="Times New Roman" w:eastAsia="楷体_GB2312" w:cs="Times New Roman"/>
                <w:b/>
                <w:bCs w:val="0"/>
                <w:color w:val="auto"/>
                <w:szCs w:val="24"/>
              </w:rPr>
              <w:t>3.公共体育服务。</w:t>
            </w:r>
            <w:r>
              <w:rPr>
                <w:rFonts w:hint="default" w:ascii="Times New Roman" w:hAnsi="Times New Roman" w:cs="Times New Roman"/>
                <w:color w:val="auto"/>
                <w:szCs w:val="24"/>
              </w:rPr>
              <w:t>推进市游泳馆建设，加强城市绿道、健身步道、自行车道、全民健身中心、社区文体广场以及足球等场地设施建设，努力打造冰雪运动场地。县（区）、乡镇（街道）基本建立1（体育总会）+2（老年人体育协会、社会体育指导员协会）+N（各类单项协会、体育俱乐部、体育兴趣团体和健身站点）发展模式，到2025年，80%的乡镇（街道）成立体育总会，每万人活动站点数达5个以上。鼓励运动员、教练员、体育专业师生、体育科研人员参与乡村体育指导志愿服务，推动全市行政村社会体育指导员配备全覆盖。</w:t>
            </w:r>
          </w:p>
          <w:p>
            <w:pPr>
              <w:pStyle w:val="15"/>
              <w:spacing w:line="400" w:lineRule="exact"/>
              <w:ind w:firstLine="482"/>
              <w:rPr>
                <w:rFonts w:hint="default" w:ascii="Times New Roman" w:hAnsi="Times New Roman" w:cs="Times New Roman"/>
                <w:color w:val="auto"/>
              </w:rPr>
            </w:pPr>
            <w:r>
              <w:rPr>
                <w:rFonts w:hint="default" w:ascii="Times New Roman" w:hAnsi="Times New Roman" w:eastAsia="楷体_GB2312" w:cs="Times New Roman"/>
                <w:b/>
                <w:color w:val="auto"/>
              </w:rPr>
              <w:t>4.文旅融合。</w:t>
            </w:r>
            <w:r>
              <w:rPr>
                <w:rFonts w:hint="default" w:ascii="Times New Roman" w:hAnsi="Times New Roman" w:cs="Times New Roman"/>
                <w:color w:val="auto"/>
              </w:rPr>
              <w:t>突出“六个文化”（大别山红色文化、大别山生态文化、皋陶历史文化、淮河文化、淠史杭水利文化、皖西民俗文化），统筹推进大别山红色文化带、淮河文化带、国道312（六安段）历史文化带、淠史杭水利文化带建设。推进“四区联动”，建设南山新区旅游度假区、中心城区文化休闲综合体、东部新城悠然蓝溪不夜城、北部紫荆花康养示范区。促进乡村旅游提质升级，打造一批重点旅游村、乡村旅游休闲基地、帐篷营地等。打造全国红色旅游名城，推进大别山红色军旅小镇、淠史杭工程展览馆、毛坦厂红色小镇</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苏家埠战役纪念馆</w:t>
            </w:r>
            <w:r>
              <w:rPr>
                <w:rFonts w:hint="default" w:ascii="Times New Roman" w:hAnsi="Times New Roman" w:cs="Times New Roman"/>
                <w:color w:val="auto"/>
              </w:rPr>
              <w:t>等项目建设，重点建设大别山红色文化品牌（“两源两地”红色文化、独山将军小镇、大别山国家战争遗址公园（葛藤山、苏家埠、张家店等园区））。打响“六安大别山温泉”、避暑度假品牌，推动国家康养旅游示范基地建设。鼓励“三线”厂、老旧厂房转型为工业博物馆、美术馆、文化馆、产业园区等，开展工旅融合试点。</w:t>
            </w:r>
            <w:r>
              <w:rPr>
                <w:rFonts w:hint="default" w:ascii="Times New Roman" w:hAnsi="Times New Roman" w:cs="Times New Roman"/>
                <w:bCs w:val="0"/>
                <w:color w:val="auto"/>
              </w:rPr>
              <w:t>创新推出文博旅游、研学旅游、演艺产品、综合性夜游、文创旅游商品等文旅融合产品。</w:t>
            </w:r>
          </w:p>
          <w:p>
            <w:pPr>
              <w:pStyle w:val="15"/>
              <w:spacing w:line="400" w:lineRule="exact"/>
              <w:ind w:firstLine="482"/>
              <w:rPr>
                <w:rFonts w:hint="default" w:ascii="Times New Roman" w:hAnsi="Times New Roman" w:cs="Times New Roman"/>
                <w:color w:val="auto"/>
                <w:szCs w:val="24"/>
              </w:rPr>
            </w:pPr>
            <w:r>
              <w:rPr>
                <w:rFonts w:hint="default" w:ascii="Times New Roman" w:hAnsi="Times New Roman" w:eastAsia="楷体_GB2312" w:cs="Times New Roman"/>
                <w:b/>
                <w:bCs w:val="0"/>
                <w:color w:val="auto"/>
              </w:rPr>
              <w:t>5.体育产业。</w:t>
            </w:r>
            <w:r>
              <w:rPr>
                <w:rFonts w:hint="default" w:ascii="Times New Roman" w:hAnsi="Times New Roman" w:cs="Times New Roman"/>
                <w:color w:val="auto"/>
              </w:rPr>
              <w:t>持续举办金寨和霍山攀登红色大别山、霍邱跨越淮河自行车赛等活动。推进万佛湖水上运动旅游区、万佛山山地运动旅游区、大别山悠然南山运动休闲区、金刚台山地运动旅游区、六安茶谷（响洪甸）休闲旅游区、城西湖（水门塘）休闲旅游区、史河水湾休闲旅游区等特色、重点旅游功能区建设。</w:t>
            </w:r>
          </w:p>
        </w:tc>
      </w:tr>
    </w:tbl>
    <w:p>
      <w:pPr>
        <w:pStyle w:val="3"/>
        <w:spacing w:before="156" w:beforeLines="50" w:after="156" w:afterLines="50" w:line="600" w:lineRule="exact"/>
        <w:rPr>
          <w:rFonts w:hint="default" w:ascii="Times New Roman" w:hAnsi="Times New Roman" w:cs="Times New Roman"/>
          <w:color w:val="auto"/>
          <w:szCs w:val="32"/>
        </w:rPr>
        <w:sectPr>
          <w:pgSz w:w="11906" w:h="16838"/>
          <w:pgMar w:top="1440" w:right="1800" w:bottom="1440" w:left="1800" w:header="851" w:footer="992" w:gutter="0"/>
          <w:pgNumType w:fmt="decimal"/>
          <w:cols w:space="425" w:num="1"/>
          <w:docGrid w:type="lines" w:linePitch="312" w:charSpace="0"/>
        </w:sectPr>
      </w:pPr>
      <w:bookmarkStart w:id="218" w:name="_Toc87883540"/>
      <w:bookmarkStart w:id="219" w:name="_Toc20393"/>
    </w:p>
    <w:p>
      <w:pPr>
        <w:pStyle w:val="3"/>
        <w:spacing w:before="156" w:beforeLines="50" w:after="156" w:afterLines="50" w:line="600" w:lineRule="exact"/>
        <w:rPr>
          <w:rFonts w:hint="eastAsia" w:ascii="Times New Roman" w:hAnsi="Times New Roman" w:eastAsia="黑体" w:cs="Times New Roman"/>
          <w:color w:val="auto"/>
          <w:szCs w:val="32"/>
          <w:lang w:eastAsia="zh-CN"/>
        </w:rPr>
      </w:pPr>
      <w:bookmarkStart w:id="220" w:name="_Toc11424"/>
      <w:bookmarkStart w:id="221" w:name="_Toc12247"/>
      <w:bookmarkStart w:id="222" w:name="_Toc843"/>
      <w:bookmarkStart w:id="223" w:name="_Toc11306"/>
      <w:r>
        <w:rPr>
          <w:rFonts w:hint="default" w:ascii="Times New Roman" w:hAnsi="Times New Roman" w:cs="Times New Roman"/>
          <w:color w:val="auto"/>
          <w:szCs w:val="32"/>
        </w:rPr>
        <w:t>第十一章  丰富规范的优军服务</w:t>
      </w:r>
      <w:bookmarkEnd w:id="218"/>
      <w:bookmarkEnd w:id="219"/>
      <w:bookmarkEnd w:id="220"/>
      <w:bookmarkEnd w:id="221"/>
      <w:bookmarkEnd w:id="222"/>
      <w:bookmarkEnd w:id="223"/>
    </w:p>
    <w:p>
      <w:pPr>
        <w:spacing w:line="600" w:lineRule="exact"/>
        <w:ind w:firstLine="640"/>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rPr>
        <w:t>全面推动退役军人就业创业更加充分，安置更有质量，保障更加有力，服务管理更加精准、规范、便利，在全社会营造拥军优属、尊重尊崇退役军人的浓厚氛围。</w:t>
      </w:r>
    </w:p>
    <w:p>
      <w:pPr>
        <w:pStyle w:val="2"/>
        <w:spacing w:before="156" w:beforeLines="50" w:after="156" w:afterLines="50" w:line="600" w:lineRule="exact"/>
        <w:rPr>
          <w:rFonts w:hint="default" w:ascii="Times New Roman" w:hAnsi="Times New Roman" w:cs="Times New Roman"/>
          <w:color w:val="auto"/>
        </w:rPr>
      </w:pPr>
      <w:bookmarkStart w:id="224" w:name="_Toc2076"/>
      <w:bookmarkStart w:id="225" w:name="_Toc28153"/>
      <w:bookmarkStart w:id="226" w:name="_Toc626"/>
      <w:bookmarkStart w:id="227" w:name="_Toc14964"/>
      <w:bookmarkStart w:id="228" w:name="_Toc30145"/>
      <w:bookmarkStart w:id="229" w:name="_Toc87883541"/>
      <w:r>
        <w:rPr>
          <w:rFonts w:hint="default" w:ascii="Times New Roman" w:hAnsi="Times New Roman" w:cs="Times New Roman"/>
          <w:color w:val="auto"/>
        </w:rPr>
        <w:t>第一节  军有所待</w:t>
      </w:r>
      <w:bookmarkEnd w:id="224"/>
      <w:bookmarkEnd w:id="225"/>
      <w:bookmarkEnd w:id="226"/>
      <w:bookmarkEnd w:id="227"/>
      <w:bookmarkEnd w:id="228"/>
      <w:bookmarkEnd w:id="229"/>
    </w:p>
    <w:p>
      <w:pPr>
        <w:spacing w:line="60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促进退役军人就业创业。</w:t>
      </w:r>
      <w:r>
        <w:rPr>
          <w:rFonts w:hint="default" w:ascii="Times New Roman" w:hAnsi="Times New Roman" w:eastAsia="仿宋_GB2312" w:cs="Times New Roman"/>
          <w:b w:val="0"/>
          <w:bCs w:val="0"/>
          <w:color w:val="auto"/>
          <w:sz w:val="32"/>
          <w:szCs w:val="32"/>
        </w:rPr>
        <w:t>实施退役军人创业工程</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完善就业、创业补贴等优惠政策，加大退役军人就业创业资金保障力度，足额落实补助政策，</w:t>
      </w:r>
      <w:r>
        <w:rPr>
          <w:rFonts w:hint="eastAsia" w:ascii="Times New Roman" w:hAnsi="Times New Roman" w:eastAsia="仿宋_GB2312" w:cs="Times New Roman"/>
          <w:color w:val="auto"/>
          <w:sz w:val="32"/>
          <w:szCs w:val="32"/>
          <w:lang w:eastAsia="zh-CN"/>
        </w:rPr>
        <w:t>纳入</w:t>
      </w:r>
      <w:r>
        <w:rPr>
          <w:rFonts w:hint="default" w:ascii="Times New Roman" w:hAnsi="Times New Roman" w:eastAsia="仿宋_GB2312" w:cs="Times New Roman"/>
          <w:color w:val="auto"/>
          <w:sz w:val="32"/>
          <w:szCs w:val="32"/>
        </w:rPr>
        <w:t>各级财政预算，为退役军人就业创业提供资金支持。持续开展职业技能培训、适应性培训、创业培训，常态化开展退役军人专场招聘活动。引导机关、社会团体、国有企业、企业事业单位按规定比例定向招聘退役军人，对退役军人的年龄和学历条件适当放宽，同等条件下优先招录聘用退役军人。选拔推荐优秀退役军人担任“兵支书”“兵委员”。推动退役军人就业创业园地建设，推荐一批优质基地申报省级退役军人就业创业园地和技能培训基地。依托全国退役军人就业创业信息系统，全面建立全市退役军人就业创业台账和教育培训台账。</w:t>
      </w:r>
    </w:p>
    <w:p>
      <w:pPr>
        <w:spacing w:line="600" w:lineRule="exact"/>
        <w:ind w:firstLine="643"/>
        <w:rPr>
          <w:rFonts w:hint="default" w:ascii="Times New Roman" w:hAnsi="Times New Roman" w:eastAsia="仿宋_GB2312" w:cs="Times New Roman"/>
          <w:color w:val="auto"/>
          <w:sz w:val="32"/>
          <w:szCs w:val="32"/>
          <w:highlight w:val="yellow"/>
        </w:rPr>
      </w:pPr>
      <w:r>
        <w:rPr>
          <w:rFonts w:hint="default" w:ascii="Times New Roman" w:hAnsi="Times New Roman" w:eastAsia="楷体_GB2312" w:cs="Times New Roman"/>
          <w:b/>
          <w:bCs/>
          <w:color w:val="auto"/>
          <w:sz w:val="32"/>
          <w:szCs w:val="32"/>
        </w:rPr>
        <w:t>加强退役军人服务保障。</w:t>
      </w:r>
      <w:r>
        <w:rPr>
          <w:rFonts w:hint="default" w:ascii="Times New Roman" w:hAnsi="Times New Roman" w:eastAsia="仿宋_GB2312" w:cs="Times New Roman"/>
          <w:color w:val="auto"/>
          <w:sz w:val="32"/>
          <w:szCs w:val="32"/>
        </w:rPr>
        <w:t>妥善接收安置滞留军队离退休干部、退休士官、伤病残初级士官和义务兵，健全“阳光安置”工作机制，完善“直通车”式安置办法。将优抚对象优先纳入覆盖一般群众的救助、养老、医疗、住房以及残疾人保障等各项社会保障制度，健全困难退役军人和其他优抚对象关爱帮扶机制。持续开展退役军人及其他优抚对象精准服务数据采集，遴选购置信息采集专用设备。</w:t>
      </w:r>
      <w:r>
        <w:rPr>
          <w:rFonts w:hint="default" w:ascii="Times New Roman" w:hAnsi="Times New Roman" w:eastAsia="仿宋_GB2312" w:cs="Times New Roman"/>
          <w:color w:val="auto"/>
          <w:sz w:val="32"/>
          <w:szCs w:val="32"/>
          <w:lang w:val="en-US" w:eastAsia="zh-CN"/>
        </w:rPr>
        <w:t>深入</w:t>
      </w:r>
      <w:r>
        <w:rPr>
          <w:rFonts w:hint="default" w:ascii="Times New Roman" w:hAnsi="Times New Roman" w:eastAsia="仿宋_GB2312" w:cs="Times New Roman"/>
          <w:color w:val="auto"/>
          <w:sz w:val="32"/>
          <w:szCs w:val="32"/>
        </w:rPr>
        <w:t>落实“五有”“全覆盖”要求，推动村（社区）退役军人服务站办公场所、办公设备硬件设施建设。实施光荣院新建和改扩建项目，改善提升光荣院入住条件，推动光荣院与医疗、养老机构深度合作。加强军休站标准化建设。</w:t>
      </w:r>
    </w:p>
    <w:p>
      <w:pPr>
        <w:pStyle w:val="2"/>
        <w:spacing w:before="156" w:beforeLines="50" w:after="156" w:afterLines="50" w:line="600" w:lineRule="exact"/>
        <w:rPr>
          <w:rFonts w:hint="default" w:ascii="Times New Roman" w:hAnsi="Times New Roman" w:cs="Times New Roman"/>
          <w:color w:val="auto"/>
        </w:rPr>
      </w:pPr>
      <w:bookmarkStart w:id="230" w:name="_Toc87883542"/>
      <w:bookmarkStart w:id="231" w:name="_Toc23886"/>
      <w:bookmarkStart w:id="232" w:name="_Toc23617"/>
      <w:bookmarkStart w:id="233" w:name="_Toc7213"/>
      <w:bookmarkStart w:id="234" w:name="_Toc6334"/>
      <w:bookmarkStart w:id="235" w:name="_Toc23522"/>
      <w:r>
        <w:rPr>
          <w:rFonts w:hint="default" w:ascii="Times New Roman" w:hAnsi="Times New Roman" w:cs="Times New Roman"/>
          <w:color w:val="auto"/>
        </w:rPr>
        <w:t>第二节  军有优待</w:t>
      </w:r>
      <w:bookmarkEnd w:id="230"/>
      <w:bookmarkEnd w:id="231"/>
      <w:bookmarkEnd w:id="232"/>
      <w:bookmarkEnd w:id="233"/>
      <w:bookmarkEnd w:id="234"/>
      <w:bookmarkEnd w:id="235"/>
    </w:p>
    <w:p>
      <w:pPr>
        <w:spacing w:line="600" w:lineRule="exact"/>
        <w:ind w:firstLine="643"/>
        <w:rPr>
          <w:rFonts w:hint="eastAsia" w:ascii="仿宋_GB2312" w:hAnsi="仿宋_GB2312" w:eastAsia="仿宋_GB2312" w:cs="仿宋_GB2312"/>
          <w:color w:val="auto"/>
          <w:sz w:val="32"/>
          <w:szCs w:val="32"/>
        </w:rPr>
      </w:pPr>
      <w:r>
        <w:rPr>
          <w:rFonts w:hint="default" w:ascii="Times New Roman" w:hAnsi="Times New Roman" w:eastAsia="楷体_GB2312" w:cs="Times New Roman"/>
          <w:b/>
          <w:bCs/>
          <w:color w:val="auto"/>
          <w:sz w:val="32"/>
          <w:szCs w:val="32"/>
        </w:rPr>
        <w:t>深化优抚褒扬</w:t>
      </w:r>
      <w:r>
        <w:rPr>
          <w:rFonts w:hint="eastAsia" w:ascii="Times New Roman" w:hAnsi="Times New Roman" w:eastAsia="楷体_GB2312" w:cs="Times New Roman"/>
          <w:b/>
          <w:bCs/>
          <w:color w:val="auto"/>
          <w:sz w:val="32"/>
          <w:szCs w:val="32"/>
          <w:lang w:eastAsia="zh-CN"/>
        </w:rPr>
        <w:t>工作</w:t>
      </w:r>
      <w:r>
        <w:rPr>
          <w:rFonts w:hint="default" w:ascii="Times New Roman" w:hAnsi="Times New Roman" w:eastAsia="楷体_GB2312" w:cs="Times New Roman"/>
          <w:b/>
          <w:bCs/>
          <w:color w:val="auto"/>
          <w:sz w:val="32"/>
          <w:szCs w:val="32"/>
        </w:rPr>
        <w:t>。</w:t>
      </w:r>
      <w:r>
        <w:rPr>
          <w:rFonts w:hint="default" w:ascii="Times New Roman" w:hAnsi="Times New Roman" w:eastAsia="仿宋_GB2312" w:cs="Times New Roman"/>
          <w:color w:val="auto"/>
          <w:sz w:val="32"/>
          <w:szCs w:val="32"/>
        </w:rPr>
        <w:t>常态化开展“六安最美退役军人”评选宣传活动，树立退役军人先进典型，建立完善优秀退役军人资源库。</w:t>
      </w:r>
      <w:r>
        <w:rPr>
          <w:rFonts w:hint="default" w:ascii="Times New Roman" w:hAnsi="Times New Roman" w:eastAsia="仿宋_GB2312" w:cs="Times New Roman"/>
          <w:color w:val="auto"/>
          <w:sz w:val="32"/>
          <w:szCs w:val="32"/>
          <w:lang w:val="en-US" w:eastAsia="zh-CN"/>
        </w:rPr>
        <w:t>加强英烈</w:t>
      </w:r>
      <w:r>
        <w:rPr>
          <w:rFonts w:hint="default" w:ascii="Times New Roman" w:hAnsi="Times New Roman" w:eastAsia="仿宋_GB2312" w:cs="Times New Roman"/>
          <w:color w:val="auto"/>
          <w:sz w:val="32"/>
          <w:szCs w:val="32"/>
        </w:rPr>
        <w:t>褒扬。贯彻落实《中央办公厅国务院办公厅中央军委办公厅关于加强新时代烈士褒扬工作的意见》</w:t>
      </w:r>
      <w:r>
        <w:rPr>
          <w:rFonts w:hint="default" w:ascii="Times New Roman" w:hAnsi="Times New Roman" w:eastAsia="仿宋_GB2312" w:cs="Times New Roman"/>
          <w:color w:val="auto"/>
          <w:sz w:val="32"/>
          <w:szCs w:val="32"/>
          <w:lang w:val="en-US" w:eastAsia="zh-CN"/>
        </w:rPr>
        <w:t>，全面实施烈士纪念设施提质改造工程，完善设施设备，优化陈列展示，设立英烈标识，</w:t>
      </w:r>
      <w:r>
        <w:rPr>
          <w:rFonts w:hint="default" w:ascii="Times New Roman" w:hAnsi="Times New Roman" w:eastAsia="仿宋_GB2312" w:cs="Times New Roman"/>
          <w:color w:val="auto"/>
          <w:sz w:val="32"/>
          <w:szCs w:val="32"/>
        </w:rPr>
        <w:t>划定保护范围、设置保护标志、改善周边环境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充实完备纪念缅怀元素。</w:t>
      </w:r>
      <w:r>
        <w:rPr>
          <w:rFonts w:hint="default" w:ascii="Times New Roman" w:hAnsi="Times New Roman" w:eastAsia="仿宋_GB2312" w:cs="Times New Roman"/>
          <w:color w:val="auto"/>
          <w:sz w:val="32"/>
          <w:szCs w:val="32"/>
        </w:rPr>
        <w:t>开展英烈</w:t>
      </w:r>
      <w:r>
        <w:rPr>
          <w:rFonts w:hint="default" w:ascii="Times New Roman" w:hAnsi="Times New Roman" w:eastAsia="仿宋_GB2312" w:cs="Times New Roman"/>
          <w:color w:val="auto"/>
          <w:sz w:val="32"/>
          <w:szCs w:val="32"/>
          <w:lang w:val="en-US" w:eastAsia="zh-CN"/>
        </w:rPr>
        <w:t>祭扫纪念活动，倡导绿色祭扫、云祭扫的，持续做好为烈士寻亲，积极做好英烈遗物、家书、史料等收集保护，依法打击</w:t>
      </w:r>
      <w:r>
        <w:rPr>
          <w:rFonts w:hint="default" w:ascii="Times New Roman" w:hAnsi="Times New Roman" w:eastAsia="仿宋_GB2312" w:cs="Times New Roman"/>
          <w:color w:val="auto"/>
          <w:sz w:val="32"/>
          <w:szCs w:val="32"/>
        </w:rPr>
        <w:t>歪曲、丑化、</w:t>
      </w:r>
      <w:r>
        <w:rPr>
          <w:rFonts w:hint="default" w:ascii="Times New Roman" w:hAnsi="Times New Roman" w:eastAsia="仿宋_GB2312" w:cs="Times New Roman"/>
          <w:color w:val="auto"/>
          <w:sz w:val="32"/>
          <w:szCs w:val="32"/>
          <w:lang w:val="en-US" w:eastAsia="zh-CN"/>
        </w:rPr>
        <w:t>亵渎</w:t>
      </w:r>
      <w:r>
        <w:rPr>
          <w:rFonts w:hint="default" w:ascii="Times New Roman" w:hAnsi="Times New Roman" w:eastAsia="仿宋_GB2312" w:cs="Times New Roman"/>
          <w:color w:val="auto"/>
          <w:sz w:val="32"/>
          <w:szCs w:val="32"/>
        </w:rPr>
        <w:t>和否定英烈</w:t>
      </w:r>
      <w:r>
        <w:rPr>
          <w:rFonts w:hint="default" w:ascii="Times New Roman" w:hAnsi="Times New Roman" w:eastAsia="仿宋_GB2312" w:cs="Times New Roman"/>
          <w:color w:val="auto"/>
          <w:sz w:val="32"/>
          <w:szCs w:val="32"/>
          <w:lang w:val="en-US" w:eastAsia="zh-CN"/>
        </w:rPr>
        <w:t>事迹和精神的言论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对破坏烈士纪念设施、损害烈属权益的行为，依法依规严肃处理。</w:t>
      </w:r>
      <w:r>
        <w:rPr>
          <w:rFonts w:hint="eastAsia" w:ascii="Times New Roman" w:hAnsi="Times New Roman" w:eastAsia="楷体_GB2312" w:cs="Times New Roman"/>
          <w:b/>
          <w:bCs/>
          <w:color w:val="auto"/>
          <w:kern w:val="2"/>
          <w:sz w:val="32"/>
          <w:szCs w:val="32"/>
          <w:lang w:val="en-US" w:eastAsia="zh-CN" w:bidi="ar-SA"/>
        </w:rPr>
        <w:t>强化军地军民共建。</w:t>
      </w:r>
      <w:r>
        <w:rPr>
          <w:rFonts w:hint="eastAsia" w:ascii="仿宋_GB2312" w:hAnsi="仿宋_GB2312" w:eastAsia="仿宋_GB2312" w:cs="仿宋_GB2312"/>
          <w:color w:val="auto"/>
          <w:sz w:val="32"/>
          <w:szCs w:val="32"/>
          <w:lang w:val="en-US" w:eastAsia="zh-CN"/>
        </w:rPr>
        <w:t>贯彻落实《关于新时代深入开展军民共建社会主义精神文明活动的意见》，</w:t>
      </w:r>
      <w:r>
        <w:rPr>
          <w:rFonts w:hint="eastAsia" w:ascii="仿宋_GB2312" w:hAnsi="仿宋_GB2312" w:eastAsia="仿宋_GB2312" w:cs="仿宋_GB2312"/>
          <w:color w:val="auto"/>
          <w:sz w:val="32"/>
          <w:szCs w:val="32"/>
        </w:rPr>
        <w:t>全面推进“双拥在基层”活动，</w:t>
      </w:r>
      <w:r>
        <w:rPr>
          <w:rFonts w:hint="eastAsia" w:ascii="仿宋_GB2312" w:hAnsi="仿宋_GB2312" w:eastAsia="仿宋_GB2312" w:cs="仿宋_GB2312"/>
          <w:color w:val="auto"/>
          <w:sz w:val="32"/>
          <w:szCs w:val="32"/>
          <w:lang w:val="en-US" w:eastAsia="zh-CN"/>
        </w:rPr>
        <w:t>落实军地互办实事“双清单”制度，</w:t>
      </w:r>
      <w:r>
        <w:rPr>
          <w:rFonts w:hint="eastAsia" w:ascii="仿宋_GB2312" w:hAnsi="仿宋_GB2312" w:eastAsia="仿宋_GB2312" w:cs="仿宋_GB2312"/>
          <w:color w:val="auto"/>
          <w:sz w:val="32"/>
          <w:szCs w:val="32"/>
        </w:rPr>
        <w:t>依托“安徽省爱国拥军促进会”平台，积极引导“两新组织”拥军优属。组建退役军人志愿者队伍，实现“一村（社区）一支服务队”，打造六安退役军人志愿服务品牌。</w:t>
      </w:r>
      <w:r>
        <w:rPr>
          <w:rFonts w:hint="eastAsia" w:ascii="Times New Roman" w:hAnsi="Times New Roman" w:eastAsia="楷体_GB2312" w:cs="Times New Roman"/>
          <w:b/>
          <w:bCs/>
          <w:color w:val="auto"/>
          <w:kern w:val="2"/>
          <w:sz w:val="32"/>
          <w:szCs w:val="32"/>
          <w:lang w:val="en-US" w:eastAsia="zh-CN" w:bidi="ar-SA"/>
        </w:rPr>
        <w:t>鼓励社会力量参与。</w:t>
      </w:r>
      <w:r>
        <w:rPr>
          <w:rFonts w:hint="eastAsia" w:ascii="仿宋_GB2312" w:hAnsi="仿宋_GB2312" w:eastAsia="仿宋_GB2312" w:cs="仿宋_GB2312"/>
          <w:color w:val="auto"/>
          <w:sz w:val="32"/>
          <w:szCs w:val="32"/>
        </w:rPr>
        <w:t>持续推进“迎驾长城基石工程”，构建政府强力主导、服务体系积极作为、社会力量广泛参与的退役军人工作新格局。制定购买社会服务清单，逐步形成引导社会力量参与退役军人事务长效机制。加大服务退役军人社会组织培育力度，引导退役军人积极参加社会组织相关活动。鼓励志愿团体、专业社工机构和社区社会组织围绕退役军人服务站的服务职责提供专业服务，组织策划革命传统教育、节日慰问等活动。</w:t>
      </w:r>
    </w:p>
    <w:p>
      <w:pPr>
        <w:pStyle w:val="6"/>
        <w:bidi w:val="0"/>
        <w:rPr>
          <w:rFonts w:hint="default" w:ascii="Times New Roman" w:hAnsi="Times New Roman" w:eastAsia="黑体" w:cs="Times New Roman"/>
          <w:color w:val="auto"/>
          <w:lang w:val="en-US" w:eastAsia="zh-CN"/>
        </w:rPr>
      </w:pPr>
      <w:r>
        <w:rPr>
          <w:rFonts w:hint="default" w:ascii="Times New Roman" w:hAnsi="Times New Roman" w:cs="Times New Roman"/>
          <w:color w:val="auto"/>
        </w:rPr>
        <w:t xml:space="preserve">专栏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SEQ 专栏 \* ARABIC </w:instrText>
      </w:r>
      <w:r>
        <w:rPr>
          <w:rFonts w:hint="default" w:ascii="Times New Roman" w:hAnsi="Times New Roman" w:cs="Times New Roman"/>
          <w:color w:val="auto"/>
        </w:rPr>
        <w:fldChar w:fldCharType="separate"/>
      </w:r>
      <w:r>
        <w:rPr>
          <w:rFonts w:hint="default" w:ascii="Times New Roman" w:hAnsi="Times New Roman" w:cs="Times New Roman"/>
          <w:color w:val="auto"/>
        </w:rPr>
        <w:t>11</w:t>
      </w:r>
      <w:r>
        <w:rPr>
          <w:rFonts w:hint="default" w:ascii="Times New Roman" w:hAnsi="Times New Roman" w:cs="Times New Roman"/>
          <w:color w:val="auto"/>
        </w:rPr>
        <w:fldChar w:fldCharType="end"/>
      </w:r>
      <w:bookmarkStart w:id="236" w:name="_Toc26503"/>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优军服务重点</w:t>
      </w:r>
      <w:r>
        <w:rPr>
          <w:rFonts w:hint="default" w:ascii="Times New Roman" w:hAnsi="Times New Roman" w:cs="Times New Roman"/>
          <w:color w:val="auto"/>
          <w:lang w:val="en-US" w:eastAsia="zh-CN"/>
        </w:rPr>
        <w:t>工程</w:t>
      </w:r>
      <w:bookmarkEnd w:id="236"/>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center"/>
          </w:tcPr>
          <w:p>
            <w:pPr>
              <w:pStyle w:val="15"/>
              <w:spacing w:line="400" w:lineRule="exact"/>
              <w:ind w:firstLine="482"/>
              <w:rPr>
                <w:rFonts w:hint="default" w:ascii="Times New Roman" w:hAnsi="Times New Roman" w:cs="Times New Roman"/>
                <w:color w:val="auto"/>
                <w:szCs w:val="24"/>
              </w:rPr>
            </w:pPr>
            <w:r>
              <w:rPr>
                <w:rFonts w:hint="default" w:ascii="Times New Roman" w:hAnsi="Times New Roman" w:eastAsia="楷体_GB2312" w:cs="Times New Roman"/>
                <w:b/>
                <w:bCs w:val="0"/>
                <w:color w:val="auto"/>
                <w:szCs w:val="24"/>
              </w:rPr>
              <w:t>1.退役军人服务机构设施建设。</w:t>
            </w:r>
            <w:r>
              <w:rPr>
                <w:rFonts w:hint="default" w:ascii="Times New Roman" w:hAnsi="Times New Roman" w:cs="Times New Roman"/>
                <w:color w:val="auto"/>
                <w:szCs w:val="24"/>
              </w:rPr>
              <w:t>创建全国示范型退役军人服务中心（站），</w:t>
            </w:r>
          </w:p>
          <w:p>
            <w:pPr>
              <w:pStyle w:val="15"/>
              <w:spacing w:line="400" w:lineRule="exact"/>
              <w:ind w:firstLine="482"/>
              <w:rPr>
                <w:rFonts w:hint="default" w:ascii="Times New Roman" w:hAnsi="Times New Roman" w:eastAsia="楷体_GB2312" w:cs="Times New Roman"/>
                <w:b/>
                <w:bCs w:val="0"/>
                <w:color w:val="auto"/>
                <w:szCs w:val="24"/>
                <w:lang w:val="en-US" w:eastAsia="zh-CN"/>
              </w:rPr>
            </w:pPr>
            <w:r>
              <w:rPr>
                <w:rFonts w:hint="default" w:ascii="Times New Roman" w:hAnsi="Times New Roman" w:eastAsia="楷体_GB2312" w:cs="Times New Roman"/>
                <w:b/>
                <w:bCs w:val="0"/>
                <w:color w:val="auto"/>
                <w:szCs w:val="24"/>
                <w:lang w:val="en-US" w:eastAsia="zh-CN"/>
              </w:rPr>
              <w:t>2.烈士纪念设施建设。</w:t>
            </w:r>
            <w:r>
              <w:rPr>
                <w:rFonts w:hint="default" w:ascii="Times New Roman" w:hAnsi="Times New Roman" w:cs="Times New Roman"/>
                <w:color w:val="auto"/>
                <w:szCs w:val="24"/>
                <w:lang w:val="en-US" w:eastAsia="zh-CN"/>
              </w:rPr>
              <w:t>推进金寨县革命烈士陵园、霍山县烈士陵园、霍邱县烈士陵园提质改造，优化改陈布展，深化互联网、大数据、虚拟现实等信息技术手段在烈士纪念设施管理维护、烈士祭扫工作中应用，统筹推进零散烈士纪念设施规范管理保护，推动烈士纪念设施提质改造实地建设与“云开发”同步延伸，逐步构建实时监控、运程调度、全景展现、安防一体管理体系，提高烈士纪念设施管理效能。</w:t>
            </w:r>
          </w:p>
          <w:p>
            <w:pPr>
              <w:pStyle w:val="15"/>
              <w:spacing w:line="400" w:lineRule="exact"/>
              <w:ind w:firstLine="482"/>
              <w:rPr>
                <w:rFonts w:hint="default" w:ascii="Times New Roman" w:hAnsi="Times New Roman" w:cs="Times New Roman"/>
                <w:color w:val="auto"/>
                <w:szCs w:val="24"/>
              </w:rPr>
            </w:pPr>
            <w:r>
              <w:rPr>
                <w:rFonts w:hint="default" w:ascii="Times New Roman" w:hAnsi="Times New Roman" w:eastAsia="楷体_GB2312" w:cs="Times New Roman"/>
                <w:b/>
                <w:bCs w:val="0"/>
                <w:color w:val="auto"/>
                <w:szCs w:val="24"/>
                <w:lang w:val="en-US" w:eastAsia="zh-CN"/>
              </w:rPr>
              <w:t>3.组织拥军优属活动。</w:t>
            </w:r>
            <w:r>
              <w:rPr>
                <w:rFonts w:hint="default" w:ascii="Times New Roman" w:hAnsi="Times New Roman" w:cs="Times New Roman"/>
                <w:color w:val="auto"/>
                <w:szCs w:val="24"/>
                <w:lang w:val="en-US" w:eastAsia="zh-CN"/>
              </w:rPr>
              <w:t>落实军地互办实事“双清单”制度，加强与海军六安舰、大别山舰结对共建，持续开展情系边海防六安籍官兵拥军优属活动，举办送政策、送文化、送法律、送科技、红色宣讲进军营系列活动。</w:t>
            </w:r>
          </w:p>
        </w:tc>
      </w:tr>
    </w:tbl>
    <w:p>
      <w:pPr>
        <w:pStyle w:val="3"/>
        <w:spacing w:before="156" w:beforeLines="50" w:after="156" w:afterLines="50" w:line="600" w:lineRule="exact"/>
        <w:rPr>
          <w:rFonts w:hint="default" w:ascii="Times New Roman" w:hAnsi="Times New Roman" w:cs="Times New Roman"/>
          <w:color w:val="auto"/>
          <w:szCs w:val="32"/>
        </w:rPr>
        <w:sectPr>
          <w:pgSz w:w="11906" w:h="16838"/>
          <w:pgMar w:top="1440" w:right="1800" w:bottom="1440" w:left="1800" w:header="851" w:footer="992" w:gutter="0"/>
          <w:pgNumType w:fmt="decimal"/>
          <w:cols w:space="425" w:num="1"/>
          <w:docGrid w:type="lines" w:linePitch="312" w:charSpace="0"/>
        </w:sectPr>
      </w:pPr>
      <w:bookmarkStart w:id="237" w:name="_Toc87883543"/>
      <w:bookmarkStart w:id="238" w:name="_Toc19550"/>
    </w:p>
    <w:p>
      <w:pPr>
        <w:pStyle w:val="3"/>
        <w:keepNext w:val="0"/>
        <w:keepLines w:val="0"/>
        <w:pageBreakBefore w:val="0"/>
        <w:widowControl w:val="0"/>
        <w:kinsoku/>
        <w:wordWrap/>
        <w:overflowPunct/>
        <w:topLinePunct w:val="0"/>
        <w:autoSpaceDE/>
        <w:autoSpaceDN/>
        <w:bidi w:val="0"/>
        <w:adjustRightInd w:val="0"/>
        <w:snapToGrid/>
        <w:spacing w:before="156" w:beforeLines="50" w:after="156" w:afterLines="50" w:line="600" w:lineRule="exact"/>
        <w:textAlignment w:val="auto"/>
        <w:rPr>
          <w:rFonts w:hint="eastAsia" w:ascii="Times New Roman" w:hAnsi="Times New Roman" w:eastAsia="黑体" w:cs="Times New Roman"/>
          <w:color w:val="auto"/>
          <w:szCs w:val="32"/>
          <w:lang w:eastAsia="zh-CN"/>
        </w:rPr>
      </w:pPr>
      <w:bookmarkStart w:id="239" w:name="_Toc7452"/>
      <w:bookmarkStart w:id="240" w:name="_Toc26008"/>
      <w:bookmarkStart w:id="241" w:name="_Toc358"/>
      <w:bookmarkStart w:id="242" w:name="_Toc7483"/>
      <w:r>
        <w:rPr>
          <w:rFonts w:hint="default" w:ascii="Times New Roman" w:hAnsi="Times New Roman" w:cs="Times New Roman"/>
          <w:color w:val="auto"/>
          <w:szCs w:val="32"/>
        </w:rPr>
        <w:t>第十二章</w:t>
      </w:r>
      <w:bookmarkEnd w:id="237"/>
      <w:r>
        <w:rPr>
          <w:rFonts w:hint="default" w:ascii="Times New Roman" w:hAnsi="Times New Roman" w:cs="Times New Roman"/>
          <w:color w:val="auto"/>
          <w:szCs w:val="32"/>
        </w:rPr>
        <w:t xml:space="preserve">  协同推进长三角区域公共服务便利共享</w:t>
      </w:r>
      <w:bookmarkEnd w:id="238"/>
      <w:bookmarkEnd w:id="239"/>
      <w:bookmarkEnd w:id="240"/>
      <w:bookmarkEnd w:id="241"/>
      <w:bookmarkEnd w:id="242"/>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把握长三角区域一体化发展机遇，积极融入合肥都市圈，推动公共服务领域与长三角服务标准、理念对标对表，同时推进相关领域优质资源共建共享、互联互通。</w:t>
      </w:r>
    </w:p>
    <w:p>
      <w:pPr>
        <w:pStyle w:val="2"/>
        <w:spacing w:before="156" w:beforeLines="50" w:after="156" w:afterLines="50" w:line="600" w:lineRule="exact"/>
        <w:rPr>
          <w:rFonts w:hint="default" w:ascii="Times New Roman" w:hAnsi="Times New Roman" w:cs="Times New Roman"/>
          <w:color w:val="auto"/>
        </w:rPr>
      </w:pPr>
      <w:bookmarkStart w:id="243" w:name="_Toc87883544"/>
      <w:bookmarkStart w:id="244" w:name="_Toc13433"/>
      <w:bookmarkStart w:id="245" w:name="_Toc28933"/>
      <w:bookmarkStart w:id="246" w:name="_Toc17382"/>
      <w:bookmarkStart w:id="247" w:name="_Toc16944"/>
      <w:bookmarkStart w:id="248" w:name="_Toc5410"/>
      <w:r>
        <w:rPr>
          <w:rFonts w:hint="default" w:ascii="Times New Roman" w:hAnsi="Times New Roman" w:cs="Times New Roman"/>
          <w:color w:val="auto"/>
        </w:rPr>
        <w:t>第一节</w:t>
      </w:r>
      <w:bookmarkEnd w:id="243"/>
      <w:r>
        <w:rPr>
          <w:rFonts w:hint="default" w:ascii="Times New Roman" w:hAnsi="Times New Roman" w:cs="Times New Roman"/>
          <w:color w:val="auto"/>
        </w:rPr>
        <w:t xml:space="preserve">  加快公共服务政策、标准衔接统一</w:t>
      </w:r>
      <w:bookmarkEnd w:id="244"/>
      <w:bookmarkEnd w:id="245"/>
      <w:bookmarkEnd w:id="246"/>
      <w:bookmarkEnd w:id="247"/>
      <w:bookmarkEnd w:id="248"/>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落实省与长三角基本公共服务标准，加强与长三角先发地区公共服务各领域政策、标准等高对接，协同推进公共服务各领域服务标准、内容和平台衔接统一。建立健全基本公共服务标准动态调整机制，提高基本公共服务标准体系适用性、有效性、先进性。持续加大民生领域投入力度，推动公共服务资源向基层延伸、向农村覆盖、向生活困难群众倾斜。</w:t>
      </w:r>
    </w:p>
    <w:p>
      <w:pPr>
        <w:pStyle w:val="2"/>
        <w:spacing w:before="156" w:beforeLines="50" w:after="156" w:afterLines="50" w:line="600" w:lineRule="exact"/>
        <w:rPr>
          <w:rFonts w:hint="default" w:ascii="Times New Roman" w:hAnsi="Times New Roman" w:cs="Times New Roman"/>
          <w:color w:val="auto"/>
        </w:rPr>
      </w:pPr>
      <w:bookmarkStart w:id="249" w:name="_Toc15716"/>
      <w:bookmarkStart w:id="250" w:name="_Toc10486"/>
      <w:bookmarkStart w:id="251" w:name="_Toc25757"/>
      <w:bookmarkStart w:id="252" w:name="_Toc25228"/>
      <w:bookmarkStart w:id="253" w:name="_Toc8718"/>
      <w:bookmarkStart w:id="254" w:name="_Toc87883545"/>
      <w:r>
        <w:rPr>
          <w:rFonts w:hint="default" w:ascii="Times New Roman" w:hAnsi="Times New Roman" w:cs="Times New Roman"/>
          <w:color w:val="auto"/>
        </w:rPr>
        <w:t xml:space="preserve">第二节  </w:t>
      </w:r>
      <w:r>
        <w:rPr>
          <w:rFonts w:hint="default" w:ascii="Times New Roman" w:hAnsi="Times New Roman" w:cs="Times New Roman"/>
          <w:color w:val="auto"/>
          <w:lang w:val="en-US" w:eastAsia="zh-CN"/>
        </w:rPr>
        <w:t>深入</w:t>
      </w:r>
      <w:r>
        <w:rPr>
          <w:rFonts w:hint="default" w:ascii="Times New Roman" w:hAnsi="Times New Roman" w:cs="Times New Roman"/>
          <w:color w:val="auto"/>
        </w:rPr>
        <w:t>推进合六同城化</w:t>
      </w:r>
      <w:bookmarkEnd w:id="249"/>
      <w:bookmarkEnd w:id="250"/>
      <w:bookmarkEnd w:id="251"/>
      <w:bookmarkEnd w:id="252"/>
      <w:bookmarkEnd w:id="253"/>
      <w:bookmarkEnd w:id="254"/>
    </w:p>
    <w:p>
      <w:pPr>
        <w:adjustRightInd w:val="0"/>
        <w:snapToGrid w:val="0"/>
        <w:spacing w:line="600" w:lineRule="exact"/>
        <w:ind w:firstLine="64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鼓励跨区域义务教育学校结对帮扶，</w:t>
      </w:r>
      <w:r>
        <w:rPr>
          <w:rFonts w:hint="default" w:ascii="Times New Roman" w:hAnsi="Times New Roman" w:eastAsia="仿宋_GB2312" w:cs="Times New Roman"/>
          <w:color w:val="auto"/>
          <w:sz w:val="32"/>
          <w:szCs w:val="32"/>
          <w:highlight w:val="none"/>
        </w:rPr>
        <w:t>推动建立基础教育学校联盟，</w:t>
      </w:r>
      <w:r>
        <w:rPr>
          <w:rFonts w:hint="default" w:ascii="Times New Roman" w:hAnsi="Times New Roman" w:eastAsia="仿宋_GB2312" w:cs="Times New Roman"/>
          <w:color w:val="auto"/>
          <w:sz w:val="32"/>
          <w:szCs w:val="32"/>
        </w:rPr>
        <w:t>深化校长和教师交流合作机制，鼓励皖西学院等高校与在肥省属高校开展联合办学、课程互选、教师互聘、学科共教等多种形式合作。</w:t>
      </w:r>
      <w:r>
        <w:rPr>
          <w:rFonts w:hint="default" w:ascii="Times New Roman" w:hAnsi="Times New Roman" w:eastAsia="仿宋_GB2312" w:cs="Times New Roman"/>
          <w:color w:val="auto"/>
          <w:sz w:val="32"/>
          <w:szCs w:val="32"/>
          <w:lang w:val="en-US" w:eastAsia="zh-CN"/>
        </w:rPr>
        <w:t>加快</w:t>
      </w:r>
      <w:r>
        <w:rPr>
          <w:rFonts w:hint="default" w:ascii="Times New Roman" w:hAnsi="Times New Roman" w:eastAsia="仿宋_GB2312" w:cs="Times New Roman"/>
          <w:color w:val="auto"/>
          <w:sz w:val="32"/>
          <w:szCs w:val="32"/>
        </w:rPr>
        <w:t>推进安徽医科大学附属六安医院</w:t>
      </w:r>
      <w:r>
        <w:rPr>
          <w:rFonts w:hint="default"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rPr>
        <w:t>，支持合肥第一人民医院、第二人民医院等在肥省市高水平医院对口帮扶六安市市（县）级医院。</w:t>
      </w:r>
      <w:r>
        <w:rPr>
          <w:rFonts w:hint="default" w:ascii="Times New Roman" w:hAnsi="Times New Roman" w:eastAsia="仿宋_GB2312" w:cs="Times New Roman"/>
          <w:color w:val="auto"/>
          <w:sz w:val="32"/>
          <w:szCs w:val="32"/>
          <w:lang w:val="en-US" w:eastAsia="zh-CN"/>
        </w:rPr>
        <w:t>积极</w:t>
      </w:r>
      <w:r>
        <w:rPr>
          <w:rFonts w:hint="default" w:ascii="Times New Roman" w:hAnsi="Times New Roman" w:eastAsia="仿宋_GB2312" w:cs="Times New Roman"/>
          <w:color w:val="auto"/>
          <w:sz w:val="32"/>
          <w:szCs w:val="32"/>
        </w:rPr>
        <w:t>承接合肥“外溢”养老需求，打造以中医药、膳食、温泉为主题的健康养生基地，促进金寨、霍山等发展“候鸟</w:t>
      </w:r>
      <w:r>
        <w:rPr>
          <w:rFonts w:hint="default" w:ascii="Times New Roman" w:hAnsi="Times New Roman" w:eastAsia="仿宋_GB2312" w:cs="Times New Roman"/>
          <w:color w:val="auto"/>
          <w:sz w:val="32"/>
          <w:szCs w:val="32"/>
          <w:lang w:val="en-US" w:eastAsia="zh-CN"/>
        </w:rPr>
        <w:t>式</w:t>
      </w:r>
      <w:r>
        <w:rPr>
          <w:rFonts w:hint="default" w:ascii="Times New Roman" w:hAnsi="Times New Roman" w:eastAsia="仿宋_GB2312" w:cs="Times New Roman"/>
          <w:color w:val="auto"/>
          <w:sz w:val="32"/>
          <w:szCs w:val="32"/>
        </w:rPr>
        <w:t>”旅居康养。推进六安、合肥、武汉三地共建山湖世界级自然生态和文化旅游廊道，谋划编制跨区域旅游专项行动计划，构建品牌共建、线路共推、产品互联、市场共享的旅游合作体系，实现大别山、环巢湖同频共振，打造合肥都市圈文化和旅游发展“金腰带”。</w:t>
      </w:r>
    </w:p>
    <w:p>
      <w:pPr>
        <w:pStyle w:val="2"/>
        <w:spacing w:before="156" w:beforeLines="50" w:after="156" w:afterLines="50" w:line="600" w:lineRule="exact"/>
        <w:rPr>
          <w:rFonts w:hint="default" w:ascii="Times New Roman" w:hAnsi="Times New Roman" w:cs="Times New Roman"/>
          <w:color w:val="auto"/>
          <w:highlight w:val="none"/>
        </w:rPr>
      </w:pPr>
      <w:bookmarkStart w:id="255" w:name="_Toc8282"/>
      <w:bookmarkStart w:id="256" w:name="_Toc25618"/>
      <w:bookmarkStart w:id="257" w:name="_Toc7942"/>
      <w:bookmarkStart w:id="258" w:name="_Toc4038"/>
      <w:bookmarkStart w:id="259" w:name="_Toc87883547"/>
      <w:bookmarkStart w:id="260" w:name="_Toc23361"/>
      <w:r>
        <w:rPr>
          <w:rFonts w:hint="default" w:ascii="Times New Roman" w:hAnsi="Times New Roman" w:cs="Times New Roman"/>
          <w:color w:val="auto"/>
          <w:highlight w:val="none"/>
        </w:rPr>
        <w:t>第三节  推动优质资源共建共享</w:t>
      </w:r>
      <w:bookmarkEnd w:id="255"/>
      <w:bookmarkEnd w:id="256"/>
      <w:bookmarkEnd w:id="257"/>
      <w:bookmarkEnd w:id="258"/>
      <w:bookmarkEnd w:id="259"/>
      <w:bookmarkEnd w:id="260"/>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深化与上海市松江区等长三角先发地区基础教育、职业教育、高等教育</w:t>
      </w:r>
      <w:r>
        <w:rPr>
          <w:rFonts w:hint="default" w:ascii="Times New Roman" w:hAnsi="Times New Roman" w:eastAsia="仿宋_GB2312" w:cs="Times New Roman"/>
          <w:color w:val="auto"/>
          <w:sz w:val="32"/>
          <w:szCs w:val="32"/>
          <w:highlight w:val="none"/>
        </w:rPr>
        <w:t>等领域合作，丰富优质教育资源供给、提升人才培养水平</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拓展人力资源交流合作，提高劳务输入组织化程度和劳动力技能水平</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整合公共就业和人才服务信息平台，共建人力资源网络服务平台。</w:t>
      </w:r>
      <w:r>
        <w:rPr>
          <w:rFonts w:hint="default" w:ascii="Times New Roman" w:hAnsi="Times New Roman" w:eastAsia="仿宋_GB2312" w:cs="Times New Roman"/>
          <w:color w:val="auto"/>
          <w:sz w:val="32"/>
          <w:szCs w:val="32"/>
          <w:lang w:val="en-US" w:eastAsia="zh-CN"/>
        </w:rPr>
        <w:t>持续深化</w:t>
      </w:r>
      <w:r>
        <w:rPr>
          <w:rFonts w:hint="default" w:ascii="Times New Roman" w:hAnsi="Times New Roman" w:eastAsia="仿宋_GB2312" w:cs="Times New Roman"/>
          <w:color w:val="auto"/>
          <w:sz w:val="32"/>
          <w:szCs w:val="32"/>
        </w:rPr>
        <w:t>与上海奉贤区、江苏常州市、浙江丽水市开展劳动人事争议调解仲裁战略合作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着力建设长三角文体共享高地，依托历史文化、红色文化，推进区域性文化创新、传播和载体建设；引进、承接国内外高端体育赛事，实现与长三角区域群众体育、竞技体育、体育产业、体育文化等协调发展。</w:t>
      </w:r>
      <w:r>
        <w:rPr>
          <w:rFonts w:hint="default" w:ascii="Times New Roman" w:hAnsi="Times New Roman" w:eastAsia="仿宋_GB2312" w:cs="Times New Roman"/>
          <w:color w:val="auto"/>
          <w:sz w:val="32"/>
          <w:szCs w:val="32"/>
          <w:lang w:val="en-US" w:eastAsia="zh-CN"/>
        </w:rPr>
        <w:t>探索</w:t>
      </w:r>
      <w:r>
        <w:rPr>
          <w:rFonts w:hint="default" w:ascii="Times New Roman" w:hAnsi="Times New Roman" w:eastAsia="仿宋_GB2312" w:cs="Times New Roman"/>
          <w:color w:val="auto"/>
          <w:sz w:val="32"/>
          <w:szCs w:val="32"/>
        </w:rPr>
        <w:t>建立与长三角慈善组织行业交流互动</w:t>
      </w:r>
      <w:r>
        <w:rPr>
          <w:rFonts w:hint="default" w:ascii="Times New Roman" w:hAnsi="Times New Roman" w:eastAsia="仿宋_GB2312" w:cs="Times New Roman"/>
          <w:color w:val="auto"/>
          <w:sz w:val="32"/>
          <w:szCs w:val="32"/>
          <w:lang w:val="en-US" w:eastAsia="zh-CN"/>
        </w:rPr>
        <w:t>机制，提高</w:t>
      </w:r>
      <w:r>
        <w:rPr>
          <w:rFonts w:hint="default" w:ascii="Times New Roman" w:hAnsi="Times New Roman" w:eastAsia="仿宋_GB2312" w:cs="Times New Roman"/>
          <w:color w:val="auto"/>
          <w:sz w:val="32"/>
          <w:szCs w:val="32"/>
        </w:rPr>
        <w:t>慈善从业人员专业化、职业化</w:t>
      </w:r>
      <w:r>
        <w:rPr>
          <w:rFonts w:hint="default" w:ascii="Times New Roman" w:hAnsi="Times New Roman" w:eastAsia="仿宋_GB2312" w:cs="Times New Roman"/>
          <w:color w:val="auto"/>
          <w:sz w:val="32"/>
          <w:szCs w:val="32"/>
          <w:lang w:val="en-US" w:eastAsia="zh-CN"/>
        </w:rPr>
        <w:t>水平</w:t>
      </w:r>
      <w:r>
        <w:rPr>
          <w:rFonts w:hint="default" w:ascii="Times New Roman" w:hAnsi="Times New Roman" w:eastAsia="仿宋_GB2312" w:cs="Times New Roman"/>
          <w:color w:val="auto"/>
          <w:sz w:val="32"/>
          <w:szCs w:val="32"/>
        </w:rPr>
        <w:t>。</w:t>
      </w:r>
    </w:p>
    <w:p>
      <w:pPr>
        <w:pStyle w:val="2"/>
        <w:spacing w:before="156" w:beforeLines="50" w:after="156" w:afterLines="50" w:line="600" w:lineRule="exact"/>
        <w:rPr>
          <w:rFonts w:hint="default" w:ascii="Times New Roman" w:hAnsi="Times New Roman" w:cs="Times New Roman"/>
          <w:color w:val="auto"/>
        </w:rPr>
      </w:pPr>
      <w:bookmarkStart w:id="261" w:name="_Toc87883546"/>
      <w:bookmarkStart w:id="262" w:name="_Toc29808"/>
      <w:bookmarkStart w:id="263" w:name="_Toc16559"/>
      <w:bookmarkStart w:id="264" w:name="_Toc29982"/>
      <w:bookmarkStart w:id="265" w:name="_Toc20376"/>
      <w:bookmarkStart w:id="266" w:name="_Toc19434"/>
      <w:r>
        <w:rPr>
          <w:rFonts w:hint="default" w:ascii="Times New Roman" w:hAnsi="Times New Roman" w:cs="Times New Roman"/>
          <w:color w:val="auto"/>
        </w:rPr>
        <w:t>第四节  提升公共服务便利化</w:t>
      </w:r>
      <w:bookmarkEnd w:id="261"/>
      <w:r>
        <w:rPr>
          <w:rFonts w:hint="default" w:ascii="Times New Roman" w:hAnsi="Times New Roman" w:cs="Times New Roman"/>
          <w:color w:val="auto"/>
        </w:rPr>
        <w:t>水平</w:t>
      </w:r>
      <w:bookmarkEnd w:id="262"/>
      <w:bookmarkEnd w:id="263"/>
      <w:bookmarkEnd w:id="264"/>
      <w:bookmarkEnd w:id="265"/>
      <w:bookmarkEnd w:id="266"/>
    </w:p>
    <w:p>
      <w:pPr>
        <w:spacing w:line="600" w:lineRule="exact"/>
        <w:ind w:firstLine="64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建立社会保险参保信息共享机制，实现流动就业人员社会保险关系的转移接续。</w:t>
      </w:r>
      <w:r>
        <w:rPr>
          <w:rFonts w:hint="default" w:ascii="Times New Roman" w:hAnsi="Times New Roman" w:eastAsia="仿宋_GB2312" w:cs="Times New Roman"/>
          <w:color w:val="auto"/>
          <w:sz w:val="32"/>
          <w:szCs w:val="32"/>
          <w:lang w:val="en-US" w:eastAsia="zh-CN"/>
        </w:rPr>
        <w:t>落实</w:t>
      </w:r>
      <w:r>
        <w:rPr>
          <w:rFonts w:hint="default" w:ascii="Times New Roman" w:hAnsi="Times New Roman" w:eastAsia="仿宋_GB2312" w:cs="Times New Roman"/>
          <w:color w:val="auto"/>
          <w:sz w:val="32"/>
          <w:szCs w:val="32"/>
        </w:rPr>
        <w:t>异地就医结算</w:t>
      </w:r>
      <w:r>
        <w:rPr>
          <w:rFonts w:hint="default" w:ascii="Times New Roman" w:hAnsi="Times New Roman" w:eastAsia="仿宋_GB2312" w:cs="Times New Roman"/>
          <w:color w:val="auto"/>
          <w:sz w:val="32"/>
          <w:szCs w:val="32"/>
          <w:lang w:val="en-US" w:eastAsia="zh-CN"/>
        </w:rPr>
        <w:t>政策</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rPr>
        <w:t>按规定推进长三角地区药品、诊疗和材料目录及支付政策的统一。</w:t>
      </w:r>
      <w:r>
        <w:rPr>
          <w:rFonts w:hint="default" w:ascii="Times New Roman" w:hAnsi="Times New Roman" w:eastAsia="仿宋_GB2312" w:cs="Times New Roman"/>
          <w:color w:val="auto"/>
          <w:sz w:val="32"/>
          <w:szCs w:val="32"/>
          <w:lang w:val="en-US" w:eastAsia="zh-CN"/>
        </w:rPr>
        <w:t>加快</w:t>
      </w:r>
      <w:r>
        <w:rPr>
          <w:rFonts w:hint="default" w:ascii="Times New Roman" w:hAnsi="Times New Roman" w:eastAsia="仿宋_GB2312" w:cs="Times New Roman"/>
          <w:color w:val="auto"/>
          <w:sz w:val="32"/>
          <w:szCs w:val="32"/>
          <w:highlight w:val="none"/>
        </w:rPr>
        <w:t>医疗机构医学检验、影像检查结果互认和门诊、住院电子病历共享调阅，实现居民健康档案、电子病历、预约挂号、远程专家会诊和稀有血型等医疗服务信息互联互通、协同共享，探索建立定点医院双向转诊、医保定点互认和急诊报销机制。</w:t>
      </w:r>
      <w:r>
        <w:rPr>
          <w:rFonts w:hint="default" w:ascii="Times New Roman" w:hAnsi="Times New Roman" w:eastAsia="仿宋_GB2312" w:cs="Times New Roman"/>
          <w:color w:val="auto"/>
          <w:sz w:val="32"/>
          <w:szCs w:val="32"/>
        </w:rPr>
        <w:t>推动开展失业保险待遇跨区域通办试点，构建失业保险促进就业创业的长效机制。探索与长三角其他城市建立联合招聘机制，创建公共创业联盟。加快发行电子社保卡，推动线上线下多场景应用，全面对接长三角“一卡通”。协同推进与长三角区域的老年人能力评估、护理需求评估、医养结合服务、养老服务设施和照护需求标准的互认互通，推动市民卡和老年卡互认互用</w:t>
      </w:r>
      <w:r>
        <w:rPr>
          <w:rFonts w:hint="default" w:ascii="Times New Roman" w:hAnsi="Times New Roman" w:eastAsia="仿宋_GB2312" w:cs="Times New Roman"/>
          <w:color w:val="auto"/>
          <w:sz w:val="32"/>
          <w:szCs w:val="32"/>
          <w:lang w:eastAsia="zh-CN"/>
        </w:rPr>
        <w:t>，完善城市智慧公交服务内容</w:t>
      </w:r>
      <w:r>
        <w:rPr>
          <w:rFonts w:hint="default" w:ascii="Times New Roman" w:hAnsi="Times New Roman" w:eastAsia="仿宋_GB2312" w:cs="Times New Roman"/>
          <w:color w:val="auto"/>
          <w:sz w:val="32"/>
          <w:szCs w:val="32"/>
        </w:rPr>
        <w:t>。</w:t>
      </w:r>
    </w:p>
    <w:p>
      <w:pPr>
        <w:pStyle w:val="6"/>
        <w:bidi w:val="0"/>
        <w:rPr>
          <w:rFonts w:hint="default" w:ascii="Times New Roman" w:hAnsi="Times New Roman" w:eastAsia="黑体" w:cs="Times New Roman"/>
          <w:color w:val="auto"/>
          <w:lang w:val="en-US" w:eastAsia="zh-CN"/>
        </w:rPr>
      </w:pPr>
      <w:r>
        <w:rPr>
          <w:rFonts w:hint="default" w:ascii="Times New Roman" w:hAnsi="Times New Roman" w:cs="Times New Roman"/>
          <w:color w:val="auto"/>
        </w:rPr>
        <w:t xml:space="preserve">专栏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SEQ 专栏 \* ARABIC </w:instrText>
      </w:r>
      <w:r>
        <w:rPr>
          <w:rFonts w:hint="default" w:ascii="Times New Roman" w:hAnsi="Times New Roman" w:cs="Times New Roman"/>
          <w:color w:val="auto"/>
        </w:rPr>
        <w:fldChar w:fldCharType="separate"/>
      </w:r>
      <w:r>
        <w:rPr>
          <w:rFonts w:hint="default" w:ascii="Times New Roman" w:hAnsi="Times New Roman" w:cs="Times New Roman"/>
          <w:color w:val="auto"/>
        </w:rPr>
        <w:t>12</w:t>
      </w:r>
      <w:r>
        <w:rPr>
          <w:rFonts w:hint="default" w:ascii="Times New Roman" w:hAnsi="Times New Roman" w:cs="Times New Roman"/>
          <w:color w:val="auto"/>
        </w:rPr>
        <w:fldChar w:fldCharType="end"/>
      </w:r>
      <w:bookmarkStart w:id="267" w:name="_Toc2245"/>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融入长三角一体化重点方向</w:t>
      </w:r>
      <w:bookmarkEnd w:id="267"/>
    </w:p>
    <w:tbl>
      <w:tblPr>
        <w:tblStyle w:val="2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296" w:type="dxa"/>
          </w:tcPr>
          <w:p>
            <w:pPr>
              <w:spacing w:line="400" w:lineRule="exact"/>
              <w:ind w:firstLine="561"/>
              <w:rPr>
                <w:rFonts w:hint="default" w:ascii="Times New Roman" w:hAnsi="Times New Roman" w:eastAsia="仿宋_GB2312" w:cs="Times New Roman"/>
                <w:bCs/>
                <w:color w:val="auto"/>
                <w:sz w:val="24"/>
                <w:szCs w:val="32"/>
              </w:rPr>
            </w:pPr>
            <w:r>
              <w:rPr>
                <w:rFonts w:hint="default" w:ascii="Times New Roman" w:hAnsi="Times New Roman" w:eastAsia="楷体_GB2312" w:cs="Times New Roman"/>
                <w:b/>
                <w:color w:val="auto"/>
                <w:sz w:val="24"/>
                <w:szCs w:val="32"/>
              </w:rPr>
              <w:t>1.教育。</w:t>
            </w:r>
            <w:r>
              <w:rPr>
                <w:rFonts w:hint="default" w:ascii="Times New Roman" w:hAnsi="Times New Roman" w:eastAsia="仿宋_GB2312" w:cs="Times New Roman"/>
                <w:bCs/>
                <w:color w:val="auto"/>
                <w:sz w:val="24"/>
                <w:szCs w:val="32"/>
              </w:rPr>
              <w:t>加快推动华东师范大学六安附属学校建设。对标沪苏浙创建一批高水平的幼儿园、中小学校，建设若干国际学校、国际交流合作示范学校。建设产教融合、开放共享的职业教育园区，创建一批校企紧密合作、产学研结合的校企合作共同体、产教融合示范区，打造一批高技能人才培训基地、特色职业教育基地。</w:t>
            </w:r>
          </w:p>
          <w:p>
            <w:pPr>
              <w:spacing w:line="400" w:lineRule="exact"/>
              <w:ind w:firstLine="561"/>
              <w:rPr>
                <w:rFonts w:hint="default" w:ascii="Times New Roman" w:hAnsi="Times New Roman" w:eastAsia="仿宋_GB2312" w:cs="Times New Roman"/>
                <w:bCs/>
                <w:color w:val="auto"/>
                <w:sz w:val="24"/>
                <w:szCs w:val="32"/>
              </w:rPr>
            </w:pPr>
            <w:r>
              <w:rPr>
                <w:rFonts w:hint="default" w:ascii="Times New Roman" w:hAnsi="Times New Roman" w:eastAsia="楷体_GB2312" w:cs="Times New Roman"/>
                <w:b/>
                <w:color w:val="auto"/>
                <w:sz w:val="24"/>
                <w:szCs w:val="32"/>
              </w:rPr>
              <w:t>2.医疗卫生。</w:t>
            </w:r>
            <w:r>
              <w:rPr>
                <w:rFonts w:hint="default" w:ascii="Times New Roman" w:hAnsi="Times New Roman" w:eastAsia="仿宋_GB2312" w:cs="Times New Roman"/>
                <w:bCs/>
                <w:color w:val="auto"/>
                <w:sz w:val="24"/>
                <w:szCs w:val="32"/>
              </w:rPr>
              <w:t>支持我市医院和相关医疗机构，与沪苏浙地区通过合作办院、设立分院、组建医疗集团等形式，开展全方位合作，重点引进肿瘤、心血管病、儿童、皮肤病等专科医院，建立跨区域、紧密型的医联体。与合肥、沪苏浙地区开展疑难疾病联合攻关和重大疾病联合会诊，共建医学检验质量、病理质量和医学影像质量控制中心。</w:t>
            </w:r>
          </w:p>
          <w:p>
            <w:pPr>
              <w:spacing w:line="400" w:lineRule="exact"/>
              <w:ind w:firstLine="561"/>
              <w:rPr>
                <w:rFonts w:hint="default" w:ascii="Times New Roman" w:hAnsi="Times New Roman" w:eastAsia="宋体" w:cs="Times New Roman"/>
                <w:bCs/>
                <w:color w:val="auto"/>
                <w:sz w:val="24"/>
                <w:szCs w:val="32"/>
              </w:rPr>
            </w:pPr>
            <w:r>
              <w:rPr>
                <w:rFonts w:hint="default" w:ascii="Times New Roman" w:hAnsi="Times New Roman" w:eastAsia="楷体_GB2312" w:cs="Times New Roman"/>
                <w:b/>
                <w:color w:val="auto"/>
                <w:sz w:val="24"/>
                <w:szCs w:val="32"/>
              </w:rPr>
              <w:t>3.文化旅游体育。</w:t>
            </w:r>
            <w:r>
              <w:rPr>
                <w:rFonts w:hint="default" w:ascii="Times New Roman" w:hAnsi="Times New Roman" w:eastAsia="仿宋_GB2312" w:cs="Times New Roman"/>
                <w:bCs/>
                <w:color w:val="auto"/>
                <w:sz w:val="24"/>
                <w:szCs w:val="32"/>
              </w:rPr>
              <w:t>利用长三角博物馆教育联盟等区域平台，定期开展馆藏文物精品区域展览，联动开发与推广相关文物教育项目。促进长三角精品剧目交流巡演活动，</w:t>
            </w:r>
            <w:r>
              <w:rPr>
                <w:rFonts w:hint="default" w:ascii="Times New Roman" w:hAnsi="Times New Roman" w:eastAsia="仿宋_GB2312" w:cs="Times New Roman"/>
                <w:bCs/>
                <w:color w:val="auto"/>
                <w:sz w:val="24"/>
                <w:szCs w:val="32"/>
                <w:lang w:val="en-US" w:eastAsia="zh-CN"/>
              </w:rPr>
              <w:t>推介</w:t>
            </w:r>
            <w:r>
              <w:rPr>
                <w:rFonts w:hint="default" w:ascii="Times New Roman" w:hAnsi="Times New Roman" w:eastAsia="仿宋_GB2312" w:cs="Times New Roman"/>
                <w:bCs/>
                <w:color w:val="auto"/>
                <w:sz w:val="24"/>
                <w:szCs w:val="32"/>
              </w:rPr>
              <w:t>六安特色“红舞台”，推广庐剧等地方戏曲。鼓励印刷企业、规模实体书店等出版单位主动参与承接长三角地区产业转移，打造或加盟“网红打卡”实体书店。协同打造上海一大会址－浙江嘉兴南湖－安徽大别山“红三角”精品路线，争取设立长三角红色文化论坛永久会址，打造长三角高品质红色旅游示范基地。发挥“一谷一带”“一岭一库”平台作用，建成长三角绿色振兴的旅居康养地。提供“轻旅游、微度假、慢生活”产品，打造长三角区域内知名的乡村公园。积极参加长三角康养旅游嘉年华、畅游长三角等旅游交流活动，推进长三角一体化营销，做热一批国际国内精品线路和专项产品。加强长三角体育赛事区域联动发展，与先进地区合作承办影响力较大的国际体育赛事。重点面向长三角，打造“挺进大别山 行走在皖西”汽车自驾运动游精品线路。</w:t>
            </w:r>
          </w:p>
        </w:tc>
      </w:tr>
    </w:tbl>
    <w:p>
      <w:pPr>
        <w:pStyle w:val="3"/>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exact"/>
        <w:ind w:left="0" w:leftChars="0" w:firstLine="0" w:firstLineChars="0"/>
        <w:jc w:val="center"/>
        <w:textAlignment w:val="auto"/>
        <w:rPr>
          <w:rFonts w:hint="default" w:ascii="Times New Roman" w:hAnsi="Times New Roman" w:eastAsia="黑体" w:cs="Times New Roman"/>
          <w:b/>
          <w:bCs/>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exact"/>
        <w:ind w:left="0" w:leftChars="0" w:firstLine="0" w:firstLineChars="0"/>
        <w:jc w:val="center"/>
        <w:textAlignment w:val="auto"/>
        <w:rPr>
          <w:rFonts w:hint="default" w:ascii="Times New Roman" w:hAnsi="Times New Roman" w:eastAsia="黑体" w:cs="Times New Roman"/>
          <w:b/>
          <w:bCs/>
          <w:color w:val="auto"/>
          <w:sz w:val="32"/>
          <w:szCs w:val="32"/>
          <w:highlight w:val="none"/>
          <w:lang w:val="en-US" w:eastAsia="zh-CN"/>
        </w:rPr>
      </w:pPr>
      <w:bookmarkStart w:id="268" w:name="_Toc31219"/>
      <w:bookmarkStart w:id="269" w:name="_Toc24993"/>
      <w:bookmarkStart w:id="270" w:name="_Toc29826"/>
      <w:bookmarkStart w:id="271" w:name="_Toc6584"/>
      <w:r>
        <w:rPr>
          <w:rFonts w:hint="default" w:ascii="Times New Roman" w:hAnsi="Times New Roman" w:eastAsia="黑体" w:cs="Times New Roman"/>
          <w:b/>
          <w:bCs/>
          <w:color w:val="auto"/>
          <w:sz w:val="32"/>
          <w:szCs w:val="32"/>
          <w:highlight w:val="none"/>
          <w:lang w:val="en-US" w:eastAsia="zh-CN"/>
        </w:rPr>
        <w:t>第十三章</w:t>
      </w:r>
      <w:bookmarkEnd w:id="185"/>
      <w:r>
        <w:rPr>
          <w:rFonts w:hint="default" w:ascii="Times New Roman" w:hAnsi="Times New Roman" w:cs="Times New Roman"/>
          <w:b/>
          <w:bCs/>
          <w:color w:val="auto"/>
          <w:sz w:val="32"/>
          <w:szCs w:val="32"/>
          <w:highlight w:val="none"/>
          <w:lang w:val="en-US" w:eastAsia="zh-CN"/>
        </w:rPr>
        <w:t xml:space="preserve">  完善</w:t>
      </w:r>
      <w:r>
        <w:rPr>
          <w:rFonts w:hint="default" w:ascii="Times New Roman" w:hAnsi="Times New Roman" w:eastAsia="黑体" w:cs="Times New Roman"/>
          <w:b/>
          <w:bCs/>
          <w:color w:val="auto"/>
          <w:sz w:val="32"/>
          <w:szCs w:val="32"/>
          <w:highlight w:val="none"/>
          <w:lang w:val="en-US" w:eastAsia="zh-CN"/>
        </w:rPr>
        <w:t>公共服务供给机制</w:t>
      </w:r>
      <w:bookmarkEnd w:id="186"/>
      <w:bookmarkEnd w:id="268"/>
      <w:bookmarkEnd w:id="269"/>
      <w:bookmarkEnd w:id="270"/>
      <w:bookmarkEnd w:id="271"/>
    </w:p>
    <w:p>
      <w:pPr>
        <w:keepNext w:val="0"/>
        <w:keepLines w:val="0"/>
        <w:pageBreakBefore w:val="0"/>
        <w:widowControl w:val="0"/>
        <w:kinsoku/>
        <w:wordWrap/>
        <w:overflowPunct/>
        <w:topLinePunct w:val="0"/>
        <w:autoSpaceDE/>
        <w:autoSpaceDN/>
        <w:bidi w:val="0"/>
        <w:snapToGrid/>
        <w:spacing w:line="600" w:lineRule="exact"/>
        <w:ind w:left="0" w:leftChars="0" w:right="0" w:firstLine="64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持续推进基本公共服务均等化建设，强化数字科技支撑，稳步构建多元主体共建共治格局，推动公共服务</w:t>
      </w:r>
      <w:r>
        <w:rPr>
          <w:rFonts w:hint="default" w:ascii="Times New Roman" w:hAnsi="Times New Roman" w:eastAsia="仿宋_GB2312" w:cs="Times New Roman"/>
          <w:color w:val="auto"/>
          <w:sz w:val="32"/>
          <w:szCs w:val="32"/>
          <w:lang w:val="en-US" w:eastAsia="zh-CN"/>
        </w:rPr>
        <w:t>便利</w:t>
      </w:r>
      <w:r>
        <w:rPr>
          <w:rFonts w:hint="default" w:ascii="Times New Roman" w:hAnsi="Times New Roman" w:eastAsia="仿宋_GB2312" w:cs="Times New Roman"/>
          <w:color w:val="auto"/>
          <w:sz w:val="32"/>
          <w:szCs w:val="32"/>
          <w:lang w:eastAsia="zh-CN"/>
        </w:rPr>
        <w:t>可及。</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rPr>
          <w:rFonts w:hint="default" w:ascii="Times New Roman" w:hAnsi="Times New Roman" w:eastAsia="楷体_GB2312" w:cs="Times New Roman"/>
          <w:b/>
          <w:bCs/>
          <w:color w:val="auto"/>
          <w:sz w:val="32"/>
          <w:szCs w:val="32"/>
          <w:lang w:val="en-US" w:eastAsia="zh-CN"/>
        </w:rPr>
      </w:pPr>
      <w:bookmarkStart w:id="272" w:name="_Toc6401"/>
      <w:bookmarkStart w:id="273" w:name="_Toc11145"/>
      <w:bookmarkStart w:id="274" w:name="_Toc22035"/>
      <w:bookmarkStart w:id="275" w:name="_Toc87883549"/>
      <w:bookmarkStart w:id="276" w:name="_Toc642"/>
      <w:bookmarkStart w:id="277" w:name="_Toc6848"/>
      <w:r>
        <w:rPr>
          <w:rFonts w:hint="default" w:ascii="Times New Roman" w:hAnsi="Times New Roman" w:eastAsia="楷体_GB2312" w:cs="Times New Roman"/>
          <w:b/>
          <w:bCs/>
          <w:color w:val="auto"/>
          <w:sz w:val="32"/>
          <w:szCs w:val="32"/>
          <w:lang w:val="en-US" w:eastAsia="zh-CN"/>
        </w:rPr>
        <w:t>第一节</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lang w:val="en-US" w:eastAsia="zh-CN"/>
        </w:rPr>
        <w:t>推进基本公共服务均等化</w:t>
      </w:r>
      <w:bookmarkEnd w:id="272"/>
      <w:bookmarkEnd w:id="273"/>
      <w:bookmarkEnd w:id="274"/>
      <w:bookmarkEnd w:id="275"/>
      <w:bookmarkEnd w:id="276"/>
      <w:bookmarkEnd w:id="277"/>
    </w:p>
    <w:p>
      <w:pPr>
        <w:keepNext w:val="0"/>
        <w:keepLines w:val="0"/>
        <w:pageBreakBefore w:val="0"/>
        <w:widowControl w:val="0"/>
        <w:kinsoku/>
        <w:wordWrap/>
        <w:overflowPunct/>
        <w:topLinePunct w:val="0"/>
        <w:autoSpaceDE/>
        <w:autoSpaceDN/>
        <w:bidi w:val="0"/>
        <w:snapToGrid/>
        <w:spacing w:line="600" w:lineRule="exact"/>
        <w:ind w:left="0" w:leftChars="0" w:right="0"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bCs/>
          <w:color w:val="auto"/>
          <w:kern w:val="2"/>
          <w:sz w:val="32"/>
          <w:szCs w:val="32"/>
          <w:lang w:val="en-US" w:eastAsia="zh-CN" w:bidi="ar-SA"/>
        </w:rPr>
        <w:t>完善基本公共服务标准体系。</w:t>
      </w:r>
      <w:r>
        <w:rPr>
          <w:rFonts w:hint="default" w:ascii="Times New Roman" w:hAnsi="Times New Roman" w:eastAsia="仿宋_GB2312" w:cs="Times New Roman"/>
          <w:color w:val="auto"/>
          <w:sz w:val="32"/>
          <w:szCs w:val="32"/>
          <w:lang w:val="en-US" w:eastAsia="zh-CN"/>
        </w:rPr>
        <w:t>贯彻</w:t>
      </w:r>
      <w:r>
        <w:rPr>
          <w:rFonts w:hint="default" w:ascii="Times New Roman" w:hAnsi="Times New Roman" w:eastAsia="仿宋_GB2312" w:cs="Times New Roman"/>
          <w:color w:val="auto"/>
          <w:sz w:val="32"/>
          <w:szCs w:val="32"/>
          <w:lang w:eastAsia="zh-CN"/>
        </w:rPr>
        <w:t>落实国家</w:t>
      </w:r>
      <w:r>
        <w:rPr>
          <w:rFonts w:hint="default" w:ascii="Times New Roman" w:hAnsi="Times New Roman" w:eastAsia="仿宋_GB2312" w:cs="Times New Roman"/>
          <w:color w:val="auto"/>
          <w:sz w:val="32"/>
          <w:szCs w:val="32"/>
          <w:lang w:val="en-US" w:eastAsia="zh-CN"/>
        </w:rPr>
        <w:t>基本</w:t>
      </w:r>
      <w:r>
        <w:rPr>
          <w:rFonts w:hint="default" w:ascii="Times New Roman" w:hAnsi="Times New Roman" w:eastAsia="仿宋_GB2312" w:cs="Times New Roman"/>
          <w:color w:val="auto"/>
          <w:sz w:val="32"/>
          <w:szCs w:val="32"/>
          <w:lang w:eastAsia="zh-CN"/>
        </w:rPr>
        <w:t>公共服务标准</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lang w:val="en-US" w:eastAsia="zh-CN"/>
        </w:rPr>
        <w:t>基本</w:t>
      </w:r>
      <w:r>
        <w:rPr>
          <w:rFonts w:hint="default" w:ascii="Times New Roman" w:hAnsi="Times New Roman" w:eastAsia="仿宋_GB2312" w:cs="Times New Roman"/>
          <w:color w:val="auto"/>
          <w:sz w:val="32"/>
          <w:szCs w:val="32"/>
          <w:lang w:eastAsia="zh-CN"/>
        </w:rPr>
        <w:t>公共服务</w:t>
      </w:r>
      <w:r>
        <w:rPr>
          <w:rFonts w:hint="eastAsia" w:ascii="Times New Roman" w:hAnsi="Times New Roman" w:eastAsia="仿宋_GB2312" w:cs="Times New Roman"/>
          <w:color w:val="auto"/>
          <w:sz w:val="32"/>
          <w:szCs w:val="32"/>
          <w:lang w:val="en-US" w:eastAsia="zh-CN"/>
        </w:rPr>
        <w:t>实施</w:t>
      </w:r>
      <w:r>
        <w:rPr>
          <w:rFonts w:hint="default" w:ascii="Times New Roman" w:hAnsi="Times New Roman" w:eastAsia="仿宋_GB2312" w:cs="Times New Roman"/>
          <w:color w:val="auto"/>
          <w:sz w:val="32"/>
          <w:szCs w:val="32"/>
          <w:lang w:eastAsia="zh-CN"/>
        </w:rPr>
        <w:t>标准，明确覆盖</w:t>
      </w:r>
      <w:r>
        <w:rPr>
          <w:rFonts w:hint="default" w:ascii="Times New Roman" w:hAnsi="Times New Roman" w:eastAsia="仿宋_GB2312" w:cs="Times New Roman"/>
          <w:b w:val="0"/>
          <w:bCs w:val="0"/>
          <w:color w:val="auto"/>
          <w:kern w:val="2"/>
          <w:sz w:val="32"/>
          <w:szCs w:val="32"/>
          <w:lang w:val="en-US" w:eastAsia="zh-CN" w:bidi="ar-SA"/>
        </w:rPr>
        <w:t>基本公共服务领域重点项目、服务对象、服务内容和标准、支出责任，</w:t>
      </w:r>
      <w:r>
        <w:rPr>
          <w:rFonts w:hint="default" w:ascii="Times New Roman" w:hAnsi="Times New Roman" w:eastAsia="仿宋_GB2312" w:cs="Times New Roman"/>
          <w:color w:val="auto"/>
          <w:sz w:val="32"/>
          <w:szCs w:val="32"/>
          <w:lang w:val="en-US" w:eastAsia="zh-CN"/>
        </w:rPr>
        <w:t>加快制定我市基本公共服务</w:t>
      </w:r>
      <w:r>
        <w:rPr>
          <w:rFonts w:hint="eastAsia" w:ascii="Times New Roman" w:hAnsi="Times New Roman" w:eastAsia="仿宋_GB2312" w:cs="Times New Roman"/>
          <w:color w:val="auto"/>
          <w:sz w:val="32"/>
          <w:szCs w:val="32"/>
          <w:lang w:val="en-US" w:eastAsia="zh-CN"/>
        </w:rPr>
        <w:t>实施</w:t>
      </w:r>
      <w:r>
        <w:rPr>
          <w:rFonts w:hint="default" w:ascii="Times New Roman" w:hAnsi="Times New Roman" w:eastAsia="仿宋_GB2312" w:cs="Times New Roman"/>
          <w:color w:val="auto"/>
          <w:sz w:val="32"/>
          <w:szCs w:val="32"/>
          <w:lang w:val="en-US" w:eastAsia="zh-CN"/>
        </w:rPr>
        <w:t>标准</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color w:val="auto"/>
          <w:sz w:val="32"/>
          <w:szCs w:val="32"/>
          <w:lang w:eastAsia="zh-CN"/>
        </w:rPr>
        <w:t>统筹经济社会发展水平</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eastAsia="zh-CN"/>
        </w:rPr>
        <w:t>财政状况，</w:t>
      </w:r>
      <w:r>
        <w:rPr>
          <w:rFonts w:hint="default" w:ascii="Times New Roman" w:hAnsi="Times New Roman" w:eastAsia="仿宋_GB2312" w:cs="Times New Roman"/>
          <w:color w:val="auto"/>
          <w:sz w:val="32"/>
          <w:szCs w:val="32"/>
          <w:lang w:val="en-US" w:eastAsia="zh-CN"/>
        </w:rPr>
        <w:t>建立基本公共服务</w:t>
      </w:r>
      <w:r>
        <w:rPr>
          <w:rFonts w:hint="eastAsia" w:ascii="Times New Roman" w:hAnsi="Times New Roman" w:eastAsia="仿宋_GB2312" w:cs="Times New Roman"/>
          <w:color w:val="auto"/>
          <w:sz w:val="32"/>
          <w:szCs w:val="32"/>
          <w:lang w:val="en-US" w:eastAsia="zh-CN"/>
        </w:rPr>
        <w:t>实施</w:t>
      </w:r>
      <w:r>
        <w:rPr>
          <w:rFonts w:hint="default" w:ascii="Times New Roman" w:hAnsi="Times New Roman" w:eastAsia="仿宋_GB2312" w:cs="Times New Roman"/>
          <w:color w:val="auto"/>
          <w:sz w:val="32"/>
          <w:szCs w:val="32"/>
          <w:lang w:val="en-US" w:eastAsia="zh-CN"/>
        </w:rPr>
        <w:t>标准动态调整机制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rPr>
        <w:t>基本公共服务实施标准落实</w:t>
      </w:r>
      <w:r>
        <w:rPr>
          <w:rFonts w:hint="default" w:ascii="Times New Roman" w:hAnsi="Times New Roman" w:eastAsia="仿宋_GB2312" w:cs="Times New Roman"/>
          <w:color w:val="auto"/>
          <w:sz w:val="32"/>
          <w:szCs w:val="32"/>
          <w:lang w:eastAsia="zh-CN"/>
        </w:rPr>
        <w:t>情况监测预警，</w:t>
      </w:r>
      <w:r>
        <w:rPr>
          <w:rFonts w:hint="default" w:ascii="Times New Roman" w:hAnsi="Times New Roman" w:eastAsia="仿宋_GB2312" w:cs="Times New Roman"/>
          <w:color w:val="auto"/>
          <w:sz w:val="32"/>
          <w:szCs w:val="32"/>
          <w:lang w:val="en-US" w:eastAsia="zh-CN"/>
        </w:rPr>
        <w:t>强化</w:t>
      </w:r>
      <w:r>
        <w:rPr>
          <w:rFonts w:hint="default" w:ascii="Times New Roman" w:hAnsi="Times New Roman" w:eastAsia="仿宋_GB2312" w:cs="Times New Roman"/>
          <w:color w:val="auto"/>
          <w:sz w:val="32"/>
          <w:szCs w:val="32"/>
          <w:lang w:eastAsia="zh-CN"/>
        </w:rPr>
        <w:t>试点实施结果反馈利用。加强基层服务机构标准化管理。</w:t>
      </w:r>
    </w:p>
    <w:p>
      <w:pPr>
        <w:pStyle w:val="16"/>
        <w:keepNext w:val="0"/>
        <w:keepLines w:val="0"/>
        <w:pageBreakBefore w:val="0"/>
        <w:widowControl w:val="0"/>
        <w:kinsoku/>
        <w:wordWrap/>
        <w:overflowPunct/>
        <w:topLinePunct w:val="0"/>
        <w:autoSpaceDE/>
        <w:autoSpaceDN/>
        <w:bidi w:val="0"/>
        <w:snapToGrid/>
        <w:spacing w:after="0" w:afterLines="0" w:line="600" w:lineRule="exact"/>
        <w:ind w:left="0" w:leftChars="0" w:right="0"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bookmarkStart w:id="278" w:name="_Toc87883550"/>
      <w:r>
        <w:rPr>
          <w:rFonts w:hint="default" w:ascii="Times New Roman" w:hAnsi="Times New Roman" w:eastAsia="楷体_GB2312" w:cs="Times New Roman"/>
          <w:b/>
          <w:bCs/>
          <w:color w:val="auto"/>
          <w:kern w:val="2"/>
          <w:sz w:val="32"/>
          <w:szCs w:val="32"/>
          <w:lang w:val="en-US" w:eastAsia="zh-CN" w:bidi="ar-SA"/>
        </w:rPr>
        <w:t>统筹公共服务城乡一体化建设。</w:t>
      </w:r>
      <w:r>
        <w:rPr>
          <w:rFonts w:hint="default" w:ascii="Times New Roman" w:hAnsi="Times New Roman" w:eastAsia="仿宋_GB2312" w:cs="Times New Roman"/>
          <w:color w:val="auto"/>
          <w:kern w:val="2"/>
          <w:sz w:val="32"/>
          <w:szCs w:val="32"/>
          <w:lang w:val="en-US" w:eastAsia="zh-CN" w:bidi="ar-SA"/>
        </w:rPr>
        <w:t>统一城乡服务内容和标准，推动市域内规划、政策、投入、项目等一体化管理。</w:t>
      </w:r>
      <w:r>
        <w:rPr>
          <w:rFonts w:hint="default" w:ascii="Times New Roman" w:hAnsi="Times New Roman" w:eastAsia="仿宋_GB2312" w:cs="Times New Roman"/>
          <w:color w:val="auto"/>
          <w:sz w:val="32"/>
          <w:szCs w:val="32"/>
        </w:rPr>
        <w:t>深化户籍管理制度改革，完善以公民身份号码为标识、与居住年限相挂钩的基本公共服务提供机制，推动实现基本公共服务由常住地供给、覆盖全部常住人口。落实农业转移人口市民化财政支持政策，完善异地结算、钱随人走等相关制度，保障符合条件的外来人口与本地居民平等享有基本公共服务。</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
          <w:bCs/>
          <w:color w:val="auto"/>
          <w:sz w:val="32"/>
          <w:szCs w:val="32"/>
          <w:highlight w:val="none"/>
          <w:lang w:eastAsia="zh-CN"/>
        </w:rPr>
        <w:t>加快完善重点人群配套制度建设。</w:t>
      </w:r>
      <w:r>
        <w:rPr>
          <w:rFonts w:hint="default" w:ascii="Times New Roman" w:hAnsi="Times New Roman" w:eastAsia="仿宋_GB2312" w:cs="Times New Roman"/>
          <w:color w:val="auto"/>
          <w:sz w:val="32"/>
          <w:szCs w:val="32"/>
        </w:rPr>
        <w:t>健全最低生活保障、特困人员救助供养、低收入人口认定办法。聚焦孤残、事实无人抚养等困境儿童基本生活保障，健全困难儿童福利保障和农村留守儿童救助保护机制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落实社会救助和保障标准与物价上涨挂钩的联动机制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健全公办养老机构入住综合评估制度，优先满足失能老年人的基本养老服务需求。</w:t>
      </w:r>
      <w:r>
        <w:rPr>
          <w:rFonts w:hint="default" w:ascii="Times New Roman" w:hAnsi="Times New Roman" w:eastAsia="仿宋_GB2312" w:cs="Times New Roman"/>
          <w:color w:val="auto"/>
          <w:sz w:val="32"/>
          <w:szCs w:val="32"/>
          <w:lang w:val="en-US" w:eastAsia="zh-CN"/>
        </w:rPr>
        <w:t>全面</w:t>
      </w:r>
      <w:r>
        <w:rPr>
          <w:rFonts w:hint="default" w:ascii="Times New Roman" w:hAnsi="Times New Roman" w:eastAsia="仿宋_GB2312" w:cs="Times New Roman"/>
          <w:color w:val="auto"/>
          <w:sz w:val="32"/>
          <w:szCs w:val="32"/>
        </w:rPr>
        <w:t>落实全学段的学生资助政策，</w:t>
      </w:r>
      <w:r>
        <w:rPr>
          <w:rFonts w:hint="default" w:ascii="Times New Roman" w:hAnsi="Times New Roman" w:eastAsia="仿宋_GB2312" w:cs="Times New Roman"/>
          <w:color w:val="auto"/>
          <w:sz w:val="32"/>
          <w:szCs w:val="32"/>
          <w:lang w:val="en-US" w:eastAsia="zh-CN"/>
        </w:rPr>
        <w:t>强化</w:t>
      </w:r>
      <w:r>
        <w:rPr>
          <w:rFonts w:hint="default" w:ascii="Times New Roman" w:hAnsi="Times New Roman" w:eastAsia="仿宋_GB2312" w:cs="Times New Roman"/>
          <w:color w:val="auto"/>
          <w:sz w:val="32"/>
          <w:szCs w:val="32"/>
        </w:rPr>
        <w:t>学生资助信息系统与教育、民政、乡村振兴</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有关</w:t>
      </w:r>
      <w:r>
        <w:rPr>
          <w:rFonts w:hint="default"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rPr>
        <w:t>信息</w:t>
      </w:r>
      <w:r>
        <w:rPr>
          <w:rFonts w:hint="default" w:ascii="Times New Roman" w:hAnsi="Times New Roman" w:eastAsia="仿宋_GB2312" w:cs="Times New Roman"/>
          <w:color w:val="auto"/>
          <w:sz w:val="32"/>
          <w:szCs w:val="32"/>
          <w:lang w:val="en-US" w:eastAsia="zh-CN"/>
        </w:rPr>
        <w:t>比对</w:t>
      </w:r>
      <w:r>
        <w:rPr>
          <w:rFonts w:hint="default" w:ascii="Times New Roman" w:hAnsi="Times New Roman" w:eastAsia="仿宋_GB2312" w:cs="Times New Roman"/>
          <w:color w:val="auto"/>
          <w:sz w:val="32"/>
          <w:szCs w:val="32"/>
        </w:rPr>
        <w:t>和数据共享，确保符合条件的家庭经济困难学生按规定享受教育资助和社会救助。</w:t>
      </w:r>
    </w:p>
    <w:p>
      <w:pPr>
        <w:pStyle w:val="6"/>
        <w:bidi w:val="0"/>
        <w:rPr>
          <w:rFonts w:hint="default" w:ascii="Times New Roman" w:hAnsi="Times New Roman" w:eastAsia="黑体" w:cs="Times New Roman"/>
          <w:color w:val="auto"/>
          <w:lang w:val="en-US" w:eastAsia="zh-CN"/>
        </w:rPr>
      </w:pPr>
      <w:r>
        <w:rPr>
          <w:rFonts w:hint="default" w:ascii="Times New Roman" w:hAnsi="Times New Roman" w:cs="Times New Roman"/>
          <w:color w:val="auto"/>
        </w:rPr>
        <w:t xml:space="preserve">专栏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SEQ 专栏 \* ARABIC </w:instrText>
      </w:r>
      <w:r>
        <w:rPr>
          <w:rFonts w:hint="default" w:ascii="Times New Roman" w:hAnsi="Times New Roman" w:cs="Times New Roman"/>
          <w:color w:val="auto"/>
        </w:rPr>
        <w:fldChar w:fldCharType="separate"/>
      </w:r>
      <w:r>
        <w:rPr>
          <w:rFonts w:hint="default" w:ascii="Times New Roman" w:hAnsi="Times New Roman" w:cs="Times New Roman"/>
          <w:color w:val="auto"/>
        </w:rPr>
        <w:t>13</w:t>
      </w:r>
      <w:r>
        <w:rPr>
          <w:rFonts w:hint="default" w:ascii="Times New Roman" w:hAnsi="Times New Roman" w:cs="Times New Roman"/>
          <w:color w:val="auto"/>
        </w:rPr>
        <w:fldChar w:fldCharType="end"/>
      </w:r>
      <w:bookmarkStart w:id="279" w:name="_Toc29205"/>
      <w:r>
        <w:rPr>
          <w:rFonts w:hint="default" w:ascii="Times New Roman" w:hAnsi="Times New Roman" w:cs="Times New Roman"/>
          <w:color w:val="auto"/>
          <w:lang w:val="en-US" w:eastAsia="zh-CN"/>
        </w:rPr>
        <w:t xml:space="preserve"> </w:t>
      </w:r>
      <w:bookmarkStart w:id="280" w:name="_Toc27758"/>
      <w:bookmarkStart w:id="281" w:name="_Toc2140"/>
      <w:bookmarkStart w:id="282" w:name="_Toc31195"/>
      <w:bookmarkStart w:id="283" w:name="_Toc719"/>
      <w:r>
        <w:rPr>
          <w:rFonts w:hint="default" w:ascii="Times New Roman" w:hAnsi="Times New Roman" w:cs="Times New Roman"/>
          <w:color w:val="auto"/>
        </w:rPr>
        <w:t>六安市基本公共服务项目清单</w:t>
      </w:r>
      <w:bookmarkEnd w:id="279"/>
      <w:bookmarkEnd w:id="280"/>
      <w:bookmarkEnd w:id="281"/>
      <w:bookmarkEnd w:id="282"/>
      <w:bookmarkEnd w:id="283"/>
    </w:p>
    <w:tbl>
      <w:tblPr>
        <w:tblStyle w:val="18"/>
        <w:tblW w:w="85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95"/>
        <w:gridCol w:w="71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395" w:type="dxa"/>
            <w:tcBorders>
              <w:tl2br w:val="nil"/>
              <w:tr2bl w:val="nil"/>
            </w:tcBorders>
          </w:tcPr>
          <w:p>
            <w:pPr>
              <w:spacing w:line="400" w:lineRule="exact"/>
              <w:jc w:val="center"/>
              <w:rPr>
                <w:rFonts w:hint="default" w:ascii="Times New Roman" w:hAnsi="Times New Roman" w:eastAsia="楷体_GB2312" w:cs="Times New Roman"/>
                <w:b/>
                <w:bCs/>
                <w:color w:val="auto"/>
                <w:sz w:val="28"/>
                <w:szCs w:val="28"/>
              </w:rPr>
            </w:pPr>
            <w:bookmarkStart w:id="284" w:name="_Toc20164"/>
            <w:r>
              <w:rPr>
                <w:rFonts w:hint="default" w:ascii="Times New Roman" w:hAnsi="Times New Roman" w:eastAsia="楷体_GB2312" w:cs="Times New Roman"/>
                <w:b/>
                <w:bCs/>
                <w:color w:val="auto"/>
                <w:sz w:val="28"/>
                <w:szCs w:val="28"/>
              </w:rPr>
              <w:t>服务领域</w:t>
            </w:r>
          </w:p>
        </w:tc>
        <w:tc>
          <w:tcPr>
            <w:tcW w:w="7149" w:type="dxa"/>
            <w:tcBorders>
              <w:tl2br w:val="nil"/>
              <w:tr2bl w:val="nil"/>
            </w:tcBorders>
          </w:tcPr>
          <w:p>
            <w:pPr>
              <w:spacing w:line="400" w:lineRule="exact"/>
              <w:jc w:val="center"/>
              <w:rPr>
                <w:rFonts w:hint="default" w:ascii="Times New Roman" w:hAnsi="Times New Roman" w:eastAsia="楷体_GB2312" w:cs="Times New Roman"/>
                <w:b/>
                <w:bCs/>
                <w:color w:val="auto"/>
                <w:sz w:val="28"/>
                <w:szCs w:val="28"/>
              </w:rPr>
            </w:pPr>
            <w:r>
              <w:rPr>
                <w:rFonts w:hint="default" w:ascii="Times New Roman" w:hAnsi="Times New Roman" w:eastAsia="楷体_GB2312" w:cs="Times New Roman"/>
                <w:b/>
                <w:bCs/>
                <w:color w:val="auto"/>
                <w:sz w:val="28"/>
                <w:szCs w:val="28"/>
              </w:rPr>
              <w:t>服务项目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395" w:type="dxa"/>
            <w:tcBorders>
              <w:tl2br w:val="nil"/>
              <w:tr2bl w:val="nil"/>
            </w:tcBorders>
            <w:vAlign w:val="center"/>
          </w:tcPr>
          <w:p>
            <w:pPr>
              <w:spacing w:line="400" w:lineRule="exact"/>
              <w:jc w:val="center"/>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幼有所育</w:t>
            </w:r>
          </w:p>
        </w:tc>
        <w:tc>
          <w:tcPr>
            <w:tcW w:w="7149" w:type="dxa"/>
            <w:tcBorders>
              <w:tl2br w:val="nil"/>
              <w:tr2bl w:val="nil"/>
            </w:tcBorders>
            <w:vAlign w:val="center"/>
          </w:tcPr>
          <w:p>
            <w:pPr>
              <w:widowControl/>
              <w:spacing w:line="40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农村免费孕前优生健康检查、孕产妇健康服务、基本避孕服务、生育保险、预防接种、儿童健康管理、特殊儿童群体基本生活保障、困境儿童保障、农村留守儿童关爱保护（共计</w:t>
            </w:r>
            <w:r>
              <w:rPr>
                <w:rFonts w:hint="default" w:ascii="Times New Roman" w:hAnsi="Times New Roman" w:eastAsia="仿宋_GB2312" w:cs="Times New Roman"/>
                <w:color w:val="auto"/>
                <w:sz w:val="24"/>
              </w:rPr>
              <w:t>9</w:t>
            </w:r>
            <w:r>
              <w:rPr>
                <w:rFonts w:hint="default" w:ascii="Times New Roman" w:hAnsi="Times New Roman" w:eastAsia="仿宋_GB2312" w:cs="Times New Roman"/>
                <w:color w:val="auto"/>
                <w:kern w:val="0"/>
                <w:sz w:val="24"/>
              </w:rPr>
              <w:t>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tl2br w:val="nil"/>
              <w:tr2bl w:val="nil"/>
            </w:tcBorders>
            <w:vAlign w:val="center"/>
          </w:tcPr>
          <w:p>
            <w:pPr>
              <w:spacing w:line="400" w:lineRule="exact"/>
              <w:jc w:val="center"/>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学有所教</w:t>
            </w:r>
          </w:p>
        </w:tc>
        <w:tc>
          <w:tcPr>
            <w:tcW w:w="7149" w:type="dxa"/>
            <w:tcBorders>
              <w:tl2br w:val="nil"/>
              <w:tr2bl w:val="nil"/>
            </w:tcBorders>
            <w:vAlign w:val="center"/>
          </w:tcPr>
          <w:p>
            <w:pPr>
              <w:widowControl/>
              <w:spacing w:line="40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学前教育幼儿资助、义务教育阶段免除学杂费、义务教育免费提供教科书、义务教育家庭经济困难学生生活补助、贫困地区学生营养膳食补助、普通高中国家助学金、普通高中免学杂费、中等职业教育国家助学金、中等职业教育免除学费（共计</w:t>
            </w:r>
            <w:r>
              <w:rPr>
                <w:rFonts w:hint="default" w:ascii="Times New Roman" w:hAnsi="Times New Roman" w:eastAsia="仿宋_GB2312" w:cs="Times New Roman"/>
                <w:color w:val="auto"/>
                <w:sz w:val="24"/>
              </w:rPr>
              <w:t>9</w:t>
            </w:r>
            <w:r>
              <w:rPr>
                <w:rFonts w:hint="default" w:ascii="Times New Roman" w:hAnsi="Times New Roman" w:eastAsia="仿宋_GB2312" w:cs="Times New Roman"/>
                <w:color w:val="auto"/>
                <w:kern w:val="0"/>
                <w:sz w:val="24"/>
              </w:rPr>
              <w:t>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tl2br w:val="nil"/>
              <w:tr2bl w:val="nil"/>
            </w:tcBorders>
            <w:vAlign w:val="center"/>
          </w:tcPr>
          <w:p>
            <w:pPr>
              <w:spacing w:line="400" w:lineRule="exact"/>
              <w:jc w:val="center"/>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劳有所得</w:t>
            </w:r>
          </w:p>
        </w:tc>
        <w:tc>
          <w:tcPr>
            <w:tcW w:w="7149" w:type="dxa"/>
            <w:tcBorders>
              <w:tl2br w:val="nil"/>
              <w:tr2bl w:val="nil"/>
            </w:tcBorders>
            <w:vAlign w:val="center"/>
          </w:tcPr>
          <w:p>
            <w:pPr>
              <w:widowControl/>
              <w:spacing w:line="40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就业信息服务，职业介绍、职业指导和创业开业指导，就业登记与失业登记，流动人员人事档案管理服务，就业见习服务，就业援助，职业技能培训、鉴定和生活费补贴，“12333”人力资源和社会保障电话服务，劳动关系协调，劳动用工保障，失业保险，工伤保险（共计</w:t>
            </w:r>
            <w:r>
              <w:rPr>
                <w:rFonts w:hint="default" w:ascii="Times New Roman" w:hAnsi="Times New Roman" w:eastAsia="仿宋_GB2312" w:cs="Times New Roman"/>
                <w:color w:val="auto"/>
                <w:sz w:val="24"/>
              </w:rPr>
              <w:t>12</w:t>
            </w:r>
            <w:r>
              <w:rPr>
                <w:rFonts w:hint="default" w:ascii="Times New Roman" w:hAnsi="Times New Roman" w:eastAsia="仿宋_GB2312" w:cs="Times New Roman"/>
                <w:color w:val="auto"/>
                <w:kern w:val="0"/>
                <w:sz w:val="24"/>
              </w:rPr>
              <w:t>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tl2br w:val="nil"/>
              <w:tr2bl w:val="nil"/>
            </w:tcBorders>
            <w:vAlign w:val="center"/>
          </w:tcPr>
          <w:p>
            <w:pPr>
              <w:spacing w:line="400" w:lineRule="exact"/>
              <w:jc w:val="center"/>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病有所医</w:t>
            </w:r>
          </w:p>
        </w:tc>
        <w:tc>
          <w:tcPr>
            <w:tcW w:w="7149" w:type="dxa"/>
            <w:tcBorders>
              <w:tl2br w:val="nil"/>
              <w:tr2bl w:val="nil"/>
            </w:tcBorders>
            <w:vAlign w:val="center"/>
          </w:tcPr>
          <w:p>
            <w:pPr>
              <w:widowControl/>
              <w:spacing w:line="40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建立居民健康档案、健康教育与健康素养促进、传染病及突发公共卫生事件报告和处理、卫生监督协管服务、慢性病患者健康管理、地方病患者健康管理、严重精神障碍患者健康管理、结核病患者健康管理、艾滋病病毒感染者和病人随访管理、社区易感染艾滋病高危行为人群干预、基本药物供应保障服务、食品药品安全保障、职工基本医疗保险、城乡居民基本医疗保险、农村符合条件的计划生育家庭奖励扶助、计划生育家庭特别扶助（共计</w:t>
            </w:r>
            <w:r>
              <w:rPr>
                <w:rFonts w:hint="default" w:ascii="Times New Roman" w:hAnsi="Times New Roman" w:eastAsia="仿宋_GB2312" w:cs="Times New Roman"/>
                <w:color w:val="auto"/>
                <w:sz w:val="24"/>
              </w:rPr>
              <w:t>16</w:t>
            </w:r>
            <w:r>
              <w:rPr>
                <w:rFonts w:hint="default" w:ascii="Times New Roman" w:hAnsi="Times New Roman" w:eastAsia="仿宋_GB2312" w:cs="Times New Roman"/>
                <w:color w:val="auto"/>
                <w:kern w:val="0"/>
                <w:sz w:val="24"/>
              </w:rPr>
              <w:t>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tl2br w:val="nil"/>
              <w:tr2bl w:val="nil"/>
            </w:tcBorders>
            <w:vAlign w:val="center"/>
          </w:tcPr>
          <w:p>
            <w:pPr>
              <w:spacing w:line="400" w:lineRule="exact"/>
              <w:jc w:val="center"/>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老有所养</w:t>
            </w:r>
          </w:p>
        </w:tc>
        <w:tc>
          <w:tcPr>
            <w:tcW w:w="7149" w:type="dxa"/>
            <w:tcBorders>
              <w:tl2br w:val="nil"/>
              <w:tr2bl w:val="nil"/>
            </w:tcBorders>
            <w:vAlign w:val="center"/>
          </w:tcPr>
          <w:p>
            <w:pPr>
              <w:widowControl/>
              <w:spacing w:line="40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老年人健康管理、老年人福利补贴、职工基本养老保险、城乡居民基本养老保险（共计</w:t>
            </w:r>
            <w:r>
              <w:rPr>
                <w:rFonts w:hint="default" w:ascii="Times New Roman" w:hAnsi="Times New Roman" w:eastAsia="仿宋_GB2312" w:cs="Times New Roman"/>
                <w:color w:val="auto"/>
                <w:sz w:val="24"/>
              </w:rPr>
              <w:t>4</w:t>
            </w:r>
            <w:r>
              <w:rPr>
                <w:rFonts w:hint="default" w:ascii="Times New Roman" w:hAnsi="Times New Roman" w:eastAsia="仿宋_GB2312" w:cs="Times New Roman"/>
                <w:color w:val="auto"/>
                <w:kern w:val="0"/>
                <w:sz w:val="24"/>
              </w:rPr>
              <w:t>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tl2br w:val="nil"/>
              <w:tr2bl w:val="nil"/>
            </w:tcBorders>
            <w:vAlign w:val="center"/>
          </w:tcPr>
          <w:p>
            <w:pPr>
              <w:spacing w:line="400" w:lineRule="exact"/>
              <w:jc w:val="center"/>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住有所居</w:t>
            </w:r>
          </w:p>
        </w:tc>
        <w:tc>
          <w:tcPr>
            <w:tcW w:w="7149" w:type="dxa"/>
            <w:tcBorders>
              <w:tl2br w:val="nil"/>
              <w:tr2bl w:val="nil"/>
            </w:tcBorders>
            <w:vAlign w:val="center"/>
          </w:tcPr>
          <w:p>
            <w:pPr>
              <w:widowControl/>
              <w:spacing w:line="40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公租房保障、城镇棚户区住房改造、农村危房改造（共计</w:t>
            </w:r>
            <w:r>
              <w:rPr>
                <w:rFonts w:hint="default" w:ascii="Times New Roman" w:hAnsi="Times New Roman" w:eastAsia="仿宋_GB2312" w:cs="Times New Roman"/>
                <w:color w:val="auto"/>
                <w:sz w:val="24"/>
              </w:rPr>
              <w:t>3</w:t>
            </w:r>
            <w:r>
              <w:rPr>
                <w:rFonts w:hint="default" w:ascii="Times New Roman" w:hAnsi="Times New Roman" w:eastAsia="仿宋_GB2312" w:cs="Times New Roman"/>
                <w:color w:val="auto"/>
                <w:kern w:val="0"/>
                <w:sz w:val="24"/>
              </w:rPr>
              <w:t>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tl2br w:val="nil"/>
              <w:tr2bl w:val="nil"/>
            </w:tcBorders>
            <w:vAlign w:val="center"/>
          </w:tcPr>
          <w:p>
            <w:pPr>
              <w:spacing w:line="400" w:lineRule="exact"/>
              <w:jc w:val="center"/>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弱有所扶</w:t>
            </w:r>
          </w:p>
        </w:tc>
        <w:tc>
          <w:tcPr>
            <w:tcW w:w="7149" w:type="dxa"/>
            <w:tcBorders>
              <w:tl2br w:val="nil"/>
              <w:tr2bl w:val="nil"/>
            </w:tcBorders>
            <w:vAlign w:val="center"/>
          </w:tcPr>
          <w:p>
            <w:pPr>
              <w:widowControl/>
              <w:spacing w:line="40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最低生活保障、特困人员救助供养、医疗救助、临时救助、受灾人员救助、法律援助、困难残疾人生活补贴和重度残疾人护理补贴、无业重度残疾人最低生活保障、残疾人托养服务、残疾人康复服务、残疾儿童及青少年教育、残疾人职业培训和就业服务、残疾人文化体育服务、残疾人和老年人无障碍环境建设（共计</w:t>
            </w:r>
            <w:r>
              <w:rPr>
                <w:rFonts w:hint="default" w:ascii="Times New Roman" w:hAnsi="Times New Roman" w:eastAsia="仿宋_GB2312" w:cs="Times New Roman"/>
                <w:color w:val="auto"/>
                <w:sz w:val="24"/>
              </w:rPr>
              <w:t>14</w:t>
            </w:r>
            <w:r>
              <w:rPr>
                <w:rFonts w:hint="default" w:ascii="Times New Roman" w:hAnsi="Times New Roman" w:eastAsia="仿宋_GB2312" w:cs="Times New Roman"/>
                <w:color w:val="auto"/>
                <w:kern w:val="0"/>
                <w:sz w:val="24"/>
              </w:rPr>
              <w:t>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95" w:type="dxa"/>
            <w:tcBorders>
              <w:tl2br w:val="nil"/>
              <w:tr2bl w:val="nil"/>
            </w:tcBorders>
            <w:vAlign w:val="center"/>
          </w:tcPr>
          <w:p>
            <w:pPr>
              <w:spacing w:line="400" w:lineRule="exact"/>
              <w:jc w:val="center"/>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优军服务保障</w:t>
            </w:r>
          </w:p>
        </w:tc>
        <w:tc>
          <w:tcPr>
            <w:tcW w:w="7149" w:type="dxa"/>
            <w:tcBorders>
              <w:tl2br w:val="nil"/>
              <w:tr2bl w:val="nil"/>
            </w:tcBorders>
            <w:vAlign w:val="center"/>
          </w:tcPr>
          <w:p>
            <w:pPr>
              <w:widowControl/>
              <w:spacing w:line="4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优待抚恤、退役军人安置、退役军人就业创业服务、特殊群体集中供养（共计</w:t>
            </w:r>
            <w:r>
              <w:rPr>
                <w:rFonts w:hint="default" w:ascii="Times New Roman" w:hAnsi="Times New Roman" w:eastAsia="仿宋_GB2312" w:cs="Times New Roman"/>
                <w:color w:val="auto"/>
                <w:sz w:val="24"/>
              </w:rPr>
              <w:t>4</w:t>
            </w:r>
            <w:r>
              <w:rPr>
                <w:rFonts w:hint="default" w:ascii="Times New Roman" w:hAnsi="Times New Roman" w:eastAsia="仿宋_GB2312" w:cs="Times New Roman"/>
                <w:color w:val="auto"/>
                <w:kern w:val="0"/>
                <w:sz w:val="24"/>
              </w:rPr>
              <w:t>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tl2br w:val="nil"/>
              <w:tr2bl w:val="nil"/>
            </w:tcBorders>
            <w:vAlign w:val="center"/>
          </w:tcPr>
          <w:p>
            <w:pPr>
              <w:spacing w:line="400" w:lineRule="exact"/>
              <w:jc w:val="center"/>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文体服务保障</w:t>
            </w:r>
          </w:p>
        </w:tc>
        <w:tc>
          <w:tcPr>
            <w:tcW w:w="7149" w:type="dxa"/>
            <w:tcBorders>
              <w:tl2br w:val="nil"/>
              <w:tr2bl w:val="nil"/>
            </w:tcBorders>
            <w:vAlign w:val="center"/>
          </w:tcPr>
          <w:p>
            <w:pPr>
              <w:widowControl/>
              <w:spacing w:line="4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公共文化设施免费开放、送戏曲下乡、收听广播、观看电视、观赏电影、读书看报、公共体育设施开放、全民健身服务（共计</w:t>
            </w:r>
            <w:r>
              <w:rPr>
                <w:rFonts w:hint="default" w:ascii="Times New Roman" w:hAnsi="Times New Roman" w:eastAsia="仿宋_GB2312" w:cs="Times New Roman"/>
                <w:color w:val="auto"/>
                <w:sz w:val="24"/>
              </w:rPr>
              <w:t>8</w:t>
            </w:r>
            <w:r>
              <w:rPr>
                <w:rFonts w:hint="default" w:ascii="Times New Roman" w:hAnsi="Times New Roman" w:eastAsia="仿宋_GB2312" w:cs="Times New Roman"/>
                <w:color w:val="auto"/>
                <w:kern w:val="0"/>
                <w:sz w:val="24"/>
              </w:rPr>
              <w:t>项）</w:t>
            </w:r>
          </w:p>
        </w:tc>
      </w:tr>
    </w:tbl>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rPr>
          <w:rFonts w:hint="default" w:ascii="Times New Roman" w:hAnsi="Times New Roman" w:eastAsia="楷体_GB2312" w:cs="Times New Roman"/>
          <w:b/>
          <w:bCs/>
          <w:color w:val="auto"/>
          <w:sz w:val="32"/>
          <w:szCs w:val="32"/>
          <w:lang w:val="en-US" w:eastAsia="zh-CN"/>
        </w:rPr>
      </w:pPr>
      <w:bookmarkStart w:id="285" w:name="_Toc20064"/>
      <w:bookmarkStart w:id="286" w:name="_Toc18115"/>
      <w:bookmarkStart w:id="287" w:name="_Toc1768"/>
      <w:bookmarkStart w:id="288" w:name="_Toc20972"/>
      <w:r>
        <w:rPr>
          <w:rFonts w:hint="default" w:ascii="Times New Roman" w:hAnsi="Times New Roman" w:eastAsia="楷体_GB2312" w:cs="Times New Roman"/>
          <w:b/>
          <w:bCs/>
          <w:color w:val="auto"/>
          <w:sz w:val="32"/>
          <w:szCs w:val="32"/>
          <w:lang w:val="en-US" w:eastAsia="zh-CN"/>
        </w:rPr>
        <w:t>第二节</w:t>
      </w:r>
      <w:r>
        <w:rPr>
          <w:rFonts w:hint="default" w:ascii="Times New Roman" w:hAnsi="Times New Roman" w:cs="Times New Roman"/>
          <w:b/>
          <w:bCs/>
          <w:color w:val="auto"/>
          <w:sz w:val="32"/>
          <w:szCs w:val="32"/>
          <w:lang w:val="en-US" w:eastAsia="zh-CN"/>
        </w:rPr>
        <w:t xml:space="preserve">  提高</w:t>
      </w:r>
      <w:r>
        <w:rPr>
          <w:rFonts w:hint="default" w:ascii="Times New Roman" w:hAnsi="Times New Roman" w:eastAsia="楷体_GB2312" w:cs="Times New Roman"/>
          <w:b/>
          <w:bCs/>
          <w:color w:val="auto"/>
          <w:sz w:val="32"/>
          <w:szCs w:val="32"/>
          <w:lang w:val="en-US" w:eastAsia="zh-CN"/>
        </w:rPr>
        <w:t>公共服务</w:t>
      </w:r>
      <w:r>
        <w:rPr>
          <w:rFonts w:hint="default" w:ascii="Times New Roman" w:hAnsi="Times New Roman" w:cs="Times New Roman"/>
          <w:b/>
          <w:bCs/>
          <w:color w:val="auto"/>
          <w:sz w:val="32"/>
          <w:szCs w:val="32"/>
          <w:lang w:val="en-US" w:eastAsia="zh-CN"/>
        </w:rPr>
        <w:t>资源供给</w:t>
      </w:r>
      <w:bookmarkEnd w:id="278"/>
      <w:bookmarkEnd w:id="284"/>
      <w:r>
        <w:rPr>
          <w:rFonts w:hint="default" w:ascii="Times New Roman" w:hAnsi="Times New Roman" w:cs="Times New Roman"/>
          <w:b/>
          <w:bCs/>
          <w:color w:val="auto"/>
          <w:sz w:val="32"/>
          <w:szCs w:val="32"/>
          <w:lang w:val="en-US" w:eastAsia="zh-CN"/>
        </w:rPr>
        <w:t>效率</w:t>
      </w:r>
      <w:bookmarkEnd w:id="285"/>
      <w:bookmarkEnd w:id="286"/>
      <w:bookmarkEnd w:id="287"/>
      <w:bookmarkEnd w:id="288"/>
    </w:p>
    <w:p>
      <w:pPr>
        <w:keepNext w:val="0"/>
        <w:keepLines w:val="0"/>
        <w:pageBreakBefore w:val="0"/>
        <w:widowControl w:val="0"/>
        <w:kinsoku/>
        <w:wordWrap/>
        <w:overflowPunct/>
        <w:topLinePunct w:val="0"/>
        <w:autoSpaceDE/>
        <w:autoSpaceDN/>
        <w:bidi w:val="0"/>
        <w:snapToGrid/>
        <w:spacing w:line="600" w:lineRule="exact"/>
        <w:ind w:left="0" w:leftChars="0" w:right="0" w:firstLine="64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bCs/>
          <w:color w:val="auto"/>
          <w:kern w:val="2"/>
          <w:sz w:val="32"/>
          <w:szCs w:val="32"/>
          <w:highlight w:val="none"/>
          <w:lang w:val="en-US" w:eastAsia="zh-CN" w:bidi="ar-SA"/>
        </w:rPr>
        <w:t>推动数字技术广泛应用。</w:t>
      </w:r>
      <w:r>
        <w:rPr>
          <w:rFonts w:hint="default" w:ascii="Times New Roman" w:hAnsi="Times New Roman" w:eastAsia="仿宋_GB2312" w:cs="Times New Roman"/>
          <w:color w:val="auto"/>
          <w:kern w:val="0"/>
          <w:sz w:val="32"/>
          <w:szCs w:val="32"/>
        </w:rPr>
        <w:t>大力发展“互联网+公共服务”，培育跨行业跨领域综合性平台和行业垂直平台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推进公共服务同源</w:t>
      </w:r>
      <w:r>
        <w:rPr>
          <w:rFonts w:hint="default" w:ascii="Times New Roman" w:hAnsi="Times New Roman" w:eastAsia="仿宋_GB2312" w:cs="Times New Roman"/>
          <w:color w:val="auto"/>
          <w:kern w:val="0"/>
          <w:sz w:val="32"/>
          <w:szCs w:val="32"/>
          <w:lang w:eastAsia="zh-CN"/>
        </w:rPr>
        <w:t>化</w:t>
      </w:r>
      <w:r>
        <w:rPr>
          <w:rFonts w:hint="default" w:ascii="Times New Roman" w:hAnsi="Times New Roman" w:eastAsia="仿宋_GB2312" w:cs="Times New Roman"/>
          <w:color w:val="auto"/>
          <w:kern w:val="0"/>
          <w:sz w:val="32"/>
          <w:szCs w:val="32"/>
        </w:rPr>
        <w:t>管理</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促进皖事通六安分厅和大数据在政府管理与民生服务中的智慧应用，推动安康码更多场景应用，提升公共服务、社会治理等数字化、智能化水平。</w:t>
      </w:r>
      <w:r>
        <w:rPr>
          <w:rFonts w:hint="default" w:ascii="Times New Roman" w:hAnsi="Times New Roman" w:eastAsia="仿宋_GB2312" w:cs="Times New Roman"/>
          <w:color w:val="auto"/>
          <w:sz w:val="32"/>
          <w:szCs w:val="32"/>
        </w:rPr>
        <w:t>坚持传统服务方式与智能化服务创新并行，加快信息无障碍建设，</w:t>
      </w:r>
      <w:r>
        <w:rPr>
          <w:rFonts w:hint="default" w:ascii="Times New Roman" w:hAnsi="Times New Roman" w:eastAsia="仿宋_GB2312" w:cs="Times New Roman"/>
          <w:color w:val="auto"/>
          <w:kern w:val="0"/>
          <w:sz w:val="32"/>
          <w:szCs w:val="32"/>
        </w:rPr>
        <w:t>引导帮助老年人、残疾人等特殊人群融入信息化社会。</w:t>
      </w:r>
    </w:p>
    <w:p>
      <w:pPr>
        <w:keepNext w:val="0"/>
        <w:keepLines w:val="0"/>
        <w:pageBreakBefore w:val="0"/>
        <w:widowControl w:val="0"/>
        <w:kinsoku/>
        <w:wordWrap/>
        <w:overflowPunct/>
        <w:topLinePunct w:val="0"/>
        <w:autoSpaceDE/>
        <w:autoSpaceDN/>
        <w:bidi w:val="0"/>
        <w:snapToGrid/>
        <w:spacing w:line="600" w:lineRule="exact"/>
        <w:ind w:left="0" w:leftChars="0" w:right="0" w:firstLine="640"/>
        <w:jc w:val="both"/>
        <w:textAlignment w:val="auto"/>
        <w:rPr>
          <w:rFonts w:hint="default" w:ascii="Times New Roman" w:hAnsi="Times New Roman" w:cs="Times New Roman"/>
          <w:color w:val="auto"/>
          <w:highlight w:val="yellow"/>
          <w:lang w:val="en-US" w:eastAsia="zh-CN"/>
        </w:rPr>
      </w:pPr>
      <w:r>
        <w:rPr>
          <w:rFonts w:hint="default" w:ascii="Times New Roman" w:hAnsi="Times New Roman" w:eastAsia="楷体_GB2312" w:cs="Times New Roman"/>
          <w:b/>
          <w:bCs/>
          <w:color w:val="auto"/>
          <w:kern w:val="2"/>
          <w:sz w:val="32"/>
          <w:szCs w:val="32"/>
          <w:highlight w:val="none"/>
          <w:lang w:val="en-US" w:eastAsia="zh-CN" w:bidi="ar-SA"/>
        </w:rPr>
        <w:t>加快信息资源高效融通。</w:t>
      </w:r>
      <w:r>
        <w:rPr>
          <w:rFonts w:hint="default" w:ascii="Times New Roman" w:hAnsi="Times New Roman" w:eastAsia="仿宋_GB2312" w:cs="Times New Roman"/>
          <w:b w:val="0"/>
          <w:bCs w:val="0"/>
          <w:color w:val="auto"/>
          <w:kern w:val="2"/>
          <w:sz w:val="32"/>
          <w:szCs w:val="32"/>
          <w:highlight w:val="none"/>
          <w:lang w:val="en-US" w:eastAsia="zh-CN" w:bidi="ar-SA"/>
        </w:rPr>
        <w:t>推进新型智慧城市及市级云数据中心建设，打造“城市大脑”（数据资源中心），逐步实现政务数据和经济数据、社会数据资源归集整合、开放共享</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加强公共服务基础信息资源集中采集，推动医疗卫生、养老等公共服务领域和政府部门数据有序开放、交换共享</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rPr>
        <w:t>深化“一网一门一次”改革，整合各级各部门政务服务移动端，形成全市统一“皖事通办”移动端。加强公共服务数据安全保障和隐私保护。</w:t>
      </w:r>
    </w:p>
    <w:p>
      <w:pPr>
        <w:keepNext w:val="0"/>
        <w:keepLines w:val="0"/>
        <w:pageBreakBefore w:val="0"/>
        <w:widowControl w:val="0"/>
        <w:kinsoku/>
        <w:wordWrap/>
        <w:overflowPunct/>
        <w:topLinePunct w:val="0"/>
        <w:autoSpaceDE/>
        <w:autoSpaceDN/>
        <w:bidi w:val="0"/>
        <w:snapToGrid/>
        <w:spacing w:line="600" w:lineRule="exact"/>
        <w:ind w:left="0" w:leftChars="0" w:right="0" w:firstLine="64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bCs/>
          <w:color w:val="auto"/>
          <w:kern w:val="2"/>
          <w:sz w:val="32"/>
          <w:szCs w:val="32"/>
          <w:highlight w:val="none"/>
          <w:lang w:val="en-US" w:eastAsia="zh-CN" w:bidi="ar-SA"/>
        </w:rPr>
        <w:t>推动公共服务资源向基层下沉。</w:t>
      </w:r>
      <w:r>
        <w:rPr>
          <w:rFonts w:hint="default" w:ascii="Times New Roman" w:hAnsi="Times New Roman" w:eastAsia="仿宋_GB2312" w:cs="Times New Roman"/>
          <w:color w:val="auto"/>
          <w:sz w:val="32"/>
          <w:szCs w:val="32"/>
        </w:rPr>
        <w:t>规范乡镇（街道）政务服务、公共服务、公共安全等事项，将直接面向群众、乡镇（街道）能够承接的服务事项依法下放。</w:t>
      </w:r>
      <w:r>
        <w:rPr>
          <w:rFonts w:hint="default" w:ascii="Times New Roman" w:hAnsi="Times New Roman" w:eastAsia="仿宋_GB2312" w:cs="Times New Roman"/>
          <w:color w:val="auto"/>
          <w:sz w:val="32"/>
          <w:szCs w:val="32"/>
          <w:highlight w:val="none"/>
          <w:lang w:val="en-US" w:eastAsia="zh-CN"/>
        </w:rPr>
        <w:t>推动</w:t>
      </w:r>
      <w:r>
        <w:rPr>
          <w:rFonts w:hint="default" w:ascii="Times New Roman" w:hAnsi="Times New Roman" w:eastAsia="仿宋_GB2312" w:cs="Times New Roman"/>
          <w:color w:val="auto"/>
          <w:kern w:val="0"/>
          <w:sz w:val="32"/>
          <w:szCs w:val="32"/>
        </w:rPr>
        <w:t>医疗卫生、就业社保、养老托育、扶残助残、家政服务、物流商超、治安执法、纠纷调处、心理援助等便民服务场景有机集成并精准对接</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推</w:t>
      </w:r>
      <w:r>
        <w:rPr>
          <w:rFonts w:hint="default" w:ascii="Times New Roman" w:hAnsi="Times New Roman" w:eastAsia="仿宋_GB2312" w:cs="Times New Roman"/>
          <w:color w:val="auto"/>
          <w:kern w:val="0"/>
          <w:sz w:val="32"/>
          <w:szCs w:val="32"/>
          <w:lang w:val="en-US" w:eastAsia="zh-CN"/>
        </w:rPr>
        <w:t>进</w:t>
      </w:r>
      <w:r>
        <w:rPr>
          <w:rFonts w:hint="default" w:ascii="Times New Roman" w:hAnsi="Times New Roman" w:eastAsia="仿宋_GB2312" w:cs="Times New Roman"/>
          <w:color w:val="auto"/>
          <w:kern w:val="0"/>
          <w:sz w:val="32"/>
          <w:szCs w:val="32"/>
        </w:rPr>
        <w:t>社区综合服务中心等基层公共服务供给站点与以社区网格员为主体搭建的社会治理网络有机结合。</w:t>
      </w:r>
      <w:r>
        <w:rPr>
          <w:rFonts w:hint="default" w:ascii="Times New Roman" w:hAnsi="Times New Roman" w:eastAsia="仿宋_GB2312" w:cs="Times New Roman"/>
          <w:color w:val="auto"/>
          <w:sz w:val="32"/>
          <w:szCs w:val="32"/>
          <w:highlight w:val="none"/>
        </w:rPr>
        <w:t>拓展基层公共服务管理职能，打造专业化专职化的城乡社区工作者队伍</w:t>
      </w:r>
      <w:r>
        <w:rPr>
          <w:rFonts w:hint="default" w:ascii="Times New Roman" w:hAnsi="Times New Roman" w:eastAsia="仿宋_GB2312" w:cs="Times New Roman"/>
          <w:color w:val="auto"/>
          <w:sz w:val="32"/>
          <w:szCs w:val="32"/>
          <w:highlight w:val="none"/>
          <w:lang w:eastAsia="zh-CN"/>
        </w:rPr>
        <w:t>。</w:t>
      </w:r>
    </w:p>
    <w:p>
      <w:pPr>
        <w:pStyle w:val="6"/>
        <w:bidi w:val="0"/>
        <w:rPr>
          <w:rFonts w:hint="default" w:ascii="Times New Roman" w:hAnsi="Times New Roman" w:eastAsia="黑体" w:cs="Times New Roman"/>
          <w:color w:val="auto"/>
          <w:lang w:val="en-US" w:eastAsia="zh-CN"/>
        </w:rPr>
      </w:pPr>
      <w:r>
        <w:rPr>
          <w:rFonts w:hint="default" w:ascii="Times New Roman" w:hAnsi="Times New Roman" w:cs="Times New Roman"/>
          <w:color w:val="auto"/>
        </w:rPr>
        <w:t xml:space="preserve">专栏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SEQ 专栏 \* ARABIC </w:instrText>
      </w:r>
      <w:r>
        <w:rPr>
          <w:rFonts w:hint="default" w:ascii="Times New Roman" w:hAnsi="Times New Roman" w:cs="Times New Roman"/>
          <w:color w:val="auto"/>
        </w:rPr>
        <w:fldChar w:fldCharType="separate"/>
      </w:r>
      <w:r>
        <w:rPr>
          <w:rFonts w:hint="default" w:ascii="Times New Roman" w:hAnsi="Times New Roman" w:cs="Times New Roman"/>
          <w:color w:val="auto"/>
        </w:rPr>
        <w:t>14</w:t>
      </w:r>
      <w:r>
        <w:rPr>
          <w:rFonts w:hint="default" w:ascii="Times New Roman" w:hAnsi="Times New Roman" w:cs="Times New Roman"/>
          <w:color w:val="auto"/>
        </w:rPr>
        <w:fldChar w:fldCharType="end"/>
      </w:r>
      <w:bookmarkStart w:id="289" w:name="_Toc20884"/>
      <w:r>
        <w:rPr>
          <w:rFonts w:hint="default" w:ascii="Times New Roman" w:hAnsi="Times New Roman" w:cs="Times New Roman"/>
          <w:color w:val="auto"/>
          <w:lang w:val="en-US" w:eastAsia="zh-CN"/>
        </w:rPr>
        <w:t xml:space="preserve"> 智慧服务发展重点工程</w:t>
      </w:r>
      <w:bookmarkEnd w:id="289"/>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center"/>
          </w:tcPr>
          <w:p>
            <w:pPr>
              <w:spacing w:line="400" w:lineRule="exact"/>
              <w:ind w:firstLine="482"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b/>
                <w:bCs/>
                <w:color w:val="auto"/>
                <w:sz w:val="24"/>
              </w:rPr>
              <w:t>1.</w:t>
            </w:r>
            <w:r>
              <w:rPr>
                <w:rFonts w:hint="default" w:ascii="Times New Roman" w:hAnsi="Times New Roman" w:eastAsia="仿宋_GB2312" w:cs="Times New Roman"/>
                <w:b/>
                <w:bCs/>
                <w:color w:val="auto"/>
                <w:sz w:val="24"/>
                <w:lang w:val="en-US" w:eastAsia="zh-CN"/>
              </w:rPr>
              <w:t>智慧社区。</w:t>
            </w:r>
            <w:r>
              <w:rPr>
                <w:rFonts w:hint="default" w:ascii="Times New Roman" w:hAnsi="Times New Roman" w:eastAsia="仿宋_GB2312" w:cs="Times New Roman"/>
                <w:color w:val="auto"/>
                <w:sz w:val="24"/>
              </w:rPr>
              <w:t>每年选择2-3个社区，推进智慧社区建设，</w:t>
            </w:r>
            <w:r>
              <w:rPr>
                <w:rFonts w:hint="default" w:ascii="Times New Roman" w:hAnsi="Times New Roman" w:eastAsia="仿宋_GB2312" w:cs="Times New Roman"/>
                <w:color w:val="auto"/>
                <w:sz w:val="24"/>
                <w:lang w:eastAsia="zh-CN"/>
              </w:rPr>
              <w:t>加快建设</w:t>
            </w:r>
            <w:r>
              <w:rPr>
                <w:rFonts w:hint="default" w:ascii="Times New Roman" w:hAnsi="Times New Roman" w:eastAsia="仿宋_GB2312" w:cs="Times New Roman"/>
                <w:color w:val="auto"/>
                <w:sz w:val="24"/>
                <w:lang w:val="en-US" w:eastAsia="zh-CN"/>
              </w:rPr>
              <w:t>智慧社区综合管理服务平台，打造集政务服务、养老服务、商业服务、指挥调度管理、社区资源管理、治安安全防范、社区风险预警等功能于一体的“未来社区”样板，</w:t>
            </w:r>
            <w:r>
              <w:rPr>
                <w:rFonts w:hint="default" w:ascii="Times New Roman" w:hAnsi="Times New Roman" w:eastAsia="仿宋_GB2312" w:cs="Times New Roman"/>
                <w:color w:val="auto"/>
                <w:sz w:val="24"/>
              </w:rPr>
              <w:t>推进社区协同化、精细化和精准化的治理体系与和便民服务体系建设。</w:t>
            </w:r>
          </w:p>
          <w:p>
            <w:pPr>
              <w:spacing w:line="400" w:lineRule="exact"/>
              <w:ind w:firstLine="482"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b/>
                <w:bCs/>
                <w:color w:val="auto"/>
                <w:sz w:val="24"/>
                <w:lang w:val="en-US" w:eastAsia="zh-CN"/>
              </w:rPr>
              <w:t>2.</w:t>
            </w:r>
            <w:r>
              <w:rPr>
                <w:rFonts w:hint="default" w:ascii="Times New Roman" w:hAnsi="Times New Roman" w:eastAsia="仿宋_GB2312" w:cs="Times New Roman"/>
                <w:b/>
                <w:bCs/>
                <w:color w:val="auto"/>
                <w:sz w:val="24"/>
              </w:rPr>
              <w:t>智慧养老</w:t>
            </w:r>
            <w:r>
              <w:rPr>
                <w:rFonts w:hint="default" w:ascii="Times New Roman" w:hAnsi="Times New Roman" w:eastAsia="仿宋_GB2312" w:cs="Times New Roman"/>
                <w:b/>
                <w:bCs/>
                <w:color w:val="auto"/>
                <w:sz w:val="24"/>
                <w:lang w:eastAsia="zh-CN"/>
              </w:rPr>
              <w:t>。</w:t>
            </w:r>
            <w:r>
              <w:rPr>
                <w:rFonts w:hint="default" w:ascii="Times New Roman" w:hAnsi="Times New Roman" w:eastAsia="仿宋_GB2312" w:cs="Times New Roman"/>
                <w:b w:val="0"/>
                <w:bCs w:val="0"/>
                <w:color w:val="auto"/>
                <w:sz w:val="24"/>
                <w:lang w:eastAsia="zh-CN"/>
              </w:rPr>
              <w:t>依托</w:t>
            </w:r>
            <w:r>
              <w:rPr>
                <w:rFonts w:hint="default" w:ascii="Times New Roman" w:hAnsi="Times New Roman" w:eastAsia="仿宋_GB2312" w:cs="Times New Roman"/>
                <w:b w:val="0"/>
                <w:bCs w:val="0"/>
                <w:color w:val="auto"/>
                <w:sz w:val="24"/>
                <w:lang w:val="en-US" w:eastAsia="zh-CN"/>
              </w:rPr>
              <w:t>安徽省养老服务综合信息系统建设，鼓励各县（区）建立健全覆盖本辖区老年人的养老信息化服务平台，积极对接餐饮、家政、健康等为老服务主体，实现线上线下老年人助餐助医助急等供需匹配和服务信息无缝连接</w:t>
            </w:r>
            <w:r>
              <w:rPr>
                <w:rFonts w:hint="default" w:ascii="Times New Roman" w:hAnsi="Times New Roman" w:eastAsia="仿宋_GB2312" w:cs="Times New Roman"/>
                <w:color w:val="auto"/>
                <w:sz w:val="24"/>
              </w:rPr>
              <w:t>。</w:t>
            </w:r>
          </w:p>
          <w:p>
            <w:pPr>
              <w:spacing w:line="400" w:lineRule="exact"/>
              <w:ind w:firstLine="482" w:firstLineChars="20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bCs/>
                <w:color w:val="auto"/>
                <w:sz w:val="24"/>
                <w:lang w:val="en-US" w:eastAsia="zh-CN"/>
              </w:rPr>
              <w:t>3.智慧文旅。</w:t>
            </w:r>
            <w:r>
              <w:rPr>
                <w:rFonts w:hint="default" w:ascii="Times New Roman" w:hAnsi="Times New Roman" w:eastAsia="仿宋_GB2312" w:cs="Times New Roman"/>
                <w:color w:val="auto"/>
                <w:sz w:val="24"/>
              </w:rPr>
              <w:t>提升“六安文旅”平台服务功能，构建“咨询中心+咨询台+自助终端”的全域化旅游咨询服务体系</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推动景区WiFi全覆盖建设，对景区门票闸机系统、PMS</w:t>
            </w:r>
            <w:r>
              <w:rPr>
                <w:rFonts w:hint="default" w:ascii="Times New Roman" w:hAnsi="Times New Roman" w:eastAsia="仿宋_GB2312" w:cs="Times New Roman"/>
                <w:color w:val="auto"/>
                <w:sz w:val="24"/>
                <w:lang w:eastAsia="zh-CN"/>
              </w:rPr>
              <w:t>预订</w:t>
            </w:r>
            <w:r>
              <w:rPr>
                <w:rFonts w:hint="default" w:ascii="Times New Roman" w:hAnsi="Times New Roman" w:eastAsia="仿宋_GB2312" w:cs="Times New Roman"/>
                <w:color w:val="auto"/>
                <w:sz w:val="24"/>
              </w:rPr>
              <w:t>管理系统、财务进销存系统、客源管理系统及服务中台进行全面升级，支持重点景区开展智慧景区示范点建设</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推进文化资源数字采集工作</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探索物联感知、AR/VR、三维全息影像等新技术应用</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推动六安市“三馆一站”数字化建设</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探索“5G+4K+AI”智慧融媒体建设。</w:t>
            </w:r>
          </w:p>
        </w:tc>
      </w:tr>
    </w:tbl>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left="0" w:leftChars="0" w:firstLine="0" w:firstLineChars="0"/>
        <w:jc w:val="center"/>
        <w:textAlignment w:val="auto"/>
        <w:rPr>
          <w:rFonts w:hint="default" w:ascii="Times New Roman" w:hAnsi="Times New Roman" w:eastAsia="楷体_GB2312" w:cs="Times New Roman"/>
          <w:b/>
          <w:bCs/>
          <w:color w:val="auto"/>
          <w:sz w:val="32"/>
          <w:szCs w:val="32"/>
          <w:lang w:val="en-US" w:eastAsia="zh-CN"/>
        </w:rPr>
      </w:pPr>
      <w:bookmarkStart w:id="290" w:name="_Toc25881"/>
      <w:bookmarkStart w:id="291" w:name="_Toc9477"/>
      <w:bookmarkStart w:id="292" w:name="_Toc11801"/>
      <w:bookmarkStart w:id="293" w:name="_Toc3445"/>
      <w:bookmarkStart w:id="294" w:name="_Toc527"/>
      <w:r>
        <w:rPr>
          <w:rFonts w:hint="default" w:ascii="Times New Roman" w:hAnsi="Times New Roman" w:eastAsia="楷体_GB2312" w:cs="Times New Roman"/>
          <w:b/>
          <w:bCs/>
          <w:color w:val="auto"/>
          <w:sz w:val="32"/>
          <w:szCs w:val="32"/>
          <w:lang w:val="en-US" w:eastAsia="zh-CN"/>
        </w:rPr>
        <w:t>第三节</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lang w:val="en-US" w:eastAsia="zh-CN"/>
        </w:rPr>
        <w:t>加大公共服务多元化保障</w:t>
      </w:r>
      <w:bookmarkEnd w:id="290"/>
      <w:bookmarkEnd w:id="291"/>
      <w:bookmarkEnd w:id="292"/>
      <w:bookmarkEnd w:id="293"/>
      <w:bookmarkEnd w:id="294"/>
      <w:bookmarkStart w:id="295" w:name="_Toc87883551"/>
    </w:p>
    <w:p>
      <w:pPr>
        <w:keepNext w:val="0"/>
        <w:keepLines w:val="0"/>
        <w:pageBreakBefore w:val="0"/>
        <w:widowControl w:val="0"/>
        <w:kinsoku/>
        <w:wordWrap/>
        <w:overflowPunct/>
        <w:topLinePunct w:val="0"/>
        <w:autoSpaceDE/>
        <w:autoSpaceDN/>
        <w:bidi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bCs/>
          <w:color w:val="auto"/>
          <w:sz w:val="32"/>
          <w:szCs w:val="32"/>
          <w:highlight w:val="none"/>
          <w:lang w:val="en-US" w:eastAsia="zh-CN"/>
        </w:rPr>
        <w:t>发挥国有资本带头作用。</w:t>
      </w:r>
      <w:r>
        <w:rPr>
          <w:rFonts w:hint="default" w:ascii="Times New Roman" w:hAnsi="Times New Roman" w:eastAsia="仿宋_GB2312" w:cs="Times New Roman"/>
          <w:b w:val="0"/>
          <w:bCs w:val="0"/>
          <w:color w:val="auto"/>
          <w:sz w:val="32"/>
          <w:szCs w:val="32"/>
          <w:highlight w:val="none"/>
        </w:rPr>
        <w:t>明确国有经济参与领域和条件</w:t>
      </w:r>
      <w:r>
        <w:rPr>
          <w:rFonts w:hint="default" w:ascii="Times New Roman" w:hAnsi="Times New Roman" w:eastAsia="仿宋_GB2312" w:cs="Times New Roman"/>
          <w:b w:val="0"/>
          <w:bCs w:val="0"/>
          <w:color w:val="auto"/>
          <w:sz w:val="32"/>
          <w:szCs w:val="32"/>
          <w:highlight w:val="none"/>
          <w:lang w:val="en-US" w:eastAsia="zh-CN"/>
        </w:rPr>
        <w:t>，全面清理整合涉及国有资本进入公共服务领域的行政审批事项，</w:t>
      </w:r>
      <w:r>
        <w:rPr>
          <w:rFonts w:hint="default" w:ascii="Times New Roman" w:hAnsi="Times New Roman" w:eastAsia="仿宋_GB2312" w:cs="Times New Roman"/>
          <w:b w:val="0"/>
          <w:bCs w:val="0"/>
          <w:color w:val="auto"/>
          <w:kern w:val="2"/>
          <w:sz w:val="32"/>
          <w:szCs w:val="32"/>
          <w:highlight w:val="none"/>
          <w:lang w:val="en-US" w:eastAsia="zh-CN" w:bidi="ar-SA"/>
        </w:rPr>
        <w:t>推动国有资本在公共服务关键领域带头介入，发挥更大作用。支持国有经济以兼并、收购、承包等多种形式参与社会公共服务，拓宽国有经济进入渠道。鼓励国有经济参与社会公共服务并做大做强，重点培育一批实力雄厚、具有较强竞争力和影响力的大型社会公共服务企业和企业集团。</w:t>
      </w:r>
    </w:p>
    <w:p>
      <w:pPr>
        <w:spacing w:line="58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kern w:val="2"/>
          <w:sz w:val="32"/>
          <w:szCs w:val="32"/>
          <w:lang w:val="en-US" w:eastAsia="zh-CN" w:bidi="ar-SA"/>
        </w:rPr>
        <w:t>深化事业单位改革。</w:t>
      </w:r>
      <w:r>
        <w:rPr>
          <w:rFonts w:hint="default" w:ascii="Times New Roman" w:hAnsi="Times New Roman" w:eastAsia="仿宋_GB2312" w:cs="Times New Roman"/>
          <w:color w:val="auto"/>
          <w:kern w:val="2"/>
          <w:sz w:val="32"/>
          <w:szCs w:val="32"/>
          <w:lang w:val="en-US" w:eastAsia="zh-CN" w:bidi="ar-SA"/>
        </w:rPr>
        <w:t>明确事业单位功能定位，强化公益属性，积极推进政事分开、事企分开、管办分离，提高治理效能。</w:t>
      </w:r>
      <w:r>
        <w:rPr>
          <w:rFonts w:hint="default" w:ascii="Times New Roman" w:hAnsi="Times New Roman" w:eastAsia="仿宋_GB2312" w:cs="Times New Roman"/>
          <w:color w:val="auto"/>
          <w:sz w:val="32"/>
          <w:szCs w:val="32"/>
        </w:rPr>
        <w:t>统筹盘活用好低效配置的事业编制资源，</w:t>
      </w:r>
      <w:r>
        <w:rPr>
          <w:rFonts w:hint="default" w:ascii="Times New Roman" w:hAnsi="Times New Roman" w:eastAsia="仿宋_GB2312" w:cs="Times New Roman"/>
          <w:color w:val="auto"/>
          <w:sz w:val="32"/>
          <w:szCs w:val="32"/>
          <w:lang w:val="en-US" w:eastAsia="zh-CN"/>
        </w:rPr>
        <w:t>保障</w:t>
      </w:r>
      <w:r>
        <w:rPr>
          <w:rFonts w:hint="default" w:ascii="Times New Roman" w:hAnsi="Times New Roman" w:eastAsia="仿宋_GB2312" w:cs="Times New Roman"/>
          <w:color w:val="auto"/>
          <w:sz w:val="32"/>
          <w:szCs w:val="32"/>
        </w:rPr>
        <w:t>义务教育、公共卫生、基本医疗、公共文化等</w:t>
      </w:r>
      <w:r>
        <w:rPr>
          <w:rFonts w:hint="default" w:ascii="Times New Roman" w:hAnsi="Times New Roman" w:eastAsia="仿宋_GB2312" w:cs="Times New Roman"/>
          <w:color w:val="auto"/>
          <w:sz w:val="32"/>
          <w:szCs w:val="32"/>
          <w:lang w:val="en-US" w:eastAsia="zh-CN"/>
        </w:rPr>
        <w:t>基本公共服务重点领域用编</w:t>
      </w:r>
      <w:r>
        <w:rPr>
          <w:rFonts w:hint="default" w:ascii="Times New Roman" w:hAnsi="Times New Roman" w:eastAsia="仿宋_GB2312" w:cs="Times New Roman"/>
          <w:color w:val="auto"/>
          <w:sz w:val="32"/>
          <w:szCs w:val="32"/>
        </w:rPr>
        <w:t>需求</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sz w:val="32"/>
          <w:szCs w:val="32"/>
        </w:rPr>
        <w:t>能够通过政府购买等方式提供的公共服务，不再直接举办事业单位提供。</w:t>
      </w:r>
    </w:p>
    <w:p>
      <w:pPr>
        <w:spacing w:line="580" w:lineRule="exact"/>
        <w:ind w:firstLine="643" w:firstLineChars="200"/>
        <w:outlineLvl w:val="9"/>
        <w:rPr>
          <w:rFonts w:hint="default" w:ascii="Times New Roman" w:hAnsi="Times New Roman" w:eastAsia="仿宋_GB2312" w:cs="Times New Roman"/>
          <w:b/>
          <w:bCs/>
          <w:color w:val="auto"/>
          <w:kern w:val="2"/>
          <w:sz w:val="32"/>
          <w:szCs w:val="32"/>
          <w:highlight w:val="yellow"/>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优化市场力量参与环境。</w:t>
      </w:r>
      <w:r>
        <w:rPr>
          <w:rFonts w:hint="default" w:ascii="Times New Roman" w:hAnsi="Times New Roman" w:eastAsia="仿宋_GB2312" w:cs="Times New Roman"/>
          <w:color w:val="auto"/>
          <w:sz w:val="32"/>
          <w:szCs w:val="32"/>
          <w:lang w:bidi="ar"/>
        </w:rPr>
        <w:t>降低公共服务领域市场准入门</w:t>
      </w:r>
      <w:r>
        <w:rPr>
          <w:rFonts w:hint="default" w:ascii="Times New Roman" w:hAnsi="Times New Roman" w:eastAsia="仿宋_GB2312" w:cs="Times New Roman"/>
          <w:color w:val="auto"/>
          <w:sz w:val="32"/>
          <w:szCs w:val="32"/>
          <w:highlight w:val="none"/>
        </w:rPr>
        <w:t>槛，鼓励政府向社会力量购买公共服务，扩大民间资本投资服务领域开放度。持续精简行政审批环节，优化审批流程，规范审批行为。</w:t>
      </w:r>
      <w:r>
        <w:rPr>
          <w:rFonts w:hint="default" w:ascii="Times New Roman" w:hAnsi="Times New Roman" w:eastAsia="仿宋_GB2312" w:cs="Times New Roman"/>
          <w:color w:val="auto"/>
          <w:sz w:val="32"/>
          <w:szCs w:val="32"/>
          <w:highlight w:val="none"/>
          <w:lang w:val="en-US" w:eastAsia="zh-CN"/>
        </w:rPr>
        <w:t>统筹用好土地、税收、金融等多种支持政策，</w:t>
      </w:r>
      <w:r>
        <w:rPr>
          <w:rFonts w:hint="default" w:ascii="Times New Roman" w:hAnsi="Times New Roman" w:eastAsia="仿宋_GB2312" w:cs="Times New Roman"/>
          <w:color w:val="auto"/>
          <w:sz w:val="32"/>
          <w:szCs w:val="32"/>
          <w:highlight w:val="none"/>
        </w:rPr>
        <w:t>鼓励社会力量通过公建民营、政府购买服务、政府和社会资本合作（PPP）等方式参与公共服务供给。</w:t>
      </w:r>
    </w:p>
    <w:p>
      <w:pPr>
        <w:keepNext w:val="0"/>
        <w:keepLines w:val="0"/>
        <w:pageBreakBefore w:val="0"/>
        <w:widowControl w:val="0"/>
        <w:kinsoku/>
        <w:wordWrap/>
        <w:overflowPunct/>
        <w:topLinePunct w:val="0"/>
        <w:autoSpaceDE/>
        <w:autoSpaceDN/>
        <w:bidi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kern w:val="2"/>
          <w:sz w:val="32"/>
          <w:szCs w:val="32"/>
          <w:lang w:val="en-US" w:eastAsia="zh-CN" w:bidi="ar-SA"/>
        </w:rPr>
        <w:t>支持社会组织壮大升级。</w:t>
      </w:r>
      <w:r>
        <w:rPr>
          <w:rFonts w:hint="default" w:ascii="Times New Roman" w:hAnsi="Times New Roman" w:eastAsia="仿宋_GB2312" w:cs="Times New Roman"/>
          <w:color w:val="auto"/>
          <w:sz w:val="32"/>
          <w:szCs w:val="32"/>
        </w:rPr>
        <w:t>大力培育发</w:t>
      </w:r>
      <w:r>
        <w:rPr>
          <w:rFonts w:hint="default" w:ascii="Times New Roman" w:hAnsi="Times New Roman" w:eastAsia="仿宋_GB2312" w:cs="Times New Roman"/>
          <w:color w:val="auto"/>
          <w:sz w:val="32"/>
          <w:szCs w:val="32"/>
          <w:lang w:eastAsia="zh-CN"/>
        </w:rPr>
        <w:t>展</w:t>
      </w:r>
      <w:r>
        <w:rPr>
          <w:rFonts w:hint="default" w:ascii="Times New Roman" w:hAnsi="Times New Roman" w:eastAsia="仿宋_GB2312" w:cs="Times New Roman"/>
          <w:color w:val="auto"/>
          <w:kern w:val="2"/>
          <w:sz w:val="32"/>
          <w:szCs w:val="32"/>
          <w:lang w:val="en-US" w:eastAsia="zh-CN" w:bidi="ar-SA"/>
        </w:rPr>
        <w:t>服务类</w:t>
      </w:r>
      <w:r>
        <w:rPr>
          <w:rFonts w:hint="default" w:ascii="Times New Roman" w:hAnsi="Times New Roman" w:eastAsia="仿宋_GB2312" w:cs="Times New Roman"/>
          <w:color w:val="auto"/>
          <w:sz w:val="32"/>
          <w:szCs w:val="32"/>
          <w:lang w:val="en-US" w:eastAsia="zh-CN"/>
        </w:rPr>
        <w:t>社区</w:t>
      </w:r>
      <w:r>
        <w:rPr>
          <w:rFonts w:hint="default" w:ascii="Times New Roman" w:hAnsi="Times New Roman" w:eastAsia="仿宋_GB2312" w:cs="Times New Roman"/>
          <w:color w:val="auto"/>
          <w:kern w:val="2"/>
          <w:sz w:val="32"/>
          <w:szCs w:val="32"/>
          <w:lang w:val="en-US" w:eastAsia="zh-CN" w:bidi="ar-SA"/>
        </w:rPr>
        <w:t>社会组织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社会工作类社会组织和慈善组织，</w:t>
      </w:r>
      <w:r>
        <w:rPr>
          <w:rFonts w:hint="default" w:ascii="Times New Roman" w:hAnsi="Times New Roman" w:eastAsia="仿宋_GB2312" w:cs="Times New Roman"/>
          <w:color w:val="auto"/>
          <w:sz w:val="32"/>
          <w:szCs w:val="32"/>
          <w:lang w:eastAsia="zh-CN"/>
        </w:rPr>
        <w:t>引导社会工作者、志愿者积极参与社会组织发展。</w:t>
      </w:r>
      <w:r>
        <w:rPr>
          <w:rFonts w:hint="default" w:ascii="Times New Roman" w:hAnsi="Times New Roman" w:eastAsia="仿宋_GB2312" w:cs="Times New Roman"/>
          <w:color w:val="auto"/>
          <w:sz w:val="32"/>
          <w:szCs w:val="32"/>
        </w:rPr>
        <w:t>建立社会组织、志愿者参与社会公共服务的长效机制，促进志愿服务活动常态化、制度化和规范化。逐步扩大政府向社会组织购买服务的范围和规模，</w:t>
      </w:r>
      <w:r>
        <w:rPr>
          <w:rFonts w:hint="default" w:ascii="Times New Roman" w:hAnsi="Times New Roman" w:eastAsia="仿宋_GB2312" w:cs="Times New Roman"/>
          <w:color w:val="auto"/>
          <w:kern w:val="2"/>
          <w:sz w:val="32"/>
          <w:szCs w:val="32"/>
          <w:lang w:val="en-US" w:eastAsia="zh-CN" w:bidi="ar-SA"/>
        </w:rPr>
        <w:t>同等条件下优先向社会组织推介优质项目及购买服务。</w:t>
      </w:r>
    </w:p>
    <w:p>
      <w:pPr>
        <w:pStyle w:val="3"/>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exact"/>
        <w:ind w:left="0" w:leftChars="0" w:firstLine="0" w:firstLineChars="0"/>
        <w:jc w:val="center"/>
        <w:textAlignment w:val="auto"/>
        <w:rPr>
          <w:rFonts w:hint="default" w:ascii="Times New Roman" w:hAnsi="Times New Roman" w:eastAsia="黑体" w:cs="Times New Roman"/>
          <w:b/>
          <w:bCs/>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bookmarkStart w:id="296" w:name="_Toc11688"/>
    </w:p>
    <w:p>
      <w:pPr>
        <w:pStyle w:val="3"/>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exact"/>
        <w:ind w:left="0" w:leftChars="0" w:firstLine="0" w:firstLineChars="0"/>
        <w:jc w:val="center"/>
        <w:textAlignment w:val="auto"/>
        <w:rPr>
          <w:rFonts w:hint="default" w:ascii="Times New Roman" w:hAnsi="Times New Roman" w:eastAsia="黑体" w:cs="Times New Roman"/>
          <w:b/>
          <w:bCs/>
          <w:color w:val="auto"/>
          <w:sz w:val="32"/>
          <w:szCs w:val="32"/>
          <w:highlight w:val="none"/>
          <w:lang w:val="en-US" w:eastAsia="zh-CN"/>
        </w:rPr>
      </w:pPr>
      <w:bookmarkStart w:id="297" w:name="_Toc28959"/>
      <w:bookmarkStart w:id="298" w:name="_Toc2381"/>
      <w:bookmarkStart w:id="299" w:name="_Toc9316"/>
      <w:bookmarkStart w:id="300" w:name="_Toc8510"/>
      <w:r>
        <w:rPr>
          <w:rFonts w:hint="default" w:ascii="Times New Roman" w:hAnsi="Times New Roman" w:eastAsia="黑体" w:cs="Times New Roman"/>
          <w:b/>
          <w:bCs/>
          <w:color w:val="auto"/>
          <w:sz w:val="32"/>
          <w:szCs w:val="32"/>
          <w:highlight w:val="none"/>
          <w:lang w:val="en-US" w:eastAsia="zh-CN"/>
        </w:rPr>
        <w:t>第十四章</w:t>
      </w:r>
      <w:r>
        <w:rPr>
          <w:rFonts w:hint="default" w:ascii="Times New Roman" w:hAnsi="Times New Roman" w:cs="Times New Roman"/>
          <w:b/>
          <w:bCs/>
          <w:color w:val="auto"/>
          <w:sz w:val="32"/>
          <w:szCs w:val="32"/>
          <w:highlight w:val="none"/>
          <w:lang w:val="en-US" w:eastAsia="zh-CN"/>
        </w:rPr>
        <w:t xml:space="preserve">  </w:t>
      </w:r>
      <w:r>
        <w:rPr>
          <w:rFonts w:hint="default" w:ascii="Times New Roman" w:hAnsi="Times New Roman" w:eastAsia="黑体" w:cs="Times New Roman"/>
          <w:b/>
          <w:bCs/>
          <w:color w:val="auto"/>
          <w:sz w:val="32"/>
          <w:szCs w:val="32"/>
          <w:highlight w:val="none"/>
          <w:lang w:val="en-US" w:eastAsia="zh-CN"/>
        </w:rPr>
        <w:t>加大规划实施保障力度</w:t>
      </w:r>
      <w:bookmarkEnd w:id="295"/>
      <w:bookmarkEnd w:id="296"/>
      <w:bookmarkEnd w:id="297"/>
      <w:bookmarkEnd w:id="298"/>
      <w:bookmarkEnd w:id="299"/>
      <w:bookmarkEnd w:id="300"/>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rPr>
          <w:rFonts w:hint="default" w:ascii="Times New Roman" w:hAnsi="Times New Roman" w:eastAsia="楷体_GB2312" w:cs="Times New Roman"/>
          <w:b/>
          <w:bCs/>
          <w:color w:val="auto"/>
          <w:sz w:val="32"/>
          <w:szCs w:val="32"/>
          <w:lang w:val="en-US" w:eastAsia="zh-CN"/>
        </w:rPr>
      </w:pPr>
      <w:bookmarkStart w:id="301" w:name="_Toc31624"/>
      <w:bookmarkStart w:id="302" w:name="_Toc17693"/>
      <w:bookmarkStart w:id="303" w:name="_Toc31992"/>
      <w:bookmarkStart w:id="304" w:name="_Toc87883552"/>
      <w:bookmarkStart w:id="305" w:name="_Toc15981"/>
      <w:bookmarkStart w:id="306" w:name="_Toc12212"/>
      <w:r>
        <w:rPr>
          <w:rFonts w:hint="default" w:ascii="Times New Roman" w:hAnsi="Times New Roman" w:eastAsia="楷体_GB2312" w:cs="Times New Roman"/>
          <w:b/>
          <w:bCs/>
          <w:color w:val="auto"/>
          <w:sz w:val="32"/>
          <w:szCs w:val="32"/>
          <w:lang w:val="en-US" w:eastAsia="zh-CN"/>
        </w:rPr>
        <w:t>第一节</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lang w:val="en-US" w:eastAsia="zh-CN"/>
        </w:rPr>
        <w:t>加强党的领导</w:t>
      </w:r>
      <w:bookmarkEnd w:id="301"/>
      <w:bookmarkEnd w:id="302"/>
      <w:bookmarkEnd w:id="303"/>
      <w:bookmarkEnd w:id="304"/>
      <w:bookmarkEnd w:id="305"/>
      <w:bookmarkEnd w:id="306"/>
    </w:p>
    <w:p>
      <w:pPr>
        <w:keepNext w:val="0"/>
        <w:keepLines w:val="0"/>
        <w:pageBreakBefore w:val="0"/>
        <w:widowControl w:val="0"/>
        <w:kinsoku/>
        <w:wordWrap/>
        <w:overflowPunct/>
        <w:topLinePunct w:val="0"/>
        <w:autoSpaceDE/>
        <w:autoSpaceDN/>
        <w:bidi w:val="0"/>
        <w:snapToGrid/>
        <w:spacing w:line="60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坚持党的全面领导，深入学习贯彻习近平新时代中国特色社会主义思想，切实增强“四个意识”，坚定“四个自信”，做到“两个维护”，</w:t>
      </w:r>
      <w:r>
        <w:rPr>
          <w:rFonts w:hint="default" w:ascii="Times New Roman" w:hAnsi="Times New Roman" w:eastAsia="仿宋_GB2312" w:cs="Times New Roman"/>
          <w:color w:val="auto"/>
          <w:sz w:val="32"/>
          <w:szCs w:val="32"/>
          <w:lang w:eastAsia="zh-CN"/>
        </w:rPr>
        <w:t>把党的领导贯穿于公共服务发展各个阶段，高</w:t>
      </w:r>
      <w:r>
        <w:rPr>
          <w:rFonts w:hint="default" w:ascii="Times New Roman" w:hAnsi="Times New Roman" w:eastAsia="仿宋_GB2312" w:cs="Times New Roman"/>
          <w:color w:val="auto"/>
          <w:sz w:val="32"/>
          <w:szCs w:val="32"/>
          <w:lang w:val="en-US" w:eastAsia="zh-CN"/>
        </w:rPr>
        <w:t>站位</w:t>
      </w:r>
      <w:r>
        <w:rPr>
          <w:rFonts w:hint="default" w:ascii="Times New Roman" w:hAnsi="Times New Roman" w:eastAsia="仿宋_GB2312" w:cs="Times New Roman"/>
          <w:color w:val="auto"/>
          <w:sz w:val="32"/>
          <w:szCs w:val="32"/>
          <w:lang w:eastAsia="zh-CN"/>
        </w:rPr>
        <w:t>谋划“十四五”公共服务发展。全市要认真贯彻党中央、国务院、省委省政府及市委市政府关于公共服务体系建设的各项战略部署，</w:t>
      </w:r>
      <w:r>
        <w:rPr>
          <w:rFonts w:hint="default" w:ascii="Times New Roman" w:hAnsi="Times New Roman" w:eastAsia="仿宋_GB2312" w:cs="Times New Roman"/>
          <w:color w:val="auto"/>
          <w:sz w:val="32"/>
          <w:szCs w:val="32"/>
        </w:rPr>
        <w:t>建立健全规划实施机制，强化统筹协调和制度保障，提高</w:t>
      </w:r>
      <w:r>
        <w:rPr>
          <w:rFonts w:hint="default" w:ascii="Times New Roman" w:hAnsi="Times New Roman" w:eastAsia="仿宋_GB2312" w:cs="Times New Roman"/>
          <w:color w:val="auto"/>
          <w:sz w:val="32"/>
          <w:szCs w:val="32"/>
          <w:lang w:val="en-US" w:eastAsia="zh-CN"/>
        </w:rPr>
        <w:t>规划实施的</w:t>
      </w:r>
      <w:r>
        <w:rPr>
          <w:rFonts w:hint="default" w:ascii="Times New Roman" w:hAnsi="Times New Roman" w:eastAsia="仿宋_GB2312" w:cs="Times New Roman"/>
          <w:color w:val="auto"/>
          <w:sz w:val="32"/>
          <w:szCs w:val="32"/>
        </w:rPr>
        <w:t>系统性、整体性和协同性。</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rPr>
          <w:rFonts w:hint="default" w:ascii="Times New Roman" w:hAnsi="Times New Roman" w:eastAsia="楷体_GB2312" w:cs="Times New Roman"/>
          <w:b/>
          <w:bCs/>
          <w:color w:val="auto"/>
          <w:sz w:val="32"/>
          <w:szCs w:val="32"/>
          <w:lang w:val="en-US" w:eastAsia="zh-CN"/>
        </w:rPr>
      </w:pPr>
      <w:bookmarkStart w:id="307" w:name="_Toc7314"/>
      <w:bookmarkStart w:id="308" w:name="_Toc10488"/>
      <w:bookmarkStart w:id="309" w:name="_Toc461"/>
      <w:bookmarkStart w:id="310" w:name="_Toc13518"/>
      <w:r>
        <w:rPr>
          <w:rFonts w:hint="default" w:ascii="Times New Roman" w:hAnsi="Times New Roman" w:eastAsia="楷体_GB2312" w:cs="Times New Roman"/>
          <w:b/>
          <w:bCs/>
          <w:color w:val="auto"/>
          <w:sz w:val="32"/>
          <w:szCs w:val="32"/>
          <w:lang w:val="en-US" w:eastAsia="zh-CN"/>
        </w:rPr>
        <w:t>第</w:t>
      </w:r>
      <w:r>
        <w:rPr>
          <w:rFonts w:hint="default" w:ascii="Times New Roman" w:hAnsi="Times New Roman" w:cs="Times New Roman"/>
          <w:b/>
          <w:bCs/>
          <w:color w:val="auto"/>
          <w:sz w:val="32"/>
          <w:szCs w:val="32"/>
          <w:lang w:val="en-US" w:eastAsia="zh-CN"/>
        </w:rPr>
        <w:t>二</w:t>
      </w:r>
      <w:r>
        <w:rPr>
          <w:rFonts w:hint="default" w:ascii="Times New Roman" w:hAnsi="Times New Roman" w:eastAsia="楷体_GB2312" w:cs="Times New Roman"/>
          <w:b/>
          <w:bCs/>
          <w:color w:val="auto"/>
          <w:sz w:val="32"/>
          <w:szCs w:val="32"/>
          <w:lang w:val="en-US" w:eastAsia="zh-CN"/>
        </w:rPr>
        <w:t>节</w:t>
      </w:r>
      <w:r>
        <w:rPr>
          <w:rFonts w:hint="default" w:ascii="Times New Roman" w:hAnsi="Times New Roman" w:cs="Times New Roman"/>
          <w:b/>
          <w:bCs/>
          <w:color w:val="auto"/>
          <w:sz w:val="32"/>
          <w:szCs w:val="32"/>
          <w:lang w:val="en-US" w:eastAsia="zh-CN"/>
        </w:rPr>
        <w:t xml:space="preserve">  强化</w:t>
      </w:r>
      <w:r>
        <w:rPr>
          <w:rFonts w:hint="default" w:ascii="Times New Roman" w:hAnsi="Times New Roman" w:eastAsia="楷体_GB2312" w:cs="Times New Roman"/>
          <w:b/>
          <w:bCs/>
          <w:color w:val="auto"/>
          <w:sz w:val="32"/>
          <w:szCs w:val="32"/>
          <w:lang w:val="en-US" w:eastAsia="zh-CN"/>
        </w:rPr>
        <w:t>要素保障</w:t>
      </w:r>
      <w:bookmarkEnd w:id="307"/>
      <w:bookmarkEnd w:id="308"/>
      <w:bookmarkEnd w:id="309"/>
      <w:bookmarkEnd w:id="310"/>
    </w:p>
    <w:p>
      <w:pPr>
        <w:bidi w:val="0"/>
        <w:ind w:firstLine="640" w:firstLineChars="200"/>
        <w:rPr>
          <w:rFonts w:hint="default" w:ascii="Times New Roman" w:hAnsi="Times New Roman" w:cs="Times New Roman"/>
        </w:rPr>
      </w:pPr>
      <w:r>
        <w:rPr>
          <w:rFonts w:hint="default" w:ascii="Times New Roman" w:hAnsi="Times New Roman" w:eastAsia="仿宋_GB2312" w:cs="Times New Roman"/>
          <w:color w:val="auto"/>
          <w:sz w:val="32"/>
          <w:szCs w:val="32"/>
        </w:rPr>
        <w:t>建立与经济发展水平相适应的基本公共服务财政优先保障机制和支出动态调整机制，完善财政、融资等优惠政策，将更多公共服务项目纳入政府购买服务指导性目录。将公共服务机构和设施用地纳入</w:t>
      </w:r>
      <w:r>
        <w:rPr>
          <w:rFonts w:hint="default"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rPr>
        <w:t>规划和年度用地计划优先予以保障，农用地转用指标、新增建设用地指标分配适当予以倾斜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盘活存量、用好增量，提高土地使用效率</w:t>
      </w:r>
      <w:r>
        <w:rPr>
          <w:rFonts w:hint="default" w:ascii="Times New Roman" w:hAnsi="Times New Roman" w:eastAsia="仿宋_GB2312" w:cs="Times New Roman"/>
          <w:color w:val="auto"/>
          <w:sz w:val="32"/>
          <w:szCs w:val="32"/>
          <w:lang w:eastAsia="zh-CN"/>
        </w:rPr>
        <w:t>。构建人才全方位培育体系，</w:t>
      </w:r>
      <w:r>
        <w:rPr>
          <w:rFonts w:hint="default" w:ascii="Times New Roman" w:hAnsi="Times New Roman" w:eastAsia="仿宋_GB2312" w:cs="Times New Roman"/>
          <w:color w:val="auto"/>
          <w:sz w:val="32"/>
          <w:szCs w:val="32"/>
        </w:rPr>
        <w:t>加强医疗、养老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助残等急需短缺专职技能人才培养，</w:t>
      </w:r>
      <w:r>
        <w:rPr>
          <w:rFonts w:hint="default" w:ascii="Times New Roman" w:hAnsi="Times New Roman" w:eastAsia="仿宋_GB2312" w:cs="Times New Roman"/>
          <w:color w:val="auto"/>
          <w:sz w:val="32"/>
          <w:szCs w:val="32"/>
          <w:lang w:eastAsia="zh-CN"/>
        </w:rPr>
        <w:t>引导人才向基层一线流动。</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rPr>
          <w:rFonts w:hint="default" w:ascii="Times New Roman" w:hAnsi="Times New Roman" w:eastAsia="楷体_GB2312" w:cs="Times New Roman"/>
          <w:b/>
          <w:bCs/>
          <w:color w:val="auto"/>
          <w:sz w:val="32"/>
          <w:szCs w:val="32"/>
          <w:lang w:val="en-US" w:eastAsia="zh-CN"/>
        </w:rPr>
      </w:pPr>
      <w:bookmarkStart w:id="311" w:name="_Toc4065"/>
      <w:bookmarkStart w:id="312" w:name="_Toc16328"/>
      <w:bookmarkStart w:id="313" w:name="_Toc30397"/>
      <w:bookmarkStart w:id="314" w:name="_Toc8554"/>
      <w:bookmarkStart w:id="315" w:name="_Toc12272"/>
      <w:bookmarkStart w:id="316" w:name="_Toc87883553"/>
      <w:r>
        <w:rPr>
          <w:rFonts w:hint="default" w:ascii="Times New Roman" w:hAnsi="Times New Roman" w:eastAsia="楷体_GB2312" w:cs="Times New Roman"/>
          <w:b/>
          <w:bCs/>
          <w:color w:val="auto"/>
          <w:sz w:val="32"/>
          <w:szCs w:val="32"/>
          <w:lang w:val="en-US" w:eastAsia="zh-CN"/>
        </w:rPr>
        <w:t>第</w:t>
      </w:r>
      <w:r>
        <w:rPr>
          <w:rFonts w:hint="default" w:ascii="Times New Roman" w:hAnsi="Times New Roman" w:cs="Times New Roman"/>
          <w:b/>
          <w:bCs/>
          <w:color w:val="auto"/>
          <w:sz w:val="32"/>
          <w:szCs w:val="32"/>
          <w:lang w:val="en-US" w:eastAsia="zh-CN"/>
        </w:rPr>
        <w:t>三</w:t>
      </w:r>
      <w:r>
        <w:rPr>
          <w:rFonts w:hint="default" w:ascii="Times New Roman" w:hAnsi="Times New Roman" w:eastAsia="楷体_GB2312" w:cs="Times New Roman"/>
          <w:b/>
          <w:bCs/>
          <w:color w:val="auto"/>
          <w:sz w:val="32"/>
          <w:szCs w:val="32"/>
          <w:lang w:val="en-US" w:eastAsia="zh-CN"/>
        </w:rPr>
        <w:t>节</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lang w:val="en-US" w:eastAsia="zh-CN"/>
        </w:rPr>
        <w:t>形成规划合力</w:t>
      </w:r>
      <w:bookmarkEnd w:id="311"/>
      <w:bookmarkEnd w:id="312"/>
      <w:bookmarkEnd w:id="313"/>
      <w:bookmarkEnd w:id="314"/>
      <w:bookmarkEnd w:id="315"/>
      <w:bookmarkEnd w:id="316"/>
    </w:p>
    <w:p>
      <w:pPr>
        <w:spacing w:line="60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发展改革委要会同</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有关部门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加大对跨区域、跨领域、跨部门重大事项协调力度，推动重点任务、重大改革、重大项目落实落地。</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有关部门要按照职责分工，依据本规划细化提出可衡量、可考核的具体任务，明确工作安排和时间进度，深化政策解读，强化宣传引导，健全分领域统计调查体系。各</w:t>
      </w:r>
      <w:r>
        <w:rPr>
          <w:rFonts w:hint="default" w:ascii="Times New Roman" w:hAnsi="Times New Roman" w:eastAsia="仿宋_GB2312" w:cs="Times New Roman"/>
          <w:color w:val="auto"/>
          <w:sz w:val="32"/>
          <w:szCs w:val="32"/>
          <w:lang w:eastAsia="zh-CN"/>
        </w:rPr>
        <w:t>县（区）</w:t>
      </w:r>
      <w:r>
        <w:rPr>
          <w:rFonts w:hint="default" w:ascii="Times New Roman" w:hAnsi="Times New Roman" w:eastAsia="仿宋_GB2312" w:cs="Times New Roman"/>
          <w:color w:val="auto"/>
          <w:sz w:val="32"/>
          <w:szCs w:val="32"/>
        </w:rPr>
        <w:t>要将公共服务体系建设纳入“十四五”经济与社会发展重点任务，细化落实举措，做好重大建设项目统筹协调，确保财力可承受、服务可持续。组织实施一批基础好、均等化程度高、带动效应强的示范项目，争取形成可复制经验在全省乃至全国推广。</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rPr>
          <w:rFonts w:hint="default" w:ascii="Times New Roman" w:hAnsi="Times New Roman" w:eastAsia="楷体_GB2312" w:cs="Times New Roman"/>
          <w:b/>
          <w:bCs/>
          <w:color w:val="auto"/>
          <w:sz w:val="32"/>
          <w:szCs w:val="32"/>
          <w:lang w:val="en-US" w:eastAsia="zh-CN"/>
        </w:rPr>
      </w:pPr>
      <w:bookmarkStart w:id="317" w:name="_Toc7185"/>
      <w:bookmarkStart w:id="318" w:name="_Toc14108"/>
      <w:bookmarkStart w:id="319" w:name="_Toc25508"/>
      <w:bookmarkStart w:id="320" w:name="_Toc19933"/>
      <w:bookmarkStart w:id="321" w:name="_Toc87883554"/>
      <w:bookmarkStart w:id="322" w:name="_Toc8379"/>
      <w:r>
        <w:rPr>
          <w:rFonts w:hint="default" w:ascii="Times New Roman" w:hAnsi="Times New Roman" w:eastAsia="楷体_GB2312" w:cs="Times New Roman"/>
          <w:b/>
          <w:bCs/>
          <w:color w:val="auto"/>
          <w:sz w:val="32"/>
          <w:szCs w:val="32"/>
          <w:lang w:val="en-US" w:eastAsia="zh-CN"/>
        </w:rPr>
        <w:t>第</w:t>
      </w:r>
      <w:r>
        <w:rPr>
          <w:rFonts w:hint="default" w:ascii="Times New Roman" w:hAnsi="Times New Roman" w:cs="Times New Roman"/>
          <w:b/>
          <w:bCs/>
          <w:color w:val="auto"/>
          <w:sz w:val="32"/>
          <w:szCs w:val="32"/>
          <w:lang w:val="en-US" w:eastAsia="zh-CN"/>
        </w:rPr>
        <w:t>四</w:t>
      </w:r>
      <w:r>
        <w:rPr>
          <w:rFonts w:hint="default" w:ascii="Times New Roman" w:hAnsi="Times New Roman" w:eastAsia="楷体_GB2312" w:cs="Times New Roman"/>
          <w:b/>
          <w:bCs/>
          <w:color w:val="auto"/>
          <w:sz w:val="32"/>
          <w:szCs w:val="32"/>
          <w:lang w:val="en-US" w:eastAsia="zh-CN"/>
        </w:rPr>
        <w:t>节</w:t>
      </w:r>
      <w:r>
        <w:rPr>
          <w:rFonts w:hint="default" w:ascii="Times New Roman" w:hAnsi="Times New Roman" w:cs="Times New Roman"/>
          <w:b/>
          <w:bCs/>
          <w:color w:val="auto"/>
          <w:sz w:val="32"/>
          <w:szCs w:val="32"/>
          <w:lang w:val="en-US" w:eastAsia="zh-CN"/>
        </w:rPr>
        <w:t xml:space="preserve">  加强</w:t>
      </w:r>
      <w:r>
        <w:rPr>
          <w:rFonts w:hint="default" w:ascii="Times New Roman" w:hAnsi="Times New Roman" w:eastAsia="楷体_GB2312" w:cs="Times New Roman"/>
          <w:b/>
          <w:bCs/>
          <w:color w:val="auto"/>
          <w:sz w:val="32"/>
          <w:szCs w:val="32"/>
          <w:lang w:val="en-US" w:eastAsia="zh-CN"/>
        </w:rPr>
        <w:t>监测评估</w:t>
      </w:r>
      <w:bookmarkEnd w:id="317"/>
      <w:bookmarkEnd w:id="318"/>
      <w:bookmarkEnd w:id="319"/>
      <w:bookmarkEnd w:id="320"/>
      <w:bookmarkEnd w:id="321"/>
      <w:bookmarkEnd w:id="322"/>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640" w:firstLineChars="200"/>
        <w:jc w:val="left"/>
        <w:textAlignment w:val="auto"/>
        <w:outlineLvl w:val="9"/>
        <w:rPr>
          <w:rFonts w:hint="default" w:ascii="Times New Roman" w:hAnsi="Times New Roman" w:eastAsia="仿宋_GB2312" w:cs="Times New Roman"/>
          <w:b w:val="0"/>
          <w:bCs w:val="0"/>
          <w:color w:val="auto"/>
          <w:kern w:val="2"/>
          <w:sz w:val="32"/>
          <w:szCs w:val="32"/>
          <w:lang w:val="en-US" w:eastAsia="zh-CN" w:bidi="ar-SA"/>
        </w:rPr>
      </w:pPr>
      <w:bookmarkStart w:id="323" w:name="_Toc32089"/>
      <w:bookmarkStart w:id="324" w:name="_Toc87883555"/>
      <w:bookmarkStart w:id="325" w:name="_Toc20819"/>
      <w:r>
        <w:rPr>
          <w:rFonts w:hint="default" w:ascii="Times New Roman" w:hAnsi="Times New Roman" w:eastAsia="仿宋_GB2312" w:cs="Times New Roman"/>
          <w:b w:val="0"/>
          <w:bCs w:val="0"/>
          <w:color w:val="auto"/>
          <w:kern w:val="2"/>
          <w:sz w:val="32"/>
          <w:szCs w:val="32"/>
          <w:lang w:val="en-US" w:eastAsia="zh-CN" w:bidi="ar-SA"/>
        </w:rPr>
        <w:t>各县（区）人民政府要及时向社会发布本地区公共服务发展年度报告和考评情况。市有关部门要定期开展分领域公共服务发展情况监测评估，确保重点工作任务有效落实。市发展改革委要会同市有关部门完善规划实施监测评估机制，做好规划实施情况动态监测、中期评估和终期评估工作，重大事项及时向市委市政府报告。</w:t>
      </w:r>
      <w:bookmarkEnd w:id="323"/>
    </w:p>
    <w:bookmarkEnd w:id="324"/>
    <w:bookmarkEnd w:id="325"/>
    <w:p>
      <w:pPr>
        <w:keepNext w:val="0"/>
        <w:keepLines w:val="0"/>
        <w:pageBreakBefore w:val="0"/>
        <w:widowControl w:val="0"/>
        <w:kinsoku/>
        <w:wordWrap/>
        <w:overflowPunct/>
        <w:topLinePunct w:val="0"/>
        <w:autoSpaceDE/>
        <w:autoSpaceDN/>
        <w:bidi w:val="0"/>
        <w:snapToGrid/>
        <w:spacing w:line="60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4F"/>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OTk2ZjQyYjQwOWFjYzMzZDgwZmI1NGY5M2RlZTEifQ=="/>
  </w:docVars>
  <w:rsids>
    <w:rsidRoot w:val="00000000"/>
    <w:rsid w:val="018050CE"/>
    <w:rsid w:val="018113BC"/>
    <w:rsid w:val="01A741AA"/>
    <w:rsid w:val="02174C12"/>
    <w:rsid w:val="033D1D5B"/>
    <w:rsid w:val="042E0A4B"/>
    <w:rsid w:val="04B67572"/>
    <w:rsid w:val="04E25CBE"/>
    <w:rsid w:val="05D667C3"/>
    <w:rsid w:val="067E135F"/>
    <w:rsid w:val="077A2476"/>
    <w:rsid w:val="07881731"/>
    <w:rsid w:val="0805297D"/>
    <w:rsid w:val="0A715A22"/>
    <w:rsid w:val="0AEF744F"/>
    <w:rsid w:val="0B141AD1"/>
    <w:rsid w:val="0B4C5456"/>
    <w:rsid w:val="0D8D654D"/>
    <w:rsid w:val="0EBC19BC"/>
    <w:rsid w:val="0F4664CD"/>
    <w:rsid w:val="0FC15C89"/>
    <w:rsid w:val="124B0C23"/>
    <w:rsid w:val="131F7D14"/>
    <w:rsid w:val="14525A8A"/>
    <w:rsid w:val="174424C0"/>
    <w:rsid w:val="17E779D2"/>
    <w:rsid w:val="1807581F"/>
    <w:rsid w:val="192A407B"/>
    <w:rsid w:val="19D30C8F"/>
    <w:rsid w:val="19FC41E6"/>
    <w:rsid w:val="1ABB34B7"/>
    <w:rsid w:val="1D7848E7"/>
    <w:rsid w:val="1D957A49"/>
    <w:rsid w:val="1E256637"/>
    <w:rsid w:val="1EA67632"/>
    <w:rsid w:val="1ECD1D1D"/>
    <w:rsid w:val="200C5412"/>
    <w:rsid w:val="20EC5C33"/>
    <w:rsid w:val="2116285B"/>
    <w:rsid w:val="213F49AC"/>
    <w:rsid w:val="2188552B"/>
    <w:rsid w:val="21BF7F4C"/>
    <w:rsid w:val="21F84E40"/>
    <w:rsid w:val="22644036"/>
    <w:rsid w:val="22A04B51"/>
    <w:rsid w:val="22B336BF"/>
    <w:rsid w:val="22F646B1"/>
    <w:rsid w:val="237E6FF2"/>
    <w:rsid w:val="23874E41"/>
    <w:rsid w:val="24376272"/>
    <w:rsid w:val="24A05FE7"/>
    <w:rsid w:val="24A334B5"/>
    <w:rsid w:val="25881E12"/>
    <w:rsid w:val="259F77CE"/>
    <w:rsid w:val="26143B53"/>
    <w:rsid w:val="27013A65"/>
    <w:rsid w:val="282D4825"/>
    <w:rsid w:val="29EA05B8"/>
    <w:rsid w:val="2A56442A"/>
    <w:rsid w:val="2A774788"/>
    <w:rsid w:val="2A7C629D"/>
    <w:rsid w:val="2BF76B75"/>
    <w:rsid w:val="2C425192"/>
    <w:rsid w:val="2D16744E"/>
    <w:rsid w:val="2D9F361B"/>
    <w:rsid w:val="2DEB1E62"/>
    <w:rsid w:val="2E4B49C6"/>
    <w:rsid w:val="2EA31AD3"/>
    <w:rsid w:val="2ECF3BFF"/>
    <w:rsid w:val="2F6B7907"/>
    <w:rsid w:val="30246BF3"/>
    <w:rsid w:val="30C905AE"/>
    <w:rsid w:val="31626A72"/>
    <w:rsid w:val="324062EA"/>
    <w:rsid w:val="334648BD"/>
    <w:rsid w:val="33635B86"/>
    <w:rsid w:val="33E13172"/>
    <w:rsid w:val="34127102"/>
    <w:rsid w:val="357F1C9D"/>
    <w:rsid w:val="35B52EC4"/>
    <w:rsid w:val="36516221"/>
    <w:rsid w:val="36F376AA"/>
    <w:rsid w:val="3791690C"/>
    <w:rsid w:val="37B610CE"/>
    <w:rsid w:val="37EC7966"/>
    <w:rsid w:val="38677CFE"/>
    <w:rsid w:val="3907603D"/>
    <w:rsid w:val="39B25207"/>
    <w:rsid w:val="3A722570"/>
    <w:rsid w:val="3B904ABB"/>
    <w:rsid w:val="3C8D3D0E"/>
    <w:rsid w:val="3D2E3D2E"/>
    <w:rsid w:val="3DC8671F"/>
    <w:rsid w:val="3E6E7B02"/>
    <w:rsid w:val="3F8C21D7"/>
    <w:rsid w:val="41BB6B52"/>
    <w:rsid w:val="42170982"/>
    <w:rsid w:val="42765B5D"/>
    <w:rsid w:val="43000725"/>
    <w:rsid w:val="43C86199"/>
    <w:rsid w:val="443C5D03"/>
    <w:rsid w:val="460608D0"/>
    <w:rsid w:val="46A9559F"/>
    <w:rsid w:val="470140FB"/>
    <w:rsid w:val="472454B9"/>
    <w:rsid w:val="47D30788"/>
    <w:rsid w:val="47F14B00"/>
    <w:rsid w:val="482B45E1"/>
    <w:rsid w:val="49F6305B"/>
    <w:rsid w:val="4B402C3F"/>
    <w:rsid w:val="4C824142"/>
    <w:rsid w:val="4CB61FC9"/>
    <w:rsid w:val="4CC01EF8"/>
    <w:rsid w:val="4D2451DC"/>
    <w:rsid w:val="4D6F347E"/>
    <w:rsid w:val="4DF71FDD"/>
    <w:rsid w:val="4EDF25A9"/>
    <w:rsid w:val="4F6359F3"/>
    <w:rsid w:val="4F7941A3"/>
    <w:rsid w:val="5074184D"/>
    <w:rsid w:val="51B61FBC"/>
    <w:rsid w:val="51F0245F"/>
    <w:rsid w:val="521F7A89"/>
    <w:rsid w:val="52D730E6"/>
    <w:rsid w:val="534E49EE"/>
    <w:rsid w:val="543F3CB2"/>
    <w:rsid w:val="54BD53BE"/>
    <w:rsid w:val="54DF320A"/>
    <w:rsid w:val="55400DDF"/>
    <w:rsid w:val="55882CAB"/>
    <w:rsid w:val="55F40753"/>
    <w:rsid w:val="56251109"/>
    <w:rsid w:val="565252B7"/>
    <w:rsid w:val="567D5270"/>
    <w:rsid w:val="568B4B9B"/>
    <w:rsid w:val="574408CA"/>
    <w:rsid w:val="581A04CE"/>
    <w:rsid w:val="586A37FB"/>
    <w:rsid w:val="5A4700C9"/>
    <w:rsid w:val="5A650145"/>
    <w:rsid w:val="5A8C5BBE"/>
    <w:rsid w:val="5B0647F0"/>
    <w:rsid w:val="5B46521F"/>
    <w:rsid w:val="5D55161A"/>
    <w:rsid w:val="60133C28"/>
    <w:rsid w:val="60153592"/>
    <w:rsid w:val="609C744F"/>
    <w:rsid w:val="618F5CC6"/>
    <w:rsid w:val="61F35965"/>
    <w:rsid w:val="628A2D66"/>
    <w:rsid w:val="629C5697"/>
    <w:rsid w:val="62CB2A67"/>
    <w:rsid w:val="631C4859"/>
    <w:rsid w:val="633452AD"/>
    <w:rsid w:val="633A6EF2"/>
    <w:rsid w:val="63EB4ECB"/>
    <w:rsid w:val="6428727D"/>
    <w:rsid w:val="644D2BA7"/>
    <w:rsid w:val="649C546A"/>
    <w:rsid w:val="64AF6A9D"/>
    <w:rsid w:val="64B70B70"/>
    <w:rsid w:val="65473600"/>
    <w:rsid w:val="657D151A"/>
    <w:rsid w:val="66FC712F"/>
    <w:rsid w:val="67403307"/>
    <w:rsid w:val="680931DF"/>
    <w:rsid w:val="68234F43"/>
    <w:rsid w:val="68860CFC"/>
    <w:rsid w:val="68CB392E"/>
    <w:rsid w:val="6A150E65"/>
    <w:rsid w:val="6C465394"/>
    <w:rsid w:val="6D195378"/>
    <w:rsid w:val="6DC46910"/>
    <w:rsid w:val="6E2A047D"/>
    <w:rsid w:val="6E747241"/>
    <w:rsid w:val="6F4C0AA9"/>
    <w:rsid w:val="70E7566E"/>
    <w:rsid w:val="71071B18"/>
    <w:rsid w:val="71703D06"/>
    <w:rsid w:val="71A00E14"/>
    <w:rsid w:val="71C450C8"/>
    <w:rsid w:val="72286F30"/>
    <w:rsid w:val="72E04A54"/>
    <w:rsid w:val="734168B5"/>
    <w:rsid w:val="73D71433"/>
    <w:rsid w:val="748C77CC"/>
    <w:rsid w:val="759445DA"/>
    <w:rsid w:val="75B22E18"/>
    <w:rsid w:val="75CB6B6E"/>
    <w:rsid w:val="7748377D"/>
    <w:rsid w:val="78902D57"/>
    <w:rsid w:val="79205D0C"/>
    <w:rsid w:val="7A016862"/>
    <w:rsid w:val="7A1A71F5"/>
    <w:rsid w:val="7ABC1A68"/>
    <w:rsid w:val="7C0E07F7"/>
    <w:rsid w:val="7CF74933"/>
    <w:rsid w:val="7DB613E1"/>
    <w:rsid w:val="7EF13957"/>
    <w:rsid w:val="7FC07177"/>
    <w:rsid w:val="7FE97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adjustRightInd w:val="0"/>
      <w:spacing w:before="100" w:beforeLines="100" w:after="100" w:afterLines="100" w:line="560" w:lineRule="exact"/>
      <w:contextualSpacing/>
      <w:jc w:val="center"/>
      <w:outlineLvl w:val="0"/>
    </w:pPr>
    <w:rPr>
      <w:rFonts w:eastAsia="黑体" w:asciiTheme="minorHAnsi" w:hAnsiTheme="minorHAnsi" w:cstheme="minorBidi"/>
      <w:b/>
      <w:bCs/>
      <w:kern w:val="44"/>
      <w:sz w:val="32"/>
      <w:szCs w:val="44"/>
      <w:lang w:val="en-US" w:eastAsia="zh-CN" w:bidi="ar-SA"/>
    </w:rPr>
  </w:style>
  <w:style w:type="paragraph" w:styleId="2">
    <w:name w:val="heading 2"/>
    <w:basedOn w:val="1"/>
    <w:next w:val="1"/>
    <w:unhideWhenUsed/>
    <w:qFormat/>
    <w:uiPriority w:val="9"/>
    <w:pPr>
      <w:widowControl w:val="0"/>
      <w:spacing w:before="100" w:beforeLines="100" w:after="100" w:afterLines="100" w:line="560" w:lineRule="exact"/>
      <w:jc w:val="center"/>
      <w:outlineLvl w:val="1"/>
    </w:pPr>
    <w:rPr>
      <w:rFonts w:eastAsia="楷体_GB2312" w:asciiTheme="majorHAnsi" w:hAnsiTheme="majorHAnsi" w:cstheme="majorBidi"/>
      <w:b/>
      <w:bCs/>
      <w:kern w:val="2"/>
      <w:sz w:val="32"/>
      <w:szCs w:val="32"/>
      <w:lang w:val="en-US" w:eastAsia="zh-CN" w:bidi="ar-SA"/>
    </w:rPr>
  </w:style>
  <w:style w:type="paragraph" w:styleId="4">
    <w:name w:val="heading 3"/>
    <w:basedOn w:val="1"/>
    <w:next w:val="1"/>
    <w:autoRedefine/>
    <w:unhideWhenUsed/>
    <w:qFormat/>
    <w:uiPriority w:val="0"/>
    <w:pPr>
      <w:keepNext/>
      <w:keepLines/>
      <w:spacing w:line="620" w:lineRule="exact"/>
      <w:ind w:firstLine="480" w:firstLineChars="200"/>
      <w:outlineLvl w:val="2"/>
    </w:pPr>
    <w:rPr>
      <w:rFonts w:ascii="Calibri" w:hAnsi="Calibri" w:eastAsia="仿宋" w:cs="Calibri"/>
      <w:bCs/>
      <w:sz w:val="32"/>
      <w:szCs w:val="32"/>
    </w:rPr>
  </w:style>
  <w:style w:type="paragraph" w:styleId="5">
    <w:name w:val="heading 4"/>
    <w:basedOn w:val="1"/>
    <w:next w:val="1"/>
    <w:unhideWhenUsed/>
    <w:qFormat/>
    <w:uiPriority w:val="9"/>
    <w:pPr>
      <w:spacing w:before="50" w:beforeLines="50" w:after="50" w:afterLines="50"/>
      <w:ind w:firstLine="0" w:firstLineChars="0"/>
      <w:jc w:val="center"/>
      <w:outlineLvl w:val="3"/>
    </w:pPr>
    <w:rPr>
      <w:rFonts w:eastAsia="黑体" w:cstheme="majorBidi"/>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caption"/>
    <w:basedOn w:val="1"/>
    <w:next w:val="1"/>
    <w:unhideWhenUsed/>
    <w:qFormat/>
    <w:uiPriority w:val="0"/>
    <w:pPr>
      <w:jc w:val="center"/>
      <w:outlineLvl w:val="2"/>
    </w:pPr>
    <w:rPr>
      <w:rFonts w:ascii="Times New Roman" w:hAnsi="Times New Roman" w:eastAsia="黑体"/>
      <w:sz w:val="28"/>
    </w:rPr>
  </w:style>
  <w:style w:type="paragraph" w:styleId="7">
    <w:name w:val="annotation text"/>
    <w:basedOn w:val="1"/>
    <w:unhideWhenUsed/>
    <w:qFormat/>
    <w:uiPriority w:val="99"/>
    <w:pPr>
      <w:jc w:val="left"/>
    </w:pPr>
  </w:style>
  <w:style w:type="paragraph" w:styleId="8">
    <w:name w:val="Body Text Indent"/>
    <w:basedOn w:val="1"/>
    <w:qFormat/>
    <w:uiPriority w:val="0"/>
    <w:pPr>
      <w:spacing w:after="120" w:afterLines="0" w:afterAutospacing="0"/>
      <w:ind w:left="420" w:leftChars="200"/>
    </w:p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able of figures"/>
    <w:basedOn w:val="1"/>
    <w:next w:val="1"/>
    <w:qFormat/>
    <w:uiPriority w:val="0"/>
    <w:pPr>
      <w:ind w:leftChars="200" w:hanging="200" w:hangingChars="200"/>
    </w:pPr>
  </w:style>
  <w:style w:type="paragraph" w:styleId="13">
    <w:name w:val="toc 2"/>
    <w:basedOn w:val="1"/>
    <w:next w:val="1"/>
    <w:qFormat/>
    <w:uiPriority w:val="0"/>
    <w:pPr>
      <w:ind w:left="420" w:leftChars="200"/>
    </w:pPr>
  </w:style>
  <w:style w:type="paragraph" w:styleId="14">
    <w:name w:val="Normal (Web)"/>
    <w:basedOn w:val="1"/>
    <w:autoRedefine/>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5">
    <w:name w:val="Title"/>
    <w:next w:val="1"/>
    <w:qFormat/>
    <w:uiPriority w:val="10"/>
    <w:pPr>
      <w:widowControl w:val="0"/>
      <w:snapToGrid w:val="0"/>
      <w:spacing w:line="320" w:lineRule="exact"/>
      <w:ind w:firstLine="200" w:firstLineChars="200"/>
      <w:jc w:val="both"/>
    </w:pPr>
    <w:rPr>
      <w:rFonts w:ascii="Times New Roman" w:hAnsi="Times New Roman" w:eastAsia="仿宋_GB2312" w:cstheme="majorBidi"/>
      <w:bCs/>
      <w:kern w:val="2"/>
      <w:sz w:val="24"/>
      <w:szCs w:val="32"/>
      <w:lang w:val="en-US" w:eastAsia="zh-CN" w:bidi="ar-SA"/>
    </w:rPr>
  </w:style>
  <w:style w:type="paragraph" w:styleId="16">
    <w:name w:val="Body Text First Indent 2"/>
    <w:basedOn w:val="8"/>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FollowedHyperlink"/>
    <w:basedOn w:val="19"/>
    <w:qFormat/>
    <w:uiPriority w:val="0"/>
    <w:rPr>
      <w:color w:val="333333"/>
      <w:u w:val="none"/>
    </w:rPr>
  </w:style>
  <w:style w:type="character" w:styleId="22">
    <w:name w:val="Emphasis"/>
    <w:basedOn w:val="19"/>
    <w:autoRedefine/>
    <w:qFormat/>
    <w:uiPriority w:val="0"/>
    <w:rPr>
      <w:i/>
    </w:rPr>
  </w:style>
  <w:style w:type="character" w:styleId="23">
    <w:name w:val="Hyperlink"/>
    <w:basedOn w:val="19"/>
    <w:qFormat/>
    <w:uiPriority w:val="0"/>
    <w:rPr>
      <w:color w:val="333333"/>
      <w:u w:val="none"/>
    </w:rPr>
  </w:style>
  <w:style w:type="table" w:customStyle="1" w:styleId="24">
    <w:name w:val="网格型7"/>
    <w:basedOn w:val="1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WPSOffice手动目录 1"/>
    <w:autoRedefine/>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 w:type="paragraph" w:customStyle="1" w:styleId="27">
    <w:name w:val="Heading1"/>
    <w:basedOn w:val="1"/>
    <w:next w:val="1"/>
    <w:autoRedefine/>
    <w:qFormat/>
    <w:uiPriority w:val="99"/>
    <w:pPr>
      <w:keepNext/>
      <w:keepLines/>
      <w:spacing w:before="340" w:after="330" w:line="578" w:lineRule="auto"/>
      <w:textAlignment w:val="baseline"/>
    </w:pPr>
    <w:rPr>
      <w:rFonts w:ascii="Calibri" w:hAnsi="Calibri" w:eastAsia="宋体" w:cs="Calibri"/>
      <w:b/>
      <w:bCs/>
      <w:kern w:val="44"/>
      <w:sz w:val="44"/>
      <w:szCs w:val="44"/>
    </w:rPr>
  </w:style>
  <w:style w:type="table" w:customStyle="1" w:styleId="28">
    <w:name w:val="网格型1"/>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32895</Words>
  <Characters>33543</Characters>
  <Lines>0</Lines>
  <Paragraphs>0</Paragraphs>
  <TotalTime>0</TotalTime>
  <ScaleCrop>false</ScaleCrop>
  <LinksUpToDate>false</LinksUpToDate>
  <CharactersWithSpaces>34737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2021-12-14T02:25:00Z</dcterms:created>
  <dc:creator>ance2</dc:creator>
  <cp:lastModifiedBy>Administrator</cp:lastModifiedBy>
  <cp:lastPrinted>2022-03-23T07:30:00Z</cp:lastPrinted>
  <dcterms:modified xsi:type="dcterms:W3CDTF">2024-04-29T07:52:43Z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ABA0E8B43D734C2A9A4222585ED5AA17</vt:lpwstr>
  </property>
</Properties>
</file>