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方正小标宋简体" w:hAnsi="方正小标宋简体" w:eastAsia="方正小标宋简体" w:cs="方正小标宋简体"/>
          <w:color w:val="333333"/>
          <w:kern w:val="0"/>
          <w:sz w:val="44"/>
          <w:szCs w:val="44"/>
        </w:rPr>
      </w:pPr>
    </w:p>
    <w:p>
      <w:pPr>
        <w:widowControl/>
        <w:shd w:val="clear" w:color="auto" w:fill="FFFFFF"/>
        <w:jc w:val="center"/>
        <w:rPr>
          <w:rFonts w:ascii="方正小标宋简体" w:hAnsi="方正小标宋简体" w:eastAsia="方正小标宋简体" w:cs="方正小标宋简体"/>
          <w:color w:val="333333"/>
          <w:kern w:val="0"/>
          <w:sz w:val="44"/>
          <w:szCs w:val="44"/>
        </w:rPr>
      </w:pPr>
    </w:p>
    <w:p>
      <w:pPr>
        <w:widowControl/>
        <w:shd w:val="clear" w:color="auto" w:fill="FFFFFF"/>
        <w:jc w:val="center"/>
        <w:rPr>
          <w:rFonts w:ascii="方正小标宋简体" w:hAnsi="方正小标宋简体" w:eastAsia="方正小标宋简体" w:cs="方正小标宋简体"/>
          <w:color w:val="333333"/>
          <w:kern w:val="0"/>
          <w:sz w:val="44"/>
          <w:szCs w:val="44"/>
        </w:rPr>
      </w:pPr>
    </w:p>
    <w:p>
      <w:pPr>
        <w:widowControl/>
        <w:shd w:val="clear" w:color="auto" w:fill="FFFFFF"/>
        <w:spacing w:line="600" w:lineRule="exact"/>
        <w:jc w:val="center"/>
        <w:rPr>
          <w:rFonts w:ascii="方正小标宋简体" w:hAnsi="方正小标宋简体" w:eastAsia="方正小标宋简体" w:cs="方正小标宋简体"/>
          <w:color w:val="333333"/>
          <w:kern w:val="0"/>
          <w:sz w:val="44"/>
          <w:szCs w:val="44"/>
        </w:rPr>
      </w:pPr>
      <w:r>
        <w:rPr>
          <w:rFonts w:hint="eastAsia" w:ascii="方正小标宋简体" w:hAnsi="方正小标宋简体" w:eastAsia="方正小标宋简体" w:cs="方正小标宋简体"/>
          <w:color w:val="333333"/>
          <w:kern w:val="0"/>
          <w:sz w:val="44"/>
          <w:szCs w:val="44"/>
        </w:rPr>
        <w:t>六安市水利局2021年政府信息公开</w:t>
      </w:r>
    </w:p>
    <w:p>
      <w:pPr>
        <w:widowControl/>
        <w:shd w:val="clear" w:color="auto" w:fill="FFFFFF"/>
        <w:spacing w:line="600" w:lineRule="exact"/>
        <w:jc w:val="center"/>
        <w:rPr>
          <w:rFonts w:hint="eastAsia" w:ascii="方正小标宋简体" w:hAnsi="方正小标宋简体" w:eastAsia="方正小标宋简体" w:cs="方正小标宋简体"/>
          <w:color w:val="333333"/>
          <w:kern w:val="0"/>
          <w:sz w:val="44"/>
          <w:szCs w:val="44"/>
        </w:rPr>
      </w:pPr>
      <w:r>
        <w:rPr>
          <w:rFonts w:hint="eastAsia" w:ascii="方正小标宋简体" w:hAnsi="方正小标宋简体" w:eastAsia="方正小标宋简体" w:cs="方正小标宋简体"/>
          <w:color w:val="333333"/>
          <w:kern w:val="0"/>
          <w:sz w:val="44"/>
          <w:szCs w:val="44"/>
        </w:rPr>
        <w:t>工作年度报告</w:t>
      </w:r>
    </w:p>
    <w:p>
      <w:pPr>
        <w:pStyle w:val="2"/>
      </w:pPr>
    </w:p>
    <w:p>
      <w:pPr>
        <w:spacing w:line="600" w:lineRule="exact"/>
        <w:ind w:firstLine="640" w:firstLineChars="200"/>
        <w:rPr>
          <w:rFonts w:hAnsi="仿宋_GB2312" w:cs="仿宋_GB2312"/>
        </w:rPr>
      </w:pPr>
      <w:r>
        <w:rPr>
          <w:rFonts w:hint="eastAsia" w:hAnsi="仿宋_GB2312" w:cs="仿宋_GB2312"/>
        </w:rPr>
        <w:t>本年度报告是根据新修订《中华人民共和国政府信息公开条例》。全文包括总体情况、主动公开政府信息情况、收到和处理政府信息公开申请情况、政府信息公开行政复议和行政诉讼情况、存在的主要问题和改进情况和其他需要报告的事项。本年度报告中使用数据统计期限为2021年1月1日至2021年12月31日。如对本报告有任何疑问，请与六安市水利局办公室（宣传信息中心）联系（地址：六安市金安区皖西大道1513号，邮编：237000，联系电话：0564-3339550）。</w:t>
      </w:r>
    </w:p>
    <w:p>
      <w:pPr>
        <w:spacing w:line="600" w:lineRule="exact"/>
        <w:ind w:firstLine="640" w:firstLineChars="200"/>
        <w:rPr>
          <w:rFonts w:ascii="黑体" w:hAnsi="黑体" w:eastAsia="黑体" w:cs="黑体"/>
        </w:rPr>
      </w:pPr>
      <w:r>
        <w:rPr>
          <w:rFonts w:hint="eastAsia" w:ascii="黑体" w:hAnsi="黑体" w:eastAsia="黑体" w:cs="黑体"/>
        </w:rPr>
        <w:t>一、总体情况</w:t>
      </w:r>
    </w:p>
    <w:p>
      <w:pPr>
        <w:spacing w:line="600" w:lineRule="exact"/>
        <w:ind w:firstLine="640" w:firstLineChars="200"/>
        <w:rPr>
          <w:rFonts w:hAnsi="仿宋_GB2312" w:cs="仿宋_GB2312"/>
        </w:rPr>
      </w:pPr>
      <w:r>
        <w:rPr>
          <w:rFonts w:hint="eastAsia" w:hAnsi="仿宋_GB2312" w:cs="仿宋_GB2312"/>
        </w:rPr>
        <w:t>2021年，六安市水利局紧紧围绕水利中心工作和社会关切，深入推进水利政府信息公开，全局政务公开工作取得了新成效，全年主动公开政府信息1111条。</w:t>
      </w:r>
    </w:p>
    <w:p>
      <w:pPr>
        <w:spacing w:line="600" w:lineRule="exact"/>
        <w:ind w:firstLine="640" w:firstLineChars="200"/>
        <w:rPr>
          <w:rFonts w:ascii="楷体_GB2312" w:hAnsi="楷体_GB2312" w:eastAsia="楷体_GB2312" w:cs="楷体_GB2312"/>
        </w:rPr>
      </w:pPr>
      <w:r>
        <w:rPr>
          <w:rFonts w:hint="eastAsia" w:ascii="楷体_GB2312" w:hAnsi="楷体_GB2312" w:eastAsia="楷体_GB2312" w:cs="楷体_GB2312"/>
        </w:rPr>
        <w:t>（一）主动公开情况</w:t>
      </w:r>
    </w:p>
    <w:p>
      <w:pPr>
        <w:spacing w:line="600" w:lineRule="exact"/>
        <w:ind w:firstLine="643" w:firstLineChars="200"/>
        <w:rPr>
          <w:rFonts w:hAnsi="仿宋_GB2312" w:cs="仿宋_GB2312"/>
        </w:rPr>
      </w:pPr>
      <w:r>
        <w:rPr>
          <w:rFonts w:hint="eastAsia" w:hAnsi="仿宋_GB2312" w:cs="仿宋_GB2312"/>
          <w:b/>
          <w:bCs/>
        </w:rPr>
        <w:t>一是强化政策和解读发布。</w:t>
      </w:r>
      <w:r>
        <w:rPr>
          <w:rFonts w:hint="eastAsia" w:hAnsi="仿宋_GB2312" w:cs="仿宋_GB2312"/>
        </w:rPr>
        <w:t>全面公开规范性文件清理结果和文件目录，规范公开有效</w:t>
      </w:r>
      <w:r>
        <w:rPr>
          <w:rFonts w:hint="eastAsia" w:hAnsi="仿宋_GB2312" w:cs="仿宋_GB2312"/>
          <w:lang w:eastAsia="zh-CN"/>
        </w:rPr>
        <w:t>的部门</w:t>
      </w:r>
      <w:r>
        <w:rPr>
          <w:rFonts w:hint="eastAsia" w:hAnsi="仿宋_GB2312" w:cs="仿宋_GB2312"/>
        </w:rPr>
        <w:t>规范性文件</w:t>
      </w:r>
      <w:r>
        <w:rPr>
          <w:rFonts w:hint="eastAsia" w:hAnsi="仿宋_GB2312" w:cs="仿宋_GB2312"/>
          <w:lang w:val="en-US" w:eastAsia="zh-CN"/>
        </w:rPr>
        <w:t>6</w:t>
      </w:r>
      <w:r>
        <w:rPr>
          <w:rFonts w:hint="eastAsia" w:hAnsi="仿宋_GB2312" w:cs="仿宋_GB2312"/>
        </w:rPr>
        <w:t>件。积极转载上级重要政策文件解读21条。精心制作部门文件文字解读3篇，图片解读3篇，切实提升解读质量和效果。通过政务微信、微博新媒体平台按月发布政策解读，深入社区、企业、乡村开展水利政策法规宣传解读。</w:t>
      </w:r>
      <w:r>
        <w:rPr>
          <w:rFonts w:hint="eastAsia" w:hAnsi="仿宋_GB2312" w:cs="仿宋_GB2312"/>
          <w:b/>
          <w:bCs/>
        </w:rPr>
        <w:t>二是强化重点领域信息公开。</w:t>
      </w:r>
      <w:r>
        <w:rPr>
          <w:rFonts w:hint="eastAsia" w:hAnsi="仿宋_GB2312" w:cs="仿宋_GB2312"/>
        </w:rPr>
        <w:t>围绕水利重点领域信息，收集整理并公开各类水利专项规划16件，有效展现六安水利建设发展成就；主动公开河湖长制部署及落实信息36条；发布水旱灾害预警单43条及应对情况信息21条；全面公示重大水利工程建设和批准信息189条，按月通报全市水利工程进度。</w:t>
      </w:r>
      <w:r>
        <w:rPr>
          <w:rFonts w:hint="eastAsia" w:hAnsi="仿宋_GB2312" w:cs="仿宋_GB2312"/>
          <w:b/>
          <w:bCs/>
        </w:rPr>
        <w:t>三是强化回应关切。</w:t>
      </w:r>
      <w:r>
        <w:rPr>
          <w:rFonts w:hint="eastAsia" w:hAnsi="仿宋_GB2312" w:cs="仿宋_GB2312"/>
        </w:rPr>
        <w:t>规范留言办理答复机制，今年办理答复网上留言36条，平均办结日2天。强化舆情监测，密切关注农村饮水、河道采砂、水旱灾害防御等社会关注的热点，汇总整理水利舆情分析12期。今年主动回应发布信息49条，召开新闻发布会4次，开展政风行风热线3次。</w:t>
      </w:r>
    </w:p>
    <w:p>
      <w:pPr>
        <w:spacing w:line="600" w:lineRule="exact"/>
        <w:ind w:firstLine="640" w:firstLineChars="200"/>
        <w:rPr>
          <w:rFonts w:ascii="楷体_GB2312" w:hAnsi="楷体_GB2312" w:eastAsia="楷体_GB2312" w:cs="楷体_GB2312"/>
        </w:rPr>
      </w:pPr>
      <w:r>
        <w:rPr>
          <w:rFonts w:hint="eastAsia" w:ascii="楷体_GB2312" w:hAnsi="楷体_GB2312" w:eastAsia="楷体_GB2312" w:cs="楷体_GB2312"/>
        </w:rPr>
        <w:t>（二）依申请公开情况</w:t>
      </w:r>
    </w:p>
    <w:p>
      <w:pPr>
        <w:spacing w:line="600" w:lineRule="exact"/>
        <w:ind w:firstLine="640" w:firstLineChars="200"/>
        <w:rPr>
          <w:rFonts w:hAnsi="仿宋_GB2312" w:cs="仿宋_GB2312"/>
        </w:rPr>
      </w:pPr>
      <w:r>
        <w:rPr>
          <w:rFonts w:hint="eastAsia" w:hAnsi="仿宋_GB2312" w:cs="仿宋_GB2312"/>
        </w:rPr>
        <w:t>完善《六安市水利局依申请公开制度》，规范办理流程，由联络员及时受理登记，转呈领导批办，交办负责科室，经科室负责同志和领导逐级审核把关后按时答复。通过依申请公开系统实现线上线下办件统一归集，全年收到依申请公开</w:t>
      </w:r>
      <w:r>
        <w:rPr>
          <w:rFonts w:hint="eastAsia" w:hAnsi="仿宋_GB2312" w:cs="仿宋_GB2312"/>
          <w:lang w:val="en-US" w:eastAsia="zh-CN"/>
        </w:rPr>
        <w:t>7</w:t>
      </w:r>
      <w:r>
        <w:rPr>
          <w:rFonts w:hint="eastAsia" w:hAnsi="仿宋_GB2312" w:cs="仿宋_GB2312"/>
        </w:rPr>
        <w:t>件，结转上年</w:t>
      </w:r>
      <w:r>
        <w:rPr>
          <w:rFonts w:hint="eastAsia" w:hAnsi="仿宋_GB2312" w:cs="仿宋_GB2312"/>
          <w:lang w:val="en-US" w:eastAsia="zh-CN"/>
        </w:rPr>
        <w:t>2</w:t>
      </w:r>
      <w:r>
        <w:rPr>
          <w:rFonts w:hint="eastAsia" w:hAnsi="仿宋_GB2312" w:cs="仿宋_GB2312"/>
        </w:rPr>
        <w:t>件，办结9件。</w:t>
      </w:r>
    </w:p>
    <w:p>
      <w:pPr>
        <w:spacing w:line="600" w:lineRule="exact"/>
        <w:ind w:firstLine="640" w:firstLineChars="200"/>
        <w:rPr>
          <w:rFonts w:ascii="楷体_GB2312" w:hAnsi="楷体_GB2312" w:eastAsia="楷体_GB2312" w:cs="楷体_GB2312"/>
        </w:rPr>
      </w:pPr>
      <w:r>
        <w:rPr>
          <w:rFonts w:hint="eastAsia" w:ascii="楷体_GB2312" w:hAnsi="楷体_GB2312" w:eastAsia="楷体_GB2312" w:cs="楷体_GB2312"/>
        </w:rPr>
        <w:t>（三）政府信息管理情况</w:t>
      </w:r>
    </w:p>
    <w:p>
      <w:pPr>
        <w:spacing w:line="600" w:lineRule="exact"/>
        <w:ind w:firstLine="640" w:firstLineChars="200"/>
        <w:rPr>
          <w:rFonts w:hAnsi="仿宋_GB2312" w:cs="仿宋_GB2312"/>
        </w:rPr>
      </w:pPr>
      <w:r>
        <w:rPr>
          <w:rFonts w:hint="eastAsia" w:hAnsi="仿宋_GB2312" w:cs="仿宋_GB2312"/>
        </w:rPr>
        <w:t>完善《六安市水利信息公开指南》《六安市水利局信息发布审核管理制度》等制度，规范政府信息公开源头机制，加强平台信息管理。按要求开展规范性文件清理和公开。</w:t>
      </w:r>
    </w:p>
    <w:p>
      <w:pPr>
        <w:spacing w:line="600" w:lineRule="exact"/>
        <w:ind w:firstLine="640" w:firstLineChars="200"/>
        <w:rPr>
          <w:rFonts w:ascii="楷体_GB2312" w:hAnsi="楷体_GB2312" w:eastAsia="楷体_GB2312" w:cs="楷体_GB2312"/>
        </w:rPr>
      </w:pPr>
      <w:r>
        <w:rPr>
          <w:rFonts w:hint="eastAsia" w:ascii="楷体_GB2312" w:hAnsi="楷体_GB2312" w:eastAsia="楷体_GB2312" w:cs="楷体_GB2312"/>
        </w:rPr>
        <w:t>（四）政府信息公开平台建设情况</w:t>
      </w:r>
    </w:p>
    <w:p>
      <w:pPr>
        <w:spacing w:line="600" w:lineRule="exact"/>
        <w:ind w:firstLine="640" w:firstLineChars="200"/>
        <w:rPr>
          <w:rFonts w:hAnsi="仿宋_GB2312" w:cs="仿宋_GB2312"/>
        </w:rPr>
      </w:pPr>
      <w:r>
        <w:rPr>
          <w:rFonts w:hint="eastAsia" w:hAnsi="仿宋_GB2312" w:cs="仿宋_GB2312"/>
        </w:rPr>
        <w:t>规范平台管理，严格按照《国务院办公厅政府信息与政务公开办公室关于规范政府信息公开平台有关事项的通知》（国办公开办函〔2019〕61号）要求，设置信息公开专栏页面。拓宽公开平台，加强局政务微博微信运维管理，强化与新闻网站媒体的联动，全年政务微博和微信发布信息852条。</w:t>
      </w:r>
    </w:p>
    <w:p>
      <w:pPr>
        <w:spacing w:line="600" w:lineRule="exact"/>
        <w:ind w:firstLine="640" w:firstLineChars="200"/>
        <w:rPr>
          <w:rFonts w:ascii="楷体_GB2312" w:hAnsi="楷体_GB2312" w:eastAsia="楷体_GB2312" w:cs="楷体_GB2312"/>
        </w:rPr>
      </w:pPr>
      <w:r>
        <w:rPr>
          <w:rFonts w:hint="eastAsia" w:ascii="楷体_GB2312" w:hAnsi="楷体_GB2312" w:eastAsia="楷体_GB2312" w:cs="楷体_GB2312"/>
        </w:rPr>
        <w:t>（五）监督保障情况</w:t>
      </w:r>
    </w:p>
    <w:p>
      <w:pPr>
        <w:spacing w:line="600" w:lineRule="exact"/>
        <w:ind w:firstLine="640" w:firstLineChars="200"/>
        <w:rPr>
          <w:rFonts w:hAnsi="仿宋_GB2312" w:cs="仿宋_GB2312"/>
        </w:rPr>
      </w:pPr>
      <w:r>
        <w:rPr>
          <w:rFonts w:hint="eastAsia" w:hAnsi="仿宋_GB2312" w:cs="仿宋_GB2312"/>
        </w:rPr>
        <w:t>加强组织领导，及时调整局政务公开领导小组，局主要负责同志亲自部署，局分管负责同志具体指导安排，局办公室统筹推进、协调指导。强化问题整改落实，对省、市季度测评反馈的问题清单认真梳理，形成整改清单，交办专人和责任科室及时整改，确保整改实效。同时，将政务公开工作纳入对局机关科室和单位的年终考评。加强政府信息公开保密审查，依法保护个人隐私，全年未发生信息发布失信和影响社会稳定问题。</w:t>
      </w:r>
    </w:p>
    <w:p>
      <w:pPr>
        <w:spacing w:line="600" w:lineRule="exact"/>
        <w:ind w:firstLine="640" w:firstLineChars="200"/>
        <w:rPr>
          <w:rFonts w:ascii="宋体" w:hAnsi="宋体" w:eastAsia="宋体" w:cs="宋体"/>
          <w:color w:val="333333"/>
        </w:rPr>
      </w:pPr>
      <w:r>
        <w:rPr>
          <w:rFonts w:hint="eastAsia" w:ascii="黑体" w:hAnsi="黑体" w:eastAsia="黑体" w:cs="黑体"/>
          <w:bCs/>
          <w:color w:val="333333"/>
          <w:shd w:val="clear" w:color="auto" w:fill="FFFFFF"/>
        </w:rPr>
        <w:t>二、主动公开政府信息情况</w:t>
      </w:r>
    </w:p>
    <w:p>
      <w:pPr>
        <w:pStyle w:val="2"/>
        <w:ind w:firstLine="480"/>
      </w:pPr>
    </w:p>
    <w:tbl>
      <w:tblPr>
        <w:tblStyle w:val="6"/>
        <w:tblW w:w="0" w:type="auto"/>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tcMar>
              <w:left w:w="57" w:type="dxa"/>
              <w:right w:w="57" w:type="dxa"/>
            </w:tcMar>
            <w:vAlign w:val="center"/>
          </w:tcPr>
          <w:p>
            <w:pPr>
              <w:widowControl/>
              <w:jc w:val="cente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tcMar>
              <w:left w:w="57" w:type="dxa"/>
              <w:right w:w="57" w:type="dxa"/>
            </w:tcMar>
            <w:vAlign w:val="center"/>
          </w:tcPr>
          <w:p>
            <w:pPr>
              <w:widowControl/>
              <w:jc w:val="cente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noWrap/>
            <w:tcMar>
              <w:left w:w="57" w:type="dxa"/>
              <w:right w:w="57" w:type="dxa"/>
            </w:tcMar>
            <w:vAlign w:val="center"/>
          </w:tcPr>
          <w:p>
            <w:pPr>
              <w:widowControl/>
              <w:jc w:val="center"/>
            </w:pPr>
            <w:r>
              <w:rPr>
                <w:rFonts w:hint="eastAsia" w:ascii="宋体" w:hAnsi="宋体" w:eastAsia="宋体" w:cs="宋体"/>
                <w:color w:val="000000"/>
                <w:kern w:val="0"/>
                <w:sz w:val="20"/>
                <w:szCs w:val="20"/>
              </w:rPr>
              <w:t>本年</w:t>
            </w:r>
            <w:r>
              <w:rPr>
                <w:rFonts w:hint="eastAsia" w:ascii="宋体" w:hAnsi="宋体" w:eastAsia="宋体" w:cs="宋体"/>
                <w:kern w:val="0"/>
                <w:sz w:val="20"/>
                <w:szCs w:val="20"/>
              </w:rPr>
              <w:t>制发件数</w:t>
            </w:r>
          </w:p>
        </w:tc>
        <w:tc>
          <w:tcPr>
            <w:tcW w:w="2435" w:type="dxa"/>
            <w:tcBorders>
              <w:top w:val="single" w:color="auto" w:sz="8" w:space="0"/>
              <w:left w:val="nil"/>
              <w:bottom w:val="single" w:color="auto" w:sz="8" w:space="0"/>
              <w:right w:val="single" w:color="auto" w:sz="8" w:space="0"/>
            </w:tcBorders>
            <w:noWrap/>
            <w:tcMar>
              <w:left w:w="57" w:type="dxa"/>
              <w:right w:w="57" w:type="dxa"/>
            </w:tcMar>
            <w:vAlign w:val="center"/>
          </w:tcPr>
          <w:p>
            <w:pPr>
              <w:widowControl/>
              <w:jc w:val="cente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noWrap/>
            <w:tcMar>
              <w:left w:w="57" w:type="dxa"/>
              <w:right w:w="57" w:type="dxa"/>
            </w:tcMar>
            <w:vAlign w:val="center"/>
          </w:tcPr>
          <w:p>
            <w:pPr>
              <w:widowControl/>
              <w:jc w:val="center"/>
            </w:pPr>
            <w:r>
              <w:rPr>
                <w:rFonts w:hint="eastAsia" w:ascii="宋体" w:hAnsi="宋体" w:eastAsia="宋体" w:cs="宋体"/>
                <w:color w:val="000000"/>
                <w:kern w:val="0"/>
                <w:sz w:val="20"/>
                <w:szCs w:val="20"/>
              </w:rPr>
              <w:t>现行有效件</w:t>
            </w:r>
            <w:r>
              <w:rPr>
                <w:rFonts w:hint="eastAsia" w:ascii="宋体" w:hAnsi="宋体" w:eastAsia="宋体" w:cs="宋体"/>
                <w:kern w:val="0"/>
                <w:sz w:val="20"/>
                <w:szCs w:val="20"/>
              </w:rPr>
              <w:t>数</w:t>
            </w:r>
          </w:p>
        </w:tc>
      </w:tr>
      <w:tr>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noWrap/>
            <w:tcMar>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noWrap/>
            <w:tcMar>
              <w:left w:w="57"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　　</w:t>
            </w:r>
          </w:p>
        </w:tc>
        <w:tc>
          <w:tcPr>
            <w:tcW w:w="2435" w:type="dxa"/>
            <w:tcBorders>
              <w:top w:val="nil"/>
              <w:left w:val="nil"/>
              <w:bottom w:val="single" w:color="auto" w:sz="8" w:space="0"/>
              <w:right w:val="single" w:color="auto" w:sz="8" w:space="0"/>
            </w:tcBorders>
            <w:noWrap/>
            <w:tcMar>
              <w:left w:w="57"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　</w:t>
            </w:r>
          </w:p>
        </w:tc>
        <w:tc>
          <w:tcPr>
            <w:tcW w:w="2435" w:type="dxa"/>
            <w:tcBorders>
              <w:top w:val="nil"/>
              <w:left w:val="nil"/>
              <w:bottom w:val="single" w:color="auto" w:sz="8" w:space="0"/>
              <w:right w:val="single" w:color="auto" w:sz="8" w:space="0"/>
            </w:tcBorders>
            <w:noWrap/>
            <w:tcMar>
              <w:left w:w="57"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tcMar>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noWrap/>
            <w:tcMar>
              <w:left w:w="57"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　</w:t>
            </w:r>
          </w:p>
        </w:tc>
        <w:tc>
          <w:tcPr>
            <w:tcW w:w="2435" w:type="dxa"/>
            <w:tcBorders>
              <w:top w:val="nil"/>
              <w:left w:val="nil"/>
              <w:bottom w:val="single" w:color="auto" w:sz="8" w:space="0"/>
              <w:right w:val="single" w:color="auto" w:sz="8" w:space="0"/>
            </w:tcBorders>
            <w:noWrap/>
            <w:tcMar>
              <w:left w:w="57"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2435" w:type="dxa"/>
            <w:tcBorders>
              <w:top w:val="nil"/>
              <w:left w:val="nil"/>
              <w:bottom w:val="single" w:color="auto" w:sz="8" w:space="0"/>
              <w:right w:val="single" w:color="auto" w:sz="8" w:space="0"/>
            </w:tcBorders>
            <w:noWrap/>
            <w:tcMar>
              <w:left w:w="57"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tcMar>
              <w:left w:w="57" w:type="dxa"/>
              <w:right w:w="57" w:type="dxa"/>
            </w:tcMar>
            <w:vAlign w:val="center"/>
          </w:tcPr>
          <w:p>
            <w:pPr>
              <w:widowControl/>
              <w:jc w:val="cente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tcMar>
              <w:left w:w="57" w:type="dxa"/>
              <w:right w:w="57" w:type="dxa"/>
            </w:tcMar>
            <w:vAlign w:val="center"/>
          </w:tcPr>
          <w:p>
            <w:pPr>
              <w:widowControl/>
              <w:jc w:val="cente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tcMar>
              <w:left w:w="57" w:type="dxa"/>
              <w:right w:w="57" w:type="dxa"/>
            </w:tcMar>
            <w:vAlign w:val="center"/>
          </w:tcPr>
          <w:p>
            <w:pPr>
              <w:widowControl/>
              <w:jc w:val="left"/>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1"/>
                <w:szCs w:val="21"/>
              </w:rPr>
              <w:t>62</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tcMar>
              <w:left w:w="57" w:type="dxa"/>
              <w:right w:w="57" w:type="dxa"/>
            </w:tcMar>
            <w:vAlign w:val="center"/>
          </w:tcPr>
          <w:p>
            <w:pPr>
              <w:widowControl/>
              <w:jc w:val="cente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tcMar>
              <w:left w:w="57" w:type="dxa"/>
              <w:right w:w="57" w:type="dxa"/>
            </w:tcMar>
            <w:vAlign w:val="center"/>
          </w:tcPr>
          <w:p>
            <w:pPr>
              <w:widowControl/>
              <w:jc w:val="cente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noWrap/>
            <w:tcMar>
              <w:left w:w="57" w:type="dxa"/>
              <w:right w:w="57" w:type="dxa"/>
            </w:tcMar>
            <w:vAlign w:val="center"/>
          </w:tcPr>
          <w:p>
            <w:pPr>
              <w:widowControl/>
              <w:jc w:val="cente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noWrap/>
            <w:tcMar>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noWrap/>
            <w:tcMar>
              <w:left w:w="57"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tcMar>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noWrap/>
            <w:tcMar>
              <w:left w:w="57"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tcMar>
              <w:left w:w="57" w:type="dxa"/>
              <w:right w:w="57" w:type="dxa"/>
            </w:tcMar>
            <w:vAlign w:val="center"/>
          </w:tcPr>
          <w:p>
            <w:pPr>
              <w:widowControl/>
              <w:jc w:val="cente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tcMar>
              <w:left w:w="57" w:type="dxa"/>
              <w:right w:w="57" w:type="dxa"/>
            </w:tcMar>
            <w:vAlign w:val="center"/>
          </w:tcPr>
          <w:p>
            <w:pPr>
              <w:widowControl/>
              <w:jc w:val="cente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noWrap/>
            <w:tcMar>
              <w:left w:w="57" w:type="dxa"/>
              <w:right w:w="57" w:type="dxa"/>
            </w:tcMar>
            <w:vAlign w:val="center"/>
          </w:tcPr>
          <w:p>
            <w:pPr>
              <w:widowControl/>
              <w:jc w:val="cente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tcMar>
              <w:left w:w="57" w:type="dxa"/>
              <w:right w:w="57" w:type="dxa"/>
            </w:tcMar>
            <w:vAlign w:val="center"/>
          </w:tcPr>
          <w:p>
            <w:pPr>
              <w:widowControl/>
              <w:jc w:val="left"/>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noWrap/>
            <w:tcMar>
              <w:left w:w="57" w:type="dxa"/>
              <w:right w:w="57" w:type="dxa"/>
            </w:tcMar>
            <w:vAlign w:val="center"/>
          </w:tcPr>
          <w:p>
            <w:pPr>
              <w:jc w:val="center"/>
              <w:rPr>
                <w:rFonts w:ascii="宋体"/>
                <w:sz w:val="24"/>
                <w:szCs w:val="24"/>
              </w:rPr>
            </w:pPr>
            <w:r>
              <w:rPr>
                <w:rFonts w:hint="eastAsia" w:ascii="Calibri" w:hAnsi="Calibri" w:cs="Calibri"/>
                <w:kern w:val="0"/>
                <w:sz w:val="21"/>
                <w:szCs w:val="21"/>
              </w:rPr>
              <w:t>1163</w:t>
            </w:r>
          </w:p>
        </w:tc>
      </w:tr>
    </w:tbl>
    <w:p>
      <w:pPr>
        <w:rPr>
          <w:rFonts w:ascii="黑体" w:hAnsi="黑体" w:eastAsia="黑体" w:cs="黑体"/>
          <w:b/>
          <w:color w:val="333333"/>
          <w:shd w:val="clear" w:color="auto" w:fill="FFFFFF"/>
        </w:rPr>
      </w:pPr>
    </w:p>
    <w:p>
      <w:pPr>
        <w:widowControl/>
        <w:shd w:val="clear" w:color="auto" w:fill="FFFFFF"/>
        <w:ind w:firstLine="640" w:firstLineChars="200"/>
        <w:jc w:val="left"/>
        <w:rPr>
          <w:rFonts w:ascii="黑体" w:hAnsi="黑体" w:eastAsia="黑体" w:cs="黑体"/>
          <w:color w:val="333333"/>
          <w:kern w:val="0"/>
        </w:rPr>
      </w:pPr>
      <w:r>
        <w:rPr>
          <w:rFonts w:hint="eastAsia" w:ascii="黑体" w:hAnsi="黑体" w:eastAsia="黑体" w:cs="黑体"/>
          <w:color w:val="333333"/>
          <w:kern w:val="0"/>
        </w:rPr>
        <w:t>三、收到和处理政府信息公开申请情况</w:t>
      </w:r>
    </w:p>
    <w:p>
      <w:pPr>
        <w:pStyle w:val="5"/>
        <w:widowControl/>
        <w:shd w:val="clear" w:color="auto" w:fill="FFFFFF"/>
        <w:spacing w:before="0" w:beforeAutospacing="0" w:after="0" w:afterAutospacing="0"/>
        <w:ind w:firstLine="420"/>
        <w:jc w:val="both"/>
        <w:rPr>
          <w:rFonts w:ascii="宋体" w:hAnsi="宋体" w:eastAsia="宋体" w:cs="宋体"/>
          <w:color w:val="333333"/>
          <w:szCs w:val="24"/>
        </w:rPr>
      </w:pPr>
    </w:p>
    <w:tbl>
      <w:tblPr>
        <w:tblStyle w:val="6"/>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noWrap/>
            <w:tcMar>
              <w:left w:w="108" w:type="dxa"/>
              <w:right w:w="108" w:type="dxa"/>
            </w:tcMar>
            <w:vAlign w:val="center"/>
          </w:tcPr>
          <w:p>
            <w:pPr>
              <w:widowControl/>
              <w:jc w:val="left"/>
            </w:pPr>
            <w:r>
              <w:rPr>
                <w:rFonts w:ascii="楷体" w:hAnsi="楷体" w:eastAsia="楷体" w:cs="楷体"/>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noWrap/>
            <w:tcMar>
              <w:left w:w="57" w:type="dxa"/>
              <w:right w:w="57" w:type="dxa"/>
            </w:tcMar>
            <w:vAlign w:val="center"/>
          </w:tcPr>
          <w:p>
            <w:pPr>
              <w:widowControl/>
              <w:jc w:val="center"/>
            </w:pPr>
            <w:r>
              <w:rPr>
                <w:rFonts w:hint="eastAsia" w:ascii="宋体" w:hAnsi="宋体" w:eastAsia="宋体"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noWrap/>
            <w:tcMar>
              <w:left w:w="108" w:type="dxa"/>
              <w:right w:w="108" w:type="dxa"/>
            </w:tcMar>
            <w:vAlign w:val="center"/>
          </w:tcPr>
          <w:p>
            <w:pPr>
              <w:rPr>
                <w:rFonts w:ascii="宋体"/>
                <w:sz w:val="24"/>
                <w:szCs w:val="24"/>
              </w:rPr>
            </w:pPr>
          </w:p>
        </w:tc>
        <w:tc>
          <w:tcPr>
            <w:tcW w:w="688" w:type="dxa"/>
            <w:vMerge w:val="restart"/>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宋体" w:hAnsi="宋体" w:eastAsia="宋体" w:cs="宋体"/>
                <w:kern w:val="0"/>
                <w:sz w:val="20"/>
                <w:szCs w:val="20"/>
              </w:rPr>
              <w:t>自然人</w:t>
            </w:r>
          </w:p>
        </w:tc>
        <w:tc>
          <w:tcPr>
            <w:tcW w:w="3440" w:type="dxa"/>
            <w:gridSpan w:val="5"/>
            <w:tcBorders>
              <w:top w:val="single" w:color="auto" w:sz="8" w:space="0"/>
              <w:left w:val="nil"/>
              <w:bottom w:val="single" w:color="auto" w:sz="8" w:space="0"/>
              <w:right w:val="single" w:color="auto" w:sz="8" w:space="0"/>
            </w:tcBorders>
            <w:noWrap/>
            <w:tcMar>
              <w:left w:w="108" w:type="dxa"/>
              <w:right w:w="108" w:type="dxa"/>
            </w:tcMar>
            <w:vAlign w:val="center"/>
          </w:tcPr>
          <w:p>
            <w:pPr>
              <w:widowControl/>
              <w:jc w:val="center"/>
            </w:pPr>
            <w:r>
              <w:rPr>
                <w:rFonts w:hint="eastAsia" w:ascii="宋体" w:hAnsi="宋体" w:eastAsia="宋体" w:cs="宋体"/>
                <w:kern w:val="0"/>
                <w:sz w:val="20"/>
                <w:szCs w:val="20"/>
              </w:rPr>
              <w:t>法人或其他组织</w:t>
            </w:r>
          </w:p>
        </w:tc>
        <w:tc>
          <w:tcPr>
            <w:tcW w:w="688" w:type="dxa"/>
            <w:vMerge w:val="restart"/>
            <w:tcBorders>
              <w:top w:val="single" w:color="auto" w:sz="8" w:space="0"/>
              <w:left w:val="nil"/>
              <w:bottom w:val="outset" w:color="auto" w:sz="8" w:space="0"/>
              <w:right w:val="single" w:color="auto" w:sz="8" w:space="0"/>
            </w:tcBorders>
            <w:noWrap/>
            <w:tcMar>
              <w:left w:w="108" w:type="dxa"/>
              <w:right w:w="108" w:type="dxa"/>
            </w:tcMar>
            <w:vAlign w:val="center"/>
          </w:tcPr>
          <w:p>
            <w:pPr>
              <w:widowControl/>
              <w:jc w:val="center"/>
            </w:pPr>
            <w:r>
              <w:rPr>
                <w:rFonts w:hint="eastAsia" w:ascii="宋体" w:hAnsi="宋体" w:eastAsia="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noWrap/>
            <w:tcMar>
              <w:left w:w="108" w:type="dxa"/>
              <w:right w:w="108" w:type="dxa"/>
            </w:tcMar>
            <w:vAlign w:val="center"/>
          </w:tcPr>
          <w:p>
            <w:pPr>
              <w:rPr>
                <w:rFonts w:ascii="宋体"/>
                <w:sz w:val="24"/>
                <w:szCs w:val="24"/>
              </w:rPr>
            </w:pPr>
          </w:p>
        </w:tc>
        <w:tc>
          <w:tcPr>
            <w:tcW w:w="688" w:type="dxa"/>
            <w:vMerge w:val="continue"/>
            <w:tcBorders>
              <w:top w:val="nil"/>
              <w:left w:val="nil"/>
              <w:bottom w:val="single" w:color="auto" w:sz="8" w:space="0"/>
              <w:right w:val="single" w:color="auto" w:sz="8" w:space="0"/>
            </w:tcBorders>
            <w:noWrap/>
            <w:tcMar>
              <w:left w:w="57" w:type="dxa"/>
              <w:right w:w="57" w:type="dxa"/>
            </w:tcMar>
            <w:vAlign w:val="center"/>
          </w:tcPr>
          <w:p>
            <w:pPr>
              <w:rPr>
                <w:rFonts w:ascii="宋体"/>
                <w:sz w:val="24"/>
                <w:szCs w:val="24"/>
              </w:rPr>
            </w:pPr>
          </w:p>
        </w:tc>
        <w:tc>
          <w:tcPr>
            <w:tcW w:w="688" w:type="dxa"/>
            <w:tcBorders>
              <w:top w:val="nil"/>
              <w:left w:val="nil"/>
              <w:bottom w:val="single" w:color="auto" w:sz="8" w:space="0"/>
              <w:right w:val="single" w:color="auto" w:sz="8" w:space="0"/>
            </w:tcBorders>
            <w:noWrap/>
            <w:tcMar>
              <w:left w:w="108" w:type="dxa"/>
              <w:right w:w="108" w:type="dxa"/>
            </w:tcMar>
            <w:vAlign w:val="center"/>
          </w:tcPr>
          <w:p>
            <w:pPr>
              <w:widowControl/>
              <w:jc w:val="center"/>
            </w:pPr>
            <w:r>
              <w:rPr>
                <w:rFonts w:hint="eastAsia" w:ascii="宋体" w:hAnsi="宋体" w:eastAsia="宋体" w:cs="宋体"/>
                <w:kern w:val="0"/>
                <w:sz w:val="20"/>
                <w:szCs w:val="20"/>
              </w:rPr>
              <w:t>商业</w:t>
            </w:r>
          </w:p>
          <w:p>
            <w:pPr>
              <w:widowControl/>
              <w:jc w:val="center"/>
            </w:pPr>
            <w:r>
              <w:rPr>
                <w:rFonts w:hint="eastAsia" w:ascii="宋体" w:hAnsi="宋体" w:eastAsia="宋体" w:cs="宋体"/>
                <w:kern w:val="0"/>
                <w:sz w:val="20"/>
                <w:szCs w:val="20"/>
              </w:rPr>
              <w:t>企业</w:t>
            </w:r>
          </w:p>
        </w:tc>
        <w:tc>
          <w:tcPr>
            <w:tcW w:w="688" w:type="dxa"/>
            <w:tcBorders>
              <w:top w:val="nil"/>
              <w:left w:val="nil"/>
              <w:bottom w:val="single" w:color="auto" w:sz="8" w:space="0"/>
              <w:right w:val="single" w:color="auto" w:sz="8" w:space="0"/>
            </w:tcBorders>
            <w:noWrap/>
            <w:tcMar>
              <w:left w:w="108" w:type="dxa"/>
              <w:right w:w="108" w:type="dxa"/>
            </w:tcMar>
            <w:vAlign w:val="center"/>
          </w:tcPr>
          <w:p>
            <w:pPr>
              <w:widowControl/>
              <w:jc w:val="center"/>
            </w:pPr>
            <w:r>
              <w:rPr>
                <w:rFonts w:hint="eastAsia" w:ascii="宋体" w:hAnsi="宋体" w:eastAsia="宋体" w:cs="宋体"/>
                <w:kern w:val="0"/>
                <w:sz w:val="20"/>
                <w:szCs w:val="20"/>
              </w:rPr>
              <w:t>科研</w:t>
            </w:r>
          </w:p>
          <w:p>
            <w:pPr>
              <w:widowControl/>
              <w:jc w:val="center"/>
            </w:pPr>
            <w:r>
              <w:rPr>
                <w:rFonts w:hint="eastAsia" w:ascii="宋体" w:hAnsi="宋体" w:eastAsia="宋体" w:cs="宋体"/>
                <w:kern w:val="0"/>
                <w:sz w:val="20"/>
                <w:szCs w:val="20"/>
              </w:rPr>
              <w:t>机构</w:t>
            </w:r>
          </w:p>
        </w:tc>
        <w:tc>
          <w:tcPr>
            <w:tcW w:w="688" w:type="dxa"/>
            <w:tcBorders>
              <w:top w:val="single" w:color="auto" w:sz="8" w:space="0"/>
              <w:left w:val="nil"/>
              <w:bottom w:val="single" w:color="auto" w:sz="8" w:space="0"/>
              <w:right w:val="single" w:color="auto" w:sz="8" w:space="0"/>
            </w:tcBorders>
            <w:noWrap/>
            <w:tcMar>
              <w:left w:w="108" w:type="dxa"/>
              <w:right w:w="108" w:type="dxa"/>
            </w:tcMar>
            <w:vAlign w:val="center"/>
          </w:tcPr>
          <w:p>
            <w:pPr>
              <w:widowControl/>
              <w:jc w:val="center"/>
            </w:pPr>
            <w:r>
              <w:rPr>
                <w:rFonts w:hint="eastAsia" w:ascii="宋体" w:hAnsi="宋体" w:eastAsia="宋体" w:cs="宋体"/>
                <w:kern w:val="0"/>
                <w:sz w:val="20"/>
                <w:szCs w:val="20"/>
              </w:rPr>
              <w:t>社会公益组织</w:t>
            </w:r>
          </w:p>
        </w:tc>
        <w:tc>
          <w:tcPr>
            <w:tcW w:w="688" w:type="dxa"/>
            <w:tcBorders>
              <w:top w:val="single" w:color="auto" w:sz="8" w:space="0"/>
              <w:left w:val="nil"/>
              <w:bottom w:val="single" w:color="auto" w:sz="8" w:space="0"/>
              <w:right w:val="single" w:color="auto" w:sz="8" w:space="0"/>
            </w:tcBorders>
            <w:noWrap/>
            <w:tcMar>
              <w:left w:w="108" w:type="dxa"/>
              <w:right w:w="108" w:type="dxa"/>
            </w:tcMar>
            <w:vAlign w:val="center"/>
          </w:tcPr>
          <w:p>
            <w:pPr>
              <w:widowControl/>
              <w:jc w:val="center"/>
            </w:pPr>
            <w:r>
              <w:rPr>
                <w:rFonts w:hint="eastAsia" w:ascii="宋体" w:hAnsi="宋体" w:eastAsia="宋体" w:cs="宋体"/>
                <w:kern w:val="0"/>
                <w:sz w:val="20"/>
                <w:szCs w:val="20"/>
              </w:rPr>
              <w:t>法律服务机构</w:t>
            </w:r>
          </w:p>
        </w:tc>
        <w:tc>
          <w:tcPr>
            <w:tcW w:w="688" w:type="dxa"/>
            <w:tcBorders>
              <w:top w:val="single" w:color="auto" w:sz="8" w:space="0"/>
              <w:left w:val="nil"/>
              <w:bottom w:val="single" w:color="auto" w:sz="8" w:space="0"/>
              <w:right w:val="single" w:color="auto" w:sz="8" w:space="0"/>
            </w:tcBorders>
            <w:noWrap/>
            <w:tcMar>
              <w:left w:w="108" w:type="dxa"/>
              <w:right w:w="108" w:type="dxa"/>
            </w:tcMar>
            <w:vAlign w:val="center"/>
          </w:tcPr>
          <w:p>
            <w:pPr>
              <w:widowControl/>
              <w:jc w:val="center"/>
            </w:pPr>
            <w:r>
              <w:rPr>
                <w:rFonts w:hint="eastAsia" w:ascii="宋体" w:hAnsi="宋体" w:eastAsia="宋体" w:cs="宋体"/>
                <w:kern w:val="0"/>
                <w:sz w:val="20"/>
                <w:szCs w:val="20"/>
              </w:rPr>
              <w:t>其他</w:t>
            </w:r>
          </w:p>
        </w:tc>
        <w:tc>
          <w:tcPr>
            <w:tcW w:w="688" w:type="dxa"/>
            <w:vMerge w:val="continue"/>
            <w:tcBorders>
              <w:top w:val="single" w:color="auto" w:sz="8" w:space="0"/>
              <w:left w:val="nil"/>
              <w:bottom w:val="outset" w:color="auto" w:sz="8" w:space="0"/>
              <w:right w:val="single" w:color="auto" w:sz="8" w:space="0"/>
            </w:tcBorders>
            <w:noWrap/>
            <w:tcMar>
              <w:left w:w="108" w:type="dxa"/>
              <w:right w:w="108" w:type="dxa"/>
            </w:tcMar>
            <w:vAlign w:val="center"/>
          </w:tcPr>
          <w:p>
            <w:pPr>
              <w:rPr>
                <w:rFonts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4929" w:type="dxa"/>
            <w:gridSpan w:val="3"/>
            <w:tcBorders>
              <w:top w:val="nil"/>
              <w:left w:val="single" w:color="auto" w:sz="8" w:space="0"/>
              <w:bottom w:val="single" w:color="auto" w:sz="8" w:space="0"/>
              <w:right w:val="single" w:color="auto" w:sz="8" w:space="0"/>
            </w:tcBorders>
            <w:noWrap/>
            <w:tcMar>
              <w:left w:w="57" w:type="dxa"/>
              <w:right w:w="57" w:type="dxa"/>
            </w:tcMar>
            <w:vAlign w:val="center"/>
          </w:tcPr>
          <w:p>
            <w:pPr>
              <w:widowControl/>
              <w:jc w:val="left"/>
            </w:pPr>
            <w:r>
              <w:rPr>
                <w:rFonts w:hint="eastAsia" w:ascii="宋体" w:hAnsi="宋体" w:eastAsia="宋体" w:cs="宋体"/>
                <w:kern w:val="0"/>
                <w:sz w:val="20"/>
                <w:szCs w:val="20"/>
              </w:rPr>
              <w:t>一、本年新收政府信息公开申请数量</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rPr>
                <w:rFonts w:hint="eastAsia" w:eastAsia="仿宋_GB2312"/>
                <w:lang w:eastAsia="zh-CN"/>
              </w:rPr>
            </w:pPr>
            <w:r>
              <w:rPr>
                <w:rFonts w:ascii="Calibri" w:hAnsi="Calibri" w:cs="Calibri"/>
                <w:kern w:val="0"/>
                <w:sz w:val="20"/>
                <w:szCs w:val="20"/>
              </w:rPr>
              <w:t> </w:t>
            </w:r>
            <w:r>
              <w:rPr>
                <w:rFonts w:hint="eastAsia" w:ascii="Calibri" w:hAnsi="Calibri" w:cs="Calibri"/>
                <w:kern w:val="0"/>
                <w:sz w:val="20"/>
                <w:szCs w:val="20"/>
                <w:lang w:val="en-US" w:eastAsia="zh-CN"/>
              </w:rPr>
              <w:t>7</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ascii="Calibri" w:hAnsi="Calibri" w:cs="Calibri"/>
                <w:kern w:val="0"/>
                <w:sz w:val="20"/>
                <w:szCs w:val="20"/>
              </w:rPr>
              <w:t xml:space="preserve"> </w:t>
            </w:r>
            <w:r>
              <w:rPr>
                <w:rFonts w:hint="eastAsia" w:ascii="Calibri" w:hAnsi="Calibri" w:cs="Calibri"/>
                <w:kern w:val="0"/>
                <w:sz w:val="20"/>
                <w:szCs w:val="20"/>
                <w:lang w:val="en-US" w:eastAsia="zh-CN"/>
              </w:rPr>
              <w:t>7</w:t>
            </w: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noWrap/>
            <w:tcMar>
              <w:left w:w="57" w:type="dxa"/>
              <w:right w:w="57" w:type="dxa"/>
            </w:tcMar>
            <w:vAlign w:val="center"/>
          </w:tcPr>
          <w:p>
            <w:pPr>
              <w:widowControl/>
              <w:jc w:val="left"/>
            </w:pPr>
            <w:r>
              <w:rPr>
                <w:rFonts w:hint="eastAsia" w:ascii="宋体" w:hAnsi="宋体" w:eastAsia="宋体" w:cs="宋体"/>
                <w:kern w:val="0"/>
                <w:sz w:val="20"/>
                <w:szCs w:val="20"/>
              </w:rPr>
              <w:t>二、上年结转政府信息公开申请数量</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rPr>
                <w:rFonts w:hint="eastAsia" w:eastAsia="仿宋_GB2312"/>
                <w:lang w:eastAsia="zh-CN"/>
              </w:rPr>
            </w:pPr>
            <w:r>
              <w:rPr>
                <w:rFonts w:ascii="Calibri" w:hAnsi="Calibri" w:cs="Calibri"/>
                <w:kern w:val="0"/>
                <w:sz w:val="20"/>
                <w:szCs w:val="20"/>
              </w:rPr>
              <w:t> </w:t>
            </w:r>
            <w:r>
              <w:rPr>
                <w:rFonts w:hint="eastAsia" w:ascii="Calibri" w:hAnsi="Calibri" w:cs="Calibri"/>
                <w:kern w:val="0"/>
                <w:sz w:val="20"/>
                <w:szCs w:val="20"/>
                <w:lang w:val="en-US" w:eastAsia="zh-CN"/>
              </w:rPr>
              <w:t>2</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noWrap/>
            <w:tcMar>
              <w:left w:w="57" w:type="dxa"/>
              <w:right w:w="57" w:type="dxa"/>
            </w:tcMar>
          </w:tcPr>
          <w:p>
            <w:pPr>
              <w:widowControl/>
              <w:jc w:val="center"/>
              <w:rPr>
                <w:rFonts w:hint="eastAsia" w:eastAsia="仿宋_GB2312"/>
                <w:lang w:eastAsia="zh-CN"/>
              </w:rPr>
            </w:pPr>
            <w:r>
              <w:rPr>
                <w:rFonts w:hint="eastAsia" w:ascii="Calibri" w:hAnsi="Calibri" w:cs="Calibri"/>
                <w:kern w:val="0"/>
                <w:sz w:val="20"/>
                <w:szCs w:val="20"/>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noWrap/>
            <w:tcMar>
              <w:left w:w="57" w:type="dxa"/>
              <w:right w:w="57" w:type="dxa"/>
            </w:tcMar>
            <w:vAlign w:val="center"/>
          </w:tcPr>
          <w:p>
            <w:pPr>
              <w:widowControl/>
              <w:jc w:val="left"/>
            </w:pPr>
            <w:r>
              <w:rPr>
                <w:rFonts w:hint="eastAsia" w:ascii="宋体" w:hAnsi="宋体" w:eastAsia="宋体" w:cs="宋体"/>
                <w:kern w:val="0"/>
                <w:sz w:val="20"/>
                <w:szCs w:val="20"/>
              </w:rPr>
              <w:t>三、本年度办理结果</w:t>
            </w:r>
          </w:p>
        </w:tc>
        <w:tc>
          <w:tcPr>
            <w:tcW w:w="4162" w:type="dxa"/>
            <w:gridSpan w:val="2"/>
            <w:tcBorders>
              <w:top w:val="nil"/>
              <w:left w:val="nil"/>
              <w:bottom w:val="single" w:color="auto" w:sz="8" w:space="0"/>
              <w:right w:val="single" w:color="auto" w:sz="8" w:space="0"/>
            </w:tcBorders>
            <w:noWrap/>
            <w:tcMar>
              <w:left w:w="57" w:type="dxa"/>
              <w:right w:w="57" w:type="dxa"/>
            </w:tcMar>
            <w:vAlign w:val="center"/>
          </w:tcPr>
          <w:p>
            <w:pPr>
              <w:widowControl/>
              <w:jc w:val="left"/>
            </w:pPr>
            <w:r>
              <w:rPr>
                <w:rFonts w:hint="eastAsia" w:ascii="宋体" w:hAnsi="宋体" w:eastAsia="宋体" w:cs="宋体"/>
                <w:kern w:val="0"/>
                <w:sz w:val="20"/>
                <w:szCs w:val="20"/>
              </w:rPr>
              <w:t>（一）予以公开</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rPr>
                <w:rFonts w:hint="eastAsia" w:eastAsia="仿宋_GB2312"/>
                <w:lang w:eastAsia="zh-CN"/>
              </w:rPr>
            </w:pPr>
            <w:r>
              <w:rPr>
                <w:rFonts w:hint="eastAsia" w:ascii="Calibri" w:hAnsi="Calibri" w:cs="Calibri"/>
                <w:kern w:val="0"/>
                <w:sz w:val="20"/>
                <w:szCs w:val="20"/>
                <w:lang w:val="en-US" w:eastAsia="zh-CN"/>
              </w:rPr>
              <w:t>3</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single" w:color="auto" w:sz="8" w:space="0"/>
              <w:left w:val="nil"/>
              <w:bottom w:val="single" w:color="auto" w:sz="8" w:space="0"/>
              <w:right w:val="single" w:color="auto" w:sz="8" w:space="0"/>
            </w:tcBorders>
            <w:noWrap/>
            <w:tcMar>
              <w:left w:w="57" w:type="dxa"/>
              <w:right w:w="57" w:type="dxa"/>
            </w:tcMar>
          </w:tcPr>
          <w:p>
            <w:pPr>
              <w:widowControl/>
              <w:jc w:val="center"/>
              <w:rPr>
                <w:rFonts w:hint="eastAsia" w:eastAsia="仿宋_GB2312"/>
                <w:lang w:eastAsia="zh-CN"/>
              </w:rPr>
            </w:pPr>
            <w:r>
              <w:rPr>
                <w:rFonts w:hint="eastAsia" w:ascii="Calibri" w:hAnsi="Calibri" w:cs="Calibri"/>
                <w:kern w:val="0"/>
                <w:sz w:val="20"/>
                <w:szCs w:val="20"/>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rPr>
                <w:rFonts w:ascii="宋体"/>
                <w:sz w:val="24"/>
                <w:szCs w:val="24"/>
              </w:rPr>
            </w:pPr>
          </w:p>
        </w:tc>
        <w:tc>
          <w:tcPr>
            <w:tcW w:w="4162" w:type="dxa"/>
            <w:gridSpan w:val="2"/>
            <w:tcBorders>
              <w:top w:val="nil"/>
              <w:left w:val="nil"/>
              <w:bottom w:val="single" w:color="auto" w:sz="8" w:space="0"/>
              <w:right w:val="single" w:color="auto" w:sz="8" w:space="0"/>
            </w:tcBorders>
            <w:noWrap/>
            <w:tcMar>
              <w:left w:w="57" w:type="dxa"/>
              <w:right w:w="57" w:type="dxa"/>
            </w:tcMar>
            <w:vAlign w:val="center"/>
          </w:tcPr>
          <w:p>
            <w:pPr>
              <w:widowControl/>
              <w:jc w:val="left"/>
            </w:pPr>
            <w:r>
              <w:rPr>
                <w:rFonts w:hint="eastAsia" w:ascii="宋体" w:hAnsi="宋体" w:eastAsia="宋体" w:cs="宋体"/>
                <w:kern w:val="0"/>
                <w:sz w:val="20"/>
                <w:szCs w:val="20"/>
              </w:rPr>
              <w:t>（二）部分公开</w:t>
            </w:r>
            <w:r>
              <w:rPr>
                <w:rFonts w:hint="eastAsia" w:ascii="楷体" w:hAnsi="楷体" w:eastAsia="楷体" w:cs="楷体"/>
                <w:kern w:val="0"/>
                <w:sz w:val="20"/>
                <w:szCs w:val="20"/>
              </w:rPr>
              <w:t>（区分处理的，只计这一情形，不计其他情形）</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rPr>
                <w:rFonts w:hint="eastAsia" w:eastAsia="仿宋_GB2312"/>
                <w:lang w:eastAsia="zh-CN"/>
              </w:rPr>
            </w:pPr>
            <w:r>
              <w:rPr>
                <w:rFonts w:hint="eastAsia" w:ascii="Calibri" w:hAnsi="Calibri" w:cs="Calibri"/>
                <w:kern w:val="0"/>
                <w:sz w:val="20"/>
                <w:szCs w:val="20"/>
                <w:lang w:val="en-US" w:eastAsia="zh-CN"/>
              </w:rPr>
              <w:t>3</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rPr>
                <w:rFonts w:hint="eastAsia" w:eastAsia="仿宋_GB2312"/>
                <w:lang w:eastAsia="zh-CN"/>
              </w:rPr>
            </w:pPr>
            <w:r>
              <w:rPr>
                <w:rFonts w:hint="eastAsia" w:ascii="Calibri" w:hAnsi="Calibri" w:cs="Calibri"/>
                <w:kern w:val="0"/>
                <w:sz w:val="20"/>
                <w:szCs w:val="20"/>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rPr>
                <w:rFonts w:ascii="宋体"/>
                <w:sz w:val="24"/>
                <w:szCs w:val="24"/>
              </w:rPr>
            </w:pPr>
          </w:p>
        </w:tc>
        <w:tc>
          <w:tcPr>
            <w:tcW w:w="943" w:type="dxa"/>
            <w:vMerge w:val="restart"/>
            <w:tcBorders>
              <w:top w:val="nil"/>
              <w:left w:val="nil"/>
              <w:bottom w:val="outset" w:color="auto" w:sz="8" w:space="0"/>
              <w:right w:val="single" w:color="auto" w:sz="8" w:space="0"/>
            </w:tcBorders>
            <w:noWrap/>
            <w:tcMar>
              <w:left w:w="57" w:type="dxa"/>
              <w:right w:w="57" w:type="dxa"/>
            </w:tcMar>
            <w:vAlign w:val="center"/>
          </w:tcPr>
          <w:p>
            <w:pPr>
              <w:widowControl/>
              <w:jc w:val="left"/>
            </w:pPr>
            <w:r>
              <w:rPr>
                <w:rFonts w:hint="eastAsia" w:ascii="宋体" w:hAnsi="宋体" w:eastAsia="宋体" w:cs="宋体"/>
                <w:kern w:val="0"/>
                <w:sz w:val="20"/>
                <w:szCs w:val="20"/>
              </w:rPr>
              <w:t>（三）不予公开</w:t>
            </w:r>
          </w:p>
        </w:tc>
        <w:tc>
          <w:tcPr>
            <w:tcW w:w="3219" w:type="dxa"/>
            <w:tcBorders>
              <w:top w:val="nil"/>
              <w:left w:val="nil"/>
              <w:bottom w:val="single" w:color="auto" w:sz="8" w:space="0"/>
              <w:right w:val="single" w:color="auto" w:sz="8" w:space="0"/>
            </w:tcBorders>
            <w:noWrap/>
            <w:tcMar>
              <w:left w:w="57" w:type="dxa"/>
              <w:right w:w="57" w:type="dxa"/>
            </w:tcMar>
          </w:tcPr>
          <w:p>
            <w:pPr>
              <w:widowControl/>
              <w:jc w:val="left"/>
            </w:pPr>
            <w:r>
              <w:rPr>
                <w:rFonts w:hint="eastAsia" w:ascii="宋体" w:hAnsi="宋体" w:eastAsia="宋体" w:cs="宋体"/>
                <w:kern w:val="0"/>
                <w:sz w:val="20"/>
                <w:szCs w:val="20"/>
              </w:rPr>
              <w:t>1.属于国家秘密</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single" w:color="auto" w:sz="8" w:space="0"/>
              <w:left w:val="nil"/>
              <w:bottom w:val="single" w:color="auto" w:sz="8" w:space="0"/>
              <w:right w:val="single" w:color="auto" w:sz="8" w:space="0"/>
            </w:tcBorders>
            <w:noWrap/>
            <w:tcMar>
              <w:left w:w="57" w:type="dxa"/>
              <w:right w:w="57" w:type="dxa"/>
            </w:tcMa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noWrap/>
            <w:tcMar>
              <w:left w:w="57" w:type="dxa"/>
              <w:right w:w="57" w:type="dxa"/>
            </w:tcMar>
            <w:vAlign w:val="center"/>
          </w:tcPr>
          <w:p>
            <w:pPr>
              <w:rPr>
                <w:rFonts w:ascii="宋体"/>
                <w:sz w:val="24"/>
                <w:szCs w:val="24"/>
              </w:rPr>
            </w:pPr>
          </w:p>
        </w:tc>
        <w:tc>
          <w:tcPr>
            <w:tcW w:w="3219" w:type="dxa"/>
            <w:tcBorders>
              <w:top w:val="nil"/>
              <w:left w:val="nil"/>
              <w:bottom w:val="single" w:color="auto" w:sz="8" w:space="0"/>
              <w:right w:val="single" w:color="auto" w:sz="8" w:space="0"/>
            </w:tcBorders>
            <w:noWrap/>
            <w:tcMar>
              <w:left w:w="57" w:type="dxa"/>
              <w:right w:w="57" w:type="dxa"/>
            </w:tcMar>
          </w:tcPr>
          <w:p>
            <w:pPr>
              <w:widowControl/>
              <w:jc w:val="left"/>
            </w:pPr>
            <w:r>
              <w:rPr>
                <w:rFonts w:hint="eastAsia" w:ascii="宋体" w:hAnsi="宋体" w:eastAsia="宋体" w:cs="宋体"/>
                <w:kern w:val="0"/>
                <w:sz w:val="20"/>
                <w:szCs w:val="20"/>
              </w:rPr>
              <w:t>2.其他法律行政法规禁止公开</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noWrap/>
            <w:tcMar>
              <w:left w:w="57" w:type="dxa"/>
              <w:right w:w="57" w:type="dxa"/>
            </w:tcMar>
            <w:vAlign w:val="center"/>
          </w:tcPr>
          <w:p>
            <w:pPr>
              <w:rPr>
                <w:rFonts w:ascii="宋体"/>
                <w:sz w:val="24"/>
                <w:szCs w:val="24"/>
              </w:rPr>
            </w:pPr>
          </w:p>
        </w:tc>
        <w:tc>
          <w:tcPr>
            <w:tcW w:w="3219" w:type="dxa"/>
            <w:tcBorders>
              <w:top w:val="nil"/>
              <w:left w:val="nil"/>
              <w:bottom w:val="single" w:color="auto" w:sz="8" w:space="0"/>
              <w:right w:val="single" w:color="auto" w:sz="8" w:space="0"/>
            </w:tcBorders>
            <w:noWrap/>
            <w:tcMar>
              <w:left w:w="57" w:type="dxa"/>
              <w:right w:w="57" w:type="dxa"/>
            </w:tcMar>
          </w:tcPr>
          <w:p>
            <w:pPr>
              <w:widowControl/>
              <w:jc w:val="left"/>
            </w:pPr>
            <w:r>
              <w:rPr>
                <w:rFonts w:hint="eastAsia" w:ascii="宋体" w:hAnsi="宋体" w:eastAsia="宋体" w:cs="宋体"/>
                <w:kern w:val="0"/>
                <w:sz w:val="20"/>
                <w:szCs w:val="20"/>
              </w:rPr>
              <w:t>3.危及“三安全一稳定”</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noWrap/>
            <w:tcMar>
              <w:left w:w="57" w:type="dxa"/>
              <w:right w:w="57" w:type="dxa"/>
            </w:tcMar>
            <w:vAlign w:val="center"/>
          </w:tcPr>
          <w:p>
            <w:pPr>
              <w:rPr>
                <w:rFonts w:ascii="宋体"/>
                <w:sz w:val="24"/>
                <w:szCs w:val="24"/>
              </w:rPr>
            </w:pPr>
          </w:p>
        </w:tc>
        <w:tc>
          <w:tcPr>
            <w:tcW w:w="3219" w:type="dxa"/>
            <w:tcBorders>
              <w:top w:val="nil"/>
              <w:left w:val="nil"/>
              <w:bottom w:val="single" w:color="auto" w:sz="8" w:space="0"/>
              <w:right w:val="single" w:color="auto" w:sz="8" w:space="0"/>
            </w:tcBorders>
            <w:noWrap/>
            <w:tcMar>
              <w:left w:w="57" w:type="dxa"/>
              <w:right w:w="57" w:type="dxa"/>
            </w:tcMar>
          </w:tcPr>
          <w:p>
            <w:pPr>
              <w:widowControl/>
              <w:jc w:val="left"/>
            </w:pPr>
            <w:r>
              <w:rPr>
                <w:rFonts w:hint="eastAsia" w:ascii="宋体" w:hAnsi="宋体" w:eastAsia="宋体" w:cs="宋体"/>
                <w:kern w:val="0"/>
                <w:sz w:val="20"/>
                <w:szCs w:val="20"/>
              </w:rPr>
              <w:t>4.保护第三方合法权益</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noWrap/>
            <w:tcMar>
              <w:left w:w="57" w:type="dxa"/>
              <w:right w:w="57" w:type="dxa"/>
            </w:tcMar>
            <w:vAlign w:val="center"/>
          </w:tcPr>
          <w:p>
            <w:pPr>
              <w:rPr>
                <w:rFonts w:ascii="宋体"/>
                <w:sz w:val="24"/>
                <w:szCs w:val="24"/>
              </w:rPr>
            </w:pPr>
          </w:p>
        </w:tc>
        <w:tc>
          <w:tcPr>
            <w:tcW w:w="3219" w:type="dxa"/>
            <w:tcBorders>
              <w:top w:val="nil"/>
              <w:left w:val="nil"/>
              <w:bottom w:val="single" w:color="auto" w:sz="8" w:space="0"/>
              <w:right w:val="single" w:color="auto" w:sz="8" w:space="0"/>
            </w:tcBorders>
            <w:noWrap/>
            <w:tcMar>
              <w:left w:w="57" w:type="dxa"/>
              <w:right w:w="57" w:type="dxa"/>
            </w:tcMar>
          </w:tcPr>
          <w:p>
            <w:pPr>
              <w:widowControl/>
              <w:jc w:val="left"/>
            </w:pPr>
            <w:r>
              <w:rPr>
                <w:rFonts w:hint="eastAsia" w:ascii="宋体" w:hAnsi="宋体" w:eastAsia="宋体" w:cs="宋体"/>
                <w:kern w:val="0"/>
                <w:sz w:val="20"/>
                <w:szCs w:val="20"/>
              </w:rPr>
              <w:t>5.属于三类内部事务信息</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noWrap/>
            <w:tcMar>
              <w:left w:w="57" w:type="dxa"/>
              <w:right w:w="57" w:type="dxa"/>
            </w:tcMar>
            <w:vAlign w:val="center"/>
          </w:tcPr>
          <w:p>
            <w:pPr>
              <w:rPr>
                <w:rFonts w:ascii="宋体"/>
                <w:sz w:val="24"/>
                <w:szCs w:val="24"/>
              </w:rPr>
            </w:pPr>
          </w:p>
        </w:tc>
        <w:tc>
          <w:tcPr>
            <w:tcW w:w="3219" w:type="dxa"/>
            <w:tcBorders>
              <w:top w:val="nil"/>
              <w:left w:val="nil"/>
              <w:bottom w:val="single" w:color="auto" w:sz="8" w:space="0"/>
              <w:right w:val="single" w:color="auto" w:sz="8" w:space="0"/>
            </w:tcBorders>
            <w:noWrap/>
            <w:tcMar>
              <w:left w:w="57" w:type="dxa"/>
              <w:right w:w="57" w:type="dxa"/>
            </w:tcMar>
          </w:tcPr>
          <w:p>
            <w:pPr>
              <w:widowControl/>
              <w:jc w:val="left"/>
            </w:pPr>
            <w:r>
              <w:rPr>
                <w:rFonts w:hint="eastAsia" w:ascii="宋体" w:hAnsi="宋体" w:eastAsia="宋体" w:cs="宋体"/>
                <w:kern w:val="0"/>
                <w:sz w:val="20"/>
                <w:szCs w:val="20"/>
              </w:rPr>
              <w:t>6.属于四类过程性信息</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noWrap/>
            <w:tcMar>
              <w:left w:w="57" w:type="dxa"/>
              <w:right w:w="57" w:type="dxa"/>
            </w:tcMar>
            <w:vAlign w:val="center"/>
          </w:tcPr>
          <w:p>
            <w:pPr>
              <w:rPr>
                <w:rFonts w:ascii="宋体"/>
                <w:sz w:val="24"/>
                <w:szCs w:val="24"/>
              </w:rPr>
            </w:pPr>
          </w:p>
        </w:tc>
        <w:tc>
          <w:tcPr>
            <w:tcW w:w="3219" w:type="dxa"/>
            <w:tcBorders>
              <w:top w:val="nil"/>
              <w:left w:val="nil"/>
              <w:bottom w:val="single" w:color="auto" w:sz="8" w:space="0"/>
              <w:right w:val="single" w:color="auto" w:sz="8" w:space="0"/>
            </w:tcBorders>
            <w:noWrap/>
            <w:tcMar>
              <w:left w:w="57" w:type="dxa"/>
              <w:right w:w="57" w:type="dxa"/>
            </w:tcMar>
          </w:tcPr>
          <w:p>
            <w:pPr>
              <w:widowControl/>
              <w:jc w:val="left"/>
            </w:pPr>
            <w:r>
              <w:rPr>
                <w:rFonts w:hint="eastAsia" w:ascii="宋体" w:hAnsi="宋体" w:eastAsia="宋体" w:cs="宋体"/>
                <w:kern w:val="0"/>
                <w:sz w:val="20"/>
                <w:szCs w:val="20"/>
              </w:rPr>
              <w:t>7.属于行政执法案卷</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noWrap/>
            <w:tcMar>
              <w:left w:w="57" w:type="dxa"/>
              <w:right w:w="57" w:type="dxa"/>
            </w:tcMar>
            <w:vAlign w:val="center"/>
          </w:tcPr>
          <w:p>
            <w:pPr>
              <w:rPr>
                <w:rFonts w:ascii="宋体"/>
                <w:sz w:val="24"/>
                <w:szCs w:val="24"/>
              </w:rPr>
            </w:pPr>
          </w:p>
        </w:tc>
        <w:tc>
          <w:tcPr>
            <w:tcW w:w="3219" w:type="dxa"/>
            <w:tcBorders>
              <w:top w:val="nil"/>
              <w:left w:val="nil"/>
              <w:bottom w:val="single" w:color="auto" w:sz="8" w:space="0"/>
              <w:right w:val="single" w:color="auto" w:sz="8" w:space="0"/>
            </w:tcBorders>
            <w:noWrap/>
            <w:tcMar>
              <w:left w:w="57" w:type="dxa"/>
              <w:right w:w="57" w:type="dxa"/>
            </w:tcMar>
          </w:tcPr>
          <w:p>
            <w:pPr>
              <w:widowControl/>
              <w:jc w:val="left"/>
            </w:pPr>
            <w:r>
              <w:rPr>
                <w:rFonts w:hint="eastAsia" w:ascii="宋体" w:hAnsi="宋体" w:eastAsia="宋体" w:cs="宋体"/>
                <w:kern w:val="0"/>
                <w:sz w:val="20"/>
                <w:szCs w:val="20"/>
              </w:rPr>
              <w:t>8.属于行政查询事项</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rPr>
                <w:rFonts w:ascii="宋体"/>
                <w:sz w:val="24"/>
                <w:szCs w:val="24"/>
              </w:rPr>
            </w:pPr>
          </w:p>
        </w:tc>
        <w:tc>
          <w:tcPr>
            <w:tcW w:w="943" w:type="dxa"/>
            <w:vMerge w:val="restart"/>
            <w:tcBorders>
              <w:top w:val="nil"/>
              <w:left w:val="nil"/>
              <w:bottom w:val="outset" w:color="auto" w:sz="8" w:space="0"/>
              <w:right w:val="single" w:color="auto" w:sz="8" w:space="0"/>
            </w:tcBorders>
            <w:noWrap/>
            <w:tcMar>
              <w:left w:w="57" w:type="dxa"/>
              <w:right w:w="57" w:type="dxa"/>
            </w:tcMar>
            <w:vAlign w:val="center"/>
          </w:tcPr>
          <w:p>
            <w:pPr>
              <w:widowControl/>
              <w:jc w:val="left"/>
            </w:pPr>
            <w:r>
              <w:rPr>
                <w:rFonts w:hint="eastAsia" w:ascii="宋体" w:hAnsi="宋体" w:eastAsia="宋体" w:cs="宋体"/>
                <w:kern w:val="0"/>
                <w:sz w:val="20"/>
                <w:szCs w:val="20"/>
              </w:rPr>
              <w:t>（四）无法提供</w:t>
            </w:r>
          </w:p>
        </w:tc>
        <w:tc>
          <w:tcPr>
            <w:tcW w:w="3219" w:type="dxa"/>
            <w:tcBorders>
              <w:top w:val="nil"/>
              <w:left w:val="nil"/>
              <w:bottom w:val="single" w:color="auto" w:sz="8" w:space="0"/>
              <w:right w:val="single" w:color="auto" w:sz="8" w:space="0"/>
            </w:tcBorders>
            <w:noWrap/>
            <w:tcMar>
              <w:left w:w="57" w:type="dxa"/>
              <w:right w:w="57" w:type="dxa"/>
            </w:tcMar>
          </w:tcPr>
          <w:p>
            <w:pPr>
              <w:widowControl/>
              <w:jc w:val="left"/>
            </w:pPr>
            <w:r>
              <w:rPr>
                <w:rFonts w:hint="eastAsia" w:ascii="宋体" w:hAnsi="宋体" w:eastAsia="宋体" w:cs="宋体"/>
                <w:kern w:val="0"/>
                <w:sz w:val="20"/>
                <w:szCs w:val="20"/>
              </w:rPr>
              <w:t>1.本机关不掌握相关政府信息</w:t>
            </w:r>
          </w:p>
        </w:tc>
        <w:tc>
          <w:tcPr>
            <w:tcW w:w="688" w:type="dxa"/>
            <w:tcBorders>
              <w:top w:val="nil"/>
              <w:left w:val="nil"/>
              <w:bottom w:val="single" w:color="auto" w:sz="8" w:space="0"/>
              <w:right w:val="single" w:color="auto" w:sz="8" w:space="0"/>
            </w:tcBorders>
            <w:noWrap/>
            <w:tcMar>
              <w:left w:w="57" w:type="dxa"/>
              <w:right w:w="57" w:type="dxa"/>
            </w:tcMar>
          </w:tcPr>
          <w:p>
            <w:pPr>
              <w:widowControl/>
              <w:jc w:val="center"/>
            </w:pPr>
            <w:r>
              <w:rPr>
                <w:rFonts w:ascii="Calibri" w:hAnsi="Calibri" w:cs="Calibri"/>
                <w:kern w:val="0"/>
                <w:sz w:val="20"/>
                <w:szCs w:val="20"/>
              </w:rPr>
              <w:t> </w:t>
            </w:r>
            <w:r>
              <w:rPr>
                <w:rFonts w:hint="eastAsia" w:ascii="Calibri" w:hAnsi="Calibri" w:cs="Calibri"/>
                <w:kern w:val="0"/>
                <w:sz w:val="20"/>
                <w:szCs w:val="20"/>
              </w:rPr>
              <w:t>1</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ascii="Calibri" w:hAnsi="Calibri" w:cs="Calibri"/>
                <w:kern w:val="0"/>
                <w:sz w:val="20"/>
                <w:szCs w:val="2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noWrap/>
            <w:tcMar>
              <w:left w:w="57" w:type="dxa"/>
              <w:right w:w="57" w:type="dxa"/>
            </w:tcMar>
            <w:vAlign w:val="center"/>
          </w:tcPr>
          <w:p>
            <w:pPr>
              <w:rPr>
                <w:rFonts w:ascii="宋体"/>
                <w:sz w:val="24"/>
                <w:szCs w:val="24"/>
              </w:rPr>
            </w:pPr>
          </w:p>
        </w:tc>
        <w:tc>
          <w:tcPr>
            <w:tcW w:w="3219" w:type="dxa"/>
            <w:tcBorders>
              <w:top w:val="nil"/>
              <w:left w:val="nil"/>
              <w:bottom w:val="single" w:color="auto" w:sz="8" w:space="0"/>
              <w:right w:val="single" w:color="auto" w:sz="8" w:space="0"/>
            </w:tcBorders>
            <w:noWrap/>
            <w:tcMar>
              <w:left w:w="57" w:type="dxa"/>
              <w:right w:w="57" w:type="dxa"/>
            </w:tcMar>
          </w:tcPr>
          <w:p>
            <w:pPr>
              <w:widowControl/>
              <w:jc w:val="left"/>
            </w:pPr>
            <w:r>
              <w:rPr>
                <w:rFonts w:hint="eastAsia" w:ascii="宋体" w:hAnsi="宋体" w:eastAsia="宋体" w:cs="宋体"/>
                <w:kern w:val="0"/>
                <w:sz w:val="20"/>
                <w:szCs w:val="20"/>
              </w:rPr>
              <w:t>2.没有现成信息需要另行制作</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noWrap/>
            <w:tcMar>
              <w:left w:w="57" w:type="dxa"/>
              <w:right w:w="57" w:type="dxa"/>
            </w:tcMar>
            <w:vAlign w:val="center"/>
          </w:tcPr>
          <w:p>
            <w:pPr>
              <w:rPr>
                <w:rFonts w:ascii="宋体"/>
                <w:sz w:val="24"/>
                <w:szCs w:val="24"/>
              </w:rPr>
            </w:pPr>
          </w:p>
        </w:tc>
        <w:tc>
          <w:tcPr>
            <w:tcW w:w="3219" w:type="dxa"/>
            <w:tcBorders>
              <w:top w:val="nil"/>
              <w:left w:val="nil"/>
              <w:bottom w:val="single" w:color="auto" w:sz="8" w:space="0"/>
              <w:right w:val="single" w:color="auto" w:sz="8" w:space="0"/>
            </w:tcBorders>
            <w:noWrap/>
            <w:tcMar>
              <w:left w:w="57" w:type="dxa"/>
              <w:right w:w="57" w:type="dxa"/>
            </w:tcMar>
          </w:tcPr>
          <w:p>
            <w:pPr>
              <w:widowControl/>
              <w:jc w:val="left"/>
            </w:pPr>
            <w:r>
              <w:rPr>
                <w:rFonts w:hint="eastAsia" w:ascii="宋体" w:hAnsi="宋体" w:eastAsia="宋体" w:cs="宋体"/>
                <w:kern w:val="0"/>
                <w:sz w:val="20"/>
                <w:szCs w:val="20"/>
              </w:rPr>
              <w:t>3.补正后申请内容仍不明确</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rPr>
                <w:rFonts w:ascii="宋体"/>
                <w:sz w:val="24"/>
                <w:szCs w:val="24"/>
              </w:rPr>
            </w:pPr>
          </w:p>
        </w:tc>
        <w:tc>
          <w:tcPr>
            <w:tcW w:w="943" w:type="dxa"/>
            <w:vMerge w:val="restart"/>
            <w:tcBorders>
              <w:top w:val="nil"/>
              <w:left w:val="nil"/>
              <w:bottom w:val="outset" w:color="auto" w:sz="8" w:space="0"/>
              <w:right w:val="single" w:color="auto" w:sz="8" w:space="0"/>
            </w:tcBorders>
            <w:noWrap/>
            <w:tcMar>
              <w:left w:w="57" w:type="dxa"/>
              <w:right w:w="57" w:type="dxa"/>
            </w:tcMar>
            <w:vAlign w:val="center"/>
          </w:tcPr>
          <w:p>
            <w:pPr>
              <w:widowControl/>
              <w:jc w:val="left"/>
            </w:pPr>
            <w:r>
              <w:rPr>
                <w:rFonts w:hint="eastAsia" w:ascii="宋体" w:hAnsi="宋体" w:eastAsia="宋体" w:cs="宋体"/>
                <w:kern w:val="0"/>
                <w:sz w:val="20"/>
                <w:szCs w:val="20"/>
              </w:rPr>
              <w:t>（五）不予处理</w:t>
            </w:r>
          </w:p>
        </w:tc>
        <w:tc>
          <w:tcPr>
            <w:tcW w:w="3219" w:type="dxa"/>
            <w:tcBorders>
              <w:top w:val="nil"/>
              <w:left w:val="nil"/>
              <w:bottom w:val="single" w:color="auto" w:sz="8" w:space="0"/>
              <w:right w:val="single" w:color="auto" w:sz="8" w:space="0"/>
            </w:tcBorders>
            <w:noWrap/>
            <w:tcMar>
              <w:left w:w="57" w:type="dxa"/>
              <w:right w:w="57" w:type="dxa"/>
            </w:tcMar>
          </w:tcPr>
          <w:p>
            <w:pPr>
              <w:widowControl/>
              <w:jc w:val="left"/>
            </w:pPr>
            <w:r>
              <w:rPr>
                <w:rFonts w:hint="eastAsia" w:ascii="宋体" w:hAnsi="宋体" w:eastAsia="宋体" w:cs="宋体"/>
                <w:kern w:val="0"/>
                <w:sz w:val="20"/>
                <w:szCs w:val="20"/>
              </w:rPr>
              <w:t>1.信访举报投诉类申请</w:t>
            </w:r>
          </w:p>
        </w:tc>
        <w:tc>
          <w:tcPr>
            <w:tcW w:w="688" w:type="dxa"/>
            <w:tcBorders>
              <w:top w:val="nil"/>
              <w:left w:val="nil"/>
              <w:bottom w:val="single" w:color="auto" w:sz="8" w:space="0"/>
              <w:right w:val="single" w:color="auto" w:sz="8" w:space="0"/>
            </w:tcBorders>
            <w:noWrap/>
            <w:tcMar>
              <w:left w:w="57" w:type="dxa"/>
              <w:right w:w="57" w:type="dxa"/>
            </w:tcMar>
          </w:tcPr>
          <w:p>
            <w:pPr>
              <w:widowControl/>
              <w:jc w:val="center"/>
              <w:rPr>
                <w:rFonts w:hint="eastAsia" w:eastAsia="仿宋_GB2312"/>
                <w:lang w:eastAsia="zh-CN"/>
              </w:rPr>
            </w:pPr>
            <w:r>
              <w:rPr>
                <w:rFonts w:hint="eastAsia" w:ascii="Calibri" w:hAnsi="Calibri" w:cs="Calibri"/>
                <w:kern w:val="0"/>
                <w:sz w:val="20"/>
                <w:szCs w:val="20"/>
                <w:lang w:val="en-US" w:eastAsia="zh-CN"/>
              </w:rPr>
              <w:t>1</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tcPr>
          <w:p>
            <w:pPr>
              <w:widowControl/>
              <w:jc w:val="center"/>
              <w:rPr>
                <w:rFonts w:hint="eastAsia" w:eastAsia="仿宋_GB2312"/>
                <w:lang w:eastAsia="zh-CN"/>
              </w:rPr>
            </w:pPr>
            <w:r>
              <w:rPr>
                <w:rFonts w:hint="eastAsia" w:ascii="Calibri" w:hAnsi="Calibri" w:cs="Calibri"/>
                <w:kern w:val="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noWrap/>
            <w:tcMar>
              <w:left w:w="57" w:type="dxa"/>
              <w:right w:w="57" w:type="dxa"/>
            </w:tcMar>
            <w:vAlign w:val="center"/>
          </w:tcPr>
          <w:p>
            <w:pPr>
              <w:rPr>
                <w:rFonts w:ascii="宋体"/>
                <w:sz w:val="24"/>
                <w:szCs w:val="24"/>
              </w:rPr>
            </w:pPr>
          </w:p>
        </w:tc>
        <w:tc>
          <w:tcPr>
            <w:tcW w:w="3219" w:type="dxa"/>
            <w:tcBorders>
              <w:top w:val="nil"/>
              <w:left w:val="nil"/>
              <w:bottom w:val="single" w:color="auto" w:sz="8" w:space="0"/>
              <w:right w:val="single" w:color="auto" w:sz="8" w:space="0"/>
            </w:tcBorders>
            <w:noWrap/>
            <w:tcMar>
              <w:left w:w="57" w:type="dxa"/>
              <w:right w:w="57" w:type="dxa"/>
            </w:tcMar>
          </w:tcPr>
          <w:p>
            <w:pPr>
              <w:widowControl/>
              <w:jc w:val="left"/>
            </w:pPr>
            <w:r>
              <w:rPr>
                <w:rFonts w:hint="eastAsia" w:ascii="宋体" w:hAnsi="宋体" w:eastAsia="宋体" w:cs="宋体"/>
                <w:kern w:val="0"/>
                <w:sz w:val="20"/>
                <w:szCs w:val="20"/>
              </w:rPr>
              <w:t>2.重复申请</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lang w:val="en-US" w:eastAsia="zh-CN"/>
              </w:rPr>
              <w:t>1</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tcPr>
          <w:p>
            <w:pPr>
              <w:widowControl/>
              <w:ind w:firstLine="200" w:firstLineChars="100"/>
              <w:jc w:val="both"/>
              <w:rPr>
                <w:rFonts w:hint="eastAsia" w:eastAsia="仿宋_GB2312"/>
                <w:lang w:eastAsia="zh-CN"/>
              </w:rPr>
            </w:pPr>
            <w:bookmarkStart w:id="0" w:name="_GoBack"/>
            <w:bookmarkEnd w:id="0"/>
            <w:r>
              <w:rPr>
                <w:rFonts w:ascii="Calibri" w:hAnsi="Calibri" w:cs="Calibri"/>
                <w:kern w:val="0"/>
                <w:sz w:val="20"/>
                <w:szCs w:val="20"/>
              </w:rPr>
              <w:t> </w:t>
            </w:r>
            <w:r>
              <w:rPr>
                <w:rFonts w:hint="eastAsia" w:ascii="Calibri" w:hAnsi="Calibri" w:cs="Calibri"/>
                <w:kern w:val="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noWrap/>
            <w:tcMar>
              <w:left w:w="57" w:type="dxa"/>
              <w:right w:w="57" w:type="dxa"/>
            </w:tcMar>
            <w:vAlign w:val="center"/>
          </w:tcPr>
          <w:p>
            <w:pPr>
              <w:rPr>
                <w:rFonts w:ascii="宋体"/>
                <w:sz w:val="24"/>
                <w:szCs w:val="24"/>
              </w:rPr>
            </w:pPr>
          </w:p>
        </w:tc>
        <w:tc>
          <w:tcPr>
            <w:tcW w:w="3219" w:type="dxa"/>
            <w:tcBorders>
              <w:top w:val="nil"/>
              <w:left w:val="nil"/>
              <w:bottom w:val="single" w:color="auto" w:sz="8" w:space="0"/>
              <w:right w:val="single" w:color="auto" w:sz="8" w:space="0"/>
            </w:tcBorders>
            <w:noWrap/>
            <w:tcMar>
              <w:left w:w="57" w:type="dxa"/>
              <w:right w:w="57" w:type="dxa"/>
            </w:tcMar>
          </w:tcPr>
          <w:p>
            <w:pPr>
              <w:widowControl/>
              <w:jc w:val="left"/>
            </w:pPr>
            <w:r>
              <w:rPr>
                <w:rFonts w:hint="eastAsia" w:ascii="宋体" w:hAnsi="宋体" w:eastAsia="宋体" w:cs="宋体"/>
                <w:kern w:val="0"/>
                <w:sz w:val="20"/>
                <w:szCs w:val="20"/>
              </w:rPr>
              <w:t>3.要求提供公开出版物</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noWrap/>
            <w:tcMar>
              <w:left w:w="57" w:type="dxa"/>
              <w:right w:w="57" w:type="dxa"/>
            </w:tcMar>
            <w:vAlign w:val="center"/>
          </w:tcPr>
          <w:p>
            <w:pPr>
              <w:rPr>
                <w:rFonts w:ascii="宋体"/>
                <w:sz w:val="24"/>
                <w:szCs w:val="24"/>
              </w:rPr>
            </w:pPr>
          </w:p>
        </w:tc>
        <w:tc>
          <w:tcPr>
            <w:tcW w:w="3219" w:type="dxa"/>
            <w:tcBorders>
              <w:top w:val="nil"/>
              <w:left w:val="nil"/>
              <w:bottom w:val="single" w:color="auto" w:sz="8" w:space="0"/>
              <w:right w:val="single" w:color="auto" w:sz="8" w:space="0"/>
            </w:tcBorders>
            <w:noWrap/>
            <w:tcMar>
              <w:left w:w="57" w:type="dxa"/>
              <w:right w:w="57" w:type="dxa"/>
            </w:tcMar>
          </w:tcPr>
          <w:p>
            <w:pPr>
              <w:widowControl/>
              <w:jc w:val="left"/>
            </w:pPr>
            <w:r>
              <w:rPr>
                <w:rFonts w:hint="eastAsia" w:ascii="宋体" w:hAnsi="宋体" w:eastAsia="宋体" w:cs="宋体"/>
                <w:kern w:val="0"/>
                <w:sz w:val="20"/>
                <w:szCs w:val="20"/>
              </w:rPr>
              <w:t>4.无正当理由大量反复申请</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noWrap/>
            <w:tcMar>
              <w:left w:w="57" w:type="dxa"/>
              <w:right w:w="57" w:type="dxa"/>
            </w:tcMar>
            <w:vAlign w:val="center"/>
          </w:tcPr>
          <w:p>
            <w:pPr>
              <w:rPr>
                <w:rFonts w:ascii="宋体"/>
                <w:sz w:val="24"/>
                <w:szCs w:val="24"/>
              </w:rPr>
            </w:pPr>
          </w:p>
        </w:tc>
        <w:tc>
          <w:tcPr>
            <w:tcW w:w="3219" w:type="dxa"/>
            <w:tcBorders>
              <w:top w:val="nil"/>
              <w:left w:val="nil"/>
              <w:bottom w:val="outset" w:color="auto" w:sz="8" w:space="0"/>
              <w:right w:val="single" w:color="auto" w:sz="8" w:space="0"/>
            </w:tcBorders>
            <w:noWrap/>
            <w:tcMar>
              <w:left w:w="57" w:type="dxa"/>
              <w:right w:w="57" w:type="dxa"/>
            </w:tcMar>
            <w:vAlign w:val="center"/>
          </w:tcPr>
          <w:p>
            <w:pPr>
              <w:widowControl/>
            </w:pPr>
            <w:r>
              <w:rPr>
                <w:rFonts w:hint="eastAsia" w:ascii="宋体" w:hAnsi="宋体" w:eastAsia="宋体" w:cs="宋体"/>
                <w:kern w:val="0"/>
                <w:sz w:val="20"/>
                <w:szCs w:val="20"/>
              </w:rPr>
              <w:t>5.要求行政机关确认或重新出具已获取信息</w:t>
            </w:r>
          </w:p>
        </w:tc>
        <w:tc>
          <w:tcPr>
            <w:tcW w:w="688" w:type="dxa"/>
            <w:tcBorders>
              <w:top w:val="nil"/>
              <w:left w:val="nil"/>
              <w:bottom w:val="outset"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outset"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outset"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outset"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outset"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outset"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outset"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rPr>
                <w:rFonts w:ascii="宋体"/>
                <w:sz w:val="24"/>
                <w:szCs w:val="24"/>
              </w:rPr>
            </w:pPr>
          </w:p>
        </w:tc>
        <w:tc>
          <w:tcPr>
            <w:tcW w:w="943" w:type="dxa"/>
            <w:vMerge w:val="restart"/>
            <w:tcBorders>
              <w:top w:val="outset" w:color="auto" w:sz="8" w:space="0"/>
              <w:left w:val="nil"/>
              <w:bottom w:val="outset" w:color="auto" w:sz="8" w:space="0"/>
              <w:right w:val="single" w:color="auto" w:sz="8" w:space="0"/>
            </w:tcBorders>
            <w:noWrap/>
            <w:tcMar>
              <w:left w:w="57" w:type="dxa"/>
              <w:right w:w="57" w:type="dxa"/>
            </w:tcMar>
            <w:vAlign w:val="center"/>
          </w:tcPr>
          <w:p>
            <w:pPr>
              <w:widowControl/>
              <w:jc w:val="left"/>
            </w:pPr>
            <w:r>
              <w:rPr>
                <w:rFonts w:hint="eastAsia" w:ascii="宋体" w:hAnsi="宋体" w:eastAsia="宋体" w:cs="宋体"/>
                <w:kern w:val="0"/>
                <w:sz w:val="20"/>
                <w:szCs w:val="20"/>
              </w:rPr>
              <w:t>（六）其他处理</w:t>
            </w:r>
          </w:p>
        </w:tc>
        <w:tc>
          <w:tcPr>
            <w:tcW w:w="3219" w:type="dxa"/>
            <w:tcBorders>
              <w:top w:val="nil"/>
              <w:left w:val="nil"/>
              <w:bottom w:val="single" w:color="auto" w:sz="8" w:space="0"/>
              <w:right w:val="single" w:color="auto" w:sz="8" w:space="0"/>
            </w:tcBorders>
            <w:noWrap/>
            <w:tcMar>
              <w:left w:w="57" w:type="dxa"/>
              <w:right w:w="57" w:type="dxa"/>
            </w:tcMar>
            <w:vAlign w:val="center"/>
          </w:tcPr>
          <w:p>
            <w:pPr>
              <w:widowControl/>
            </w:pPr>
            <w:r>
              <w:rPr>
                <w:rFonts w:hint="eastAsia" w:ascii="宋体" w:hAnsi="宋体" w:eastAsia="宋体" w:cs="宋体"/>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rPr>
                <w:rFonts w:ascii="宋体"/>
                <w:sz w:val="24"/>
                <w:szCs w:val="24"/>
              </w:rPr>
            </w:pPr>
          </w:p>
        </w:tc>
        <w:tc>
          <w:tcPr>
            <w:tcW w:w="943" w:type="dxa"/>
            <w:vMerge w:val="continue"/>
            <w:tcBorders>
              <w:top w:val="outset" w:color="auto" w:sz="8" w:space="0"/>
              <w:left w:val="nil"/>
              <w:bottom w:val="outset" w:color="auto" w:sz="8" w:space="0"/>
              <w:right w:val="single" w:color="auto" w:sz="8" w:space="0"/>
            </w:tcBorders>
            <w:noWrap/>
            <w:tcMar>
              <w:left w:w="57" w:type="dxa"/>
              <w:right w:w="57" w:type="dxa"/>
            </w:tcMar>
            <w:vAlign w:val="center"/>
          </w:tcPr>
          <w:p>
            <w:pPr>
              <w:rPr>
                <w:rFonts w:ascii="宋体"/>
                <w:sz w:val="24"/>
                <w:szCs w:val="24"/>
              </w:rPr>
            </w:pPr>
          </w:p>
        </w:tc>
        <w:tc>
          <w:tcPr>
            <w:tcW w:w="3219" w:type="dxa"/>
            <w:tcBorders>
              <w:top w:val="nil"/>
              <w:left w:val="nil"/>
              <w:bottom w:val="single" w:color="auto" w:sz="8" w:space="0"/>
              <w:right w:val="single" w:color="auto" w:sz="8" w:space="0"/>
            </w:tcBorders>
            <w:noWrap/>
            <w:tcMar>
              <w:left w:w="57" w:type="dxa"/>
              <w:right w:w="57" w:type="dxa"/>
            </w:tcMar>
            <w:vAlign w:val="center"/>
          </w:tcPr>
          <w:p>
            <w:pPr>
              <w:widowControl/>
            </w:pPr>
            <w:r>
              <w:rPr>
                <w:rFonts w:hint="eastAsia" w:ascii="宋体" w:hAnsi="宋体" w:eastAsia="宋体" w:cs="宋体"/>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rPr>
                <w:rFonts w:ascii="宋体"/>
                <w:sz w:val="24"/>
                <w:szCs w:val="24"/>
              </w:rPr>
            </w:pPr>
          </w:p>
        </w:tc>
        <w:tc>
          <w:tcPr>
            <w:tcW w:w="943" w:type="dxa"/>
            <w:vMerge w:val="continue"/>
            <w:tcBorders>
              <w:top w:val="outset" w:color="auto" w:sz="8" w:space="0"/>
              <w:left w:val="nil"/>
              <w:bottom w:val="outset" w:color="auto" w:sz="8" w:space="0"/>
              <w:right w:val="single" w:color="auto" w:sz="8" w:space="0"/>
            </w:tcBorders>
            <w:noWrap/>
            <w:tcMar>
              <w:left w:w="57" w:type="dxa"/>
              <w:right w:w="57" w:type="dxa"/>
            </w:tcMar>
            <w:vAlign w:val="center"/>
          </w:tcPr>
          <w:p>
            <w:pPr>
              <w:rPr>
                <w:rFonts w:ascii="宋体"/>
                <w:sz w:val="24"/>
                <w:szCs w:val="24"/>
              </w:rPr>
            </w:pPr>
          </w:p>
        </w:tc>
        <w:tc>
          <w:tcPr>
            <w:tcW w:w="3219" w:type="dxa"/>
            <w:tcBorders>
              <w:top w:val="nil"/>
              <w:left w:val="nil"/>
              <w:bottom w:val="single" w:color="auto" w:sz="8" w:space="0"/>
              <w:right w:val="single" w:color="auto" w:sz="8" w:space="0"/>
            </w:tcBorders>
            <w:noWrap/>
            <w:tcMar>
              <w:left w:w="57" w:type="dxa"/>
              <w:right w:w="57" w:type="dxa"/>
            </w:tcMar>
            <w:vAlign w:val="center"/>
          </w:tcPr>
          <w:p>
            <w:pPr>
              <w:widowControl/>
              <w:jc w:val="left"/>
            </w:pPr>
            <w:r>
              <w:rPr>
                <w:rFonts w:hint="eastAsia" w:ascii="宋体" w:hAnsi="宋体" w:eastAsia="宋体" w:cs="宋体"/>
                <w:kern w:val="0"/>
                <w:sz w:val="20"/>
                <w:szCs w:val="20"/>
              </w:rPr>
              <w:t>3.其他</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rPr>
                <w:rFonts w:ascii="宋体"/>
                <w:sz w:val="24"/>
                <w:szCs w:val="24"/>
              </w:rPr>
            </w:pPr>
          </w:p>
        </w:tc>
        <w:tc>
          <w:tcPr>
            <w:tcW w:w="4162" w:type="dxa"/>
            <w:gridSpan w:val="2"/>
            <w:tcBorders>
              <w:top w:val="nil"/>
              <w:left w:val="nil"/>
              <w:bottom w:val="single" w:color="auto" w:sz="8" w:space="0"/>
              <w:right w:val="single" w:color="auto" w:sz="8" w:space="0"/>
            </w:tcBorders>
            <w:noWrap/>
            <w:tcMar>
              <w:left w:w="57" w:type="dxa"/>
              <w:right w:w="57" w:type="dxa"/>
            </w:tcMar>
            <w:vAlign w:val="center"/>
          </w:tcPr>
          <w:p>
            <w:pPr>
              <w:widowControl/>
              <w:jc w:val="left"/>
            </w:pPr>
            <w:r>
              <w:rPr>
                <w:rFonts w:hint="eastAsia" w:ascii="宋体" w:hAnsi="宋体" w:eastAsia="宋体" w:cs="宋体"/>
                <w:kern w:val="0"/>
                <w:sz w:val="20"/>
                <w:szCs w:val="20"/>
              </w:rPr>
              <w:t>（七）总计</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9</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tcPr>
          <w:p>
            <w:pPr>
              <w:widowControl/>
              <w:jc w:val="center"/>
            </w:pPr>
            <w:r>
              <w:rPr>
                <w:rFonts w:ascii="Calibri" w:hAnsi="Calibri" w:cs="Calibri"/>
                <w:kern w:val="0"/>
                <w:sz w:val="20"/>
                <w:szCs w:val="20"/>
              </w:rPr>
              <w:t> </w:t>
            </w:r>
            <w:r>
              <w:rPr>
                <w:rFonts w:hint="eastAsia" w:ascii="Calibri" w:hAnsi="Calibri" w:cs="Calibri"/>
                <w:kern w:val="0"/>
                <w:sz w:val="20"/>
                <w:szCs w:val="20"/>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noWrap/>
            <w:tcMar>
              <w:left w:w="57" w:type="dxa"/>
              <w:right w:w="57" w:type="dxa"/>
            </w:tcMar>
            <w:vAlign w:val="center"/>
          </w:tcPr>
          <w:p>
            <w:pPr>
              <w:widowControl/>
              <w:jc w:val="left"/>
            </w:pPr>
            <w:r>
              <w:rPr>
                <w:rFonts w:hint="eastAsia" w:ascii="宋体" w:hAnsi="宋体" w:eastAsia="宋体" w:cs="宋体"/>
                <w:kern w:val="0"/>
                <w:sz w:val="20"/>
                <w:szCs w:val="20"/>
              </w:rPr>
              <w:t>四、结转下年度继续办理</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ascii="Calibri" w:hAnsi="Calibri" w:cs="Calibri"/>
                <w:kern w:val="0"/>
                <w:sz w:val="20"/>
                <w:szCs w:val="20"/>
              </w:rPr>
              <w:t> </w:t>
            </w:r>
            <w:r>
              <w:rPr>
                <w:rFonts w:hint="eastAsia" w:ascii="Calibri" w:hAnsi="Calibri" w:cs="Calibri"/>
                <w:kern w:val="0"/>
                <w:sz w:val="20"/>
                <w:szCs w:val="20"/>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ascii="Calibri" w:hAnsi="Calibri"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noWrap/>
            <w:tcMar>
              <w:left w:w="57" w:type="dxa"/>
              <w:right w:w="57" w:type="dxa"/>
            </w:tcMar>
          </w:tcPr>
          <w:p>
            <w:pPr>
              <w:widowControl/>
              <w:jc w:val="center"/>
              <w:rPr>
                <w:rFonts w:ascii="宋体"/>
                <w:sz w:val="24"/>
                <w:szCs w:val="24"/>
              </w:rPr>
            </w:pPr>
            <w:r>
              <w:rPr>
                <w:rFonts w:ascii="Calibri" w:hAnsi="Calibri" w:cs="Calibri"/>
                <w:kern w:val="0"/>
                <w:sz w:val="20"/>
                <w:szCs w:val="20"/>
              </w:rPr>
              <w:t> </w:t>
            </w:r>
            <w:r>
              <w:rPr>
                <w:rFonts w:hint="eastAsia" w:ascii="Calibri" w:hAnsi="Calibri" w:cs="Calibri"/>
                <w:kern w:val="0"/>
                <w:sz w:val="20"/>
                <w:szCs w:val="20"/>
              </w:rPr>
              <w:t>0</w:t>
            </w:r>
          </w:p>
        </w:tc>
      </w:tr>
    </w:tbl>
    <w:p>
      <w:pPr>
        <w:widowControl/>
        <w:shd w:val="clear" w:color="auto" w:fill="FFFFFF"/>
        <w:jc w:val="center"/>
        <w:rPr>
          <w:rFonts w:ascii="宋体" w:hAnsi="宋体" w:eastAsia="宋体" w:cs="宋体"/>
          <w:color w:val="333333"/>
          <w:sz w:val="24"/>
          <w:szCs w:val="24"/>
        </w:rPr>
      </w:pPr>
    </w:p>
    <w:p>
      <w:pPr>
        <w:pStyle w:val="5"/>
        <w:widowControl/>
        <w:shd w:val="clear" w:color="auto" w:fill="FFFFFF"/>
        <w:spacing w:before="0" w:beforeAutospacing="0" w:after="0" w:afterAutospacing="0"/>
        <w:ind w:firstLine="420"/>
        <w:jc w:val="both"/>
        <w:rPr>
          <w:rFonts w:ascii="黑体" w:hAnsi="黑体" w:eastAsia="黑体" w:cs="黑体"/>
          <w:color w:val="333333"/>
          <w:sz w:val="32"/>
        </w:rPr>
      </w:pPr>
      <w:r>
        <w:rPr>
          <w:rFonts w:hint="eastAsia" w:ascii="黑体" w:hAnsi="黑体" w:eastAsia="黑体" w:cs="黑体"/>
          <w:b/>
          <w:color w:val="333333"/>
          <w:sz w:val="32"/>
          <w:shd w:val="clear" w:color="auto" w:fill="FFFFFF"/>
        </w:rPr>
        <w:t>四、政府信息公开行政复议、行政诉讼情况</w:t>
      </w:r>
    </w:p>
    <w:p>
      <w:pPr>
        <w:widowControl/>
        <w:shd w:val="clear" w:color="auto" w:fill="FFFFFF"/>
        <w:jc w:val="center"/>
        <w:rPr>
          <w:rFonts w:ascii="宋体" w:hAnsi="宋体" w:eastAsia="宋体" w:cs="宋体"/>
          <w:color w:val="333333"/>
          <w:sz w:val="24"/>
          <w:szCs w:val="24"/>
        </w:rPr>
      </w:pPr>
    </w:p>
    <w:tbl>
      <w:tblPr>
        <w:tblStyle w:val="6"/>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宋体" w:hAnsi="宋体" w:eastAsia="宋体" w:cs="宋体"/>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宋体" w:hAnsi="宋体" w:eastAsia="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宋体" w:hAnsi="宋体" w:eastAsia="宋体" w:cs="宋体"/>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宋体" w:hAnsi="宋体" w:eastAsia="宋体" w:cs="宋体"/>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宋体" w:hAnsi="宋体" w:eastAsia="宋体" w:cs="宋体"/>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宋体" w:hAnsi="宋体" w:eastAsia="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tcMar>
              <w:left w:w="108" w:type="dxa"/>
              <w:right w:w="108" w:type="dxa"/>
            </w:tcMar>
            <w:vAlign w:val="center"/>
          </w:tcPr>
          <w:p>
            <w:pPr>
              <w:rPr>
                <w:rFonts w:ascii="宋体"/>
                <w:sz w:val="24"/>
                <w:szCs w:val="24"/>
              </w:rPr>
            </w:pPr>
          </w:p>
        </w:tc>
        <w:tc>
          <w:tcPr>
            <w:tcW w:w="649" w:type="dxa"/>
            <w:vMerge w:val="continue"/>
            <w:tcBorders>
              <w:top w:val="nil"/>
              <w:left w:val="single" w:color="auto" w:sz="8" w:space="0"/>
              <w:bottom w:val="single" w:color="auto" w:sz="8" w:space="0"/>
              <w:right w:val="single" w:color="auto" w:sz="8" w:space="0"/>
            </w:tcBorders>
            <w:noWrap/>
            <w:tcMar>
              <w:left w:w="108" w:type="dxa"/>
              <w:right w:w="108" w:type="dxa"/>
            </w:tcMar>
            <w:vAlign w:val="center"/>
          </w:tcPr>
          <w:p>
            <w:pPr>
              <w:rPr>
                <w:rFonts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rPr>
                <w:rFonts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rPr>
                <w:rFonts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rPr>
                <w:rFonts w:ascii="宋体"/>
                <w:sz w:val="24"/>
                <w:szCs w:val="24"/>
              </w:rPr>
            </w:pPr>
          </w:p>
        </w:tc>
        <w:tc>
          <w:tcPr>
            <w:tcW w:w="649"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9"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宋体" w:hAnsi="宋体" w:eastAsia="宋体" w:cs="宋体"/>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ascii="黑体" w:hAnsi="宋体" w:eastAsia="黑体" w:cs="黑体"/>
                <w:kern w:val="0"/>
                <w:sz w:val="20"/>
                <w:szCs w:val="20"/>
              </w:rPr>
              <w:t> </w:t>
            </w:r>
            <w:r>
              <w:rPr>
                <w:rFonts w:hint="eastAsia" w:ascii="黑体" w:hAnsi="宋体" w:eastAsia="黑体" w:cs="黑体"/>
                <w:kern w:val="0"/>
                <w:sz w:val="20"/>
                <w:szCs w:val="20"/>
              </w:rPr>
              <w:t>0</w:t>
            </w:r>
          </w:p>
        </w:tc>
        <w:tc>
          <w:tcPr>
            <w:tcW w:w="649"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黑体" w:hAnsi="宋体" w:eastAsia="黑体" w:cs="黑体"/>
                <w:kern w:val="0"/>
                <w:sz w:val="20"/>
                <w:szCs w:val="20"/>
              </w:rPr>
              <w:t>0 </w:t>
            </w:r>
          </w:p>
        </w:tc>
        <w:tc>
          <w:tcPr>
            <w:tcW w:w="649"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黑体" w:hAnsi="宋体" w:eastAsia="黑体" w:cs="黑体"/>
                <w:kern w:val="0"/>
                <w:sz w:val="20"/>
                <w:szCs w:val="20"/>
              </w:rPr>
              <w:t>0 </w:t>
            </w:r>
          </w:p>
        </w:tc>
        <w:tc>
          <w:tcPr>
            <w:tcW w:w="649"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黑体" w:hAnsi="宋体" w:eastAsia="黑体" w:cs="黑体"/>
                <w:kern w:val="0"/>
                <w:sz w:val="20"/>
                <w:szCs w:val="20"/>
              </w:rPr>
              <w:t>0 </w:t>
            </w:r>
          </w:p>
        </w:tc>
        <w:tc>
          <w:tcPr>
            <w:tcW w:w="649"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黑体" w:hAnsi="宋体" w:eastAsia="黑体" w:cs="黑体"/>
                <w:kern w:val="0"/>
                <w:sz w:val="20"/>
                <w:szCs w:val="20"/>
              </w:rPr>
              <w:t>0 </w:t>
            </w:r>
          </w:p>
        </w:tc>
        <w:tc>
          <w:tcPr>
            <w:tcW w:w="649"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黑体" w:hAnsi="宋体" w:eastAsia="黑体" w:cs="黑体"/>
                <w:kern w:val="0"/>
                <w:sz w:val="20"/>
                <w:szCs w:val="20"/>
              </w:rPr>
              <w:t>0 </w:t>
            </w:r>
          </w:p>
        </w:tc>
        <w:tc>
          <w:tcPr>
            <w:tcW w:w="649"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黑体" w:hAnsi="宋体" w:eastAsia="黑体" w:cs="黑体"/>
                <w:kern w:val="0"/>
                <w:sz w:val="20"/>
                <w:szCs w:val="20"/>
              </w:rPr>
              <w:t>0 </w:t>
            </w:r>
          </w:p>
        </w:tc>
        <w:tc>
          <w:tcPr>
            <w:tcW w:w="650"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ascii="黑体" w:hAnsi="宋体" w:eastAsia="黑体" w:cs="黑体"/>
                <w:kern w:val="0"/>
                <w:sz w:val="20"/>
                <w:szCs w:val="20"/>
              </w:rPr>
              <w:t> </w:t>
            </w:r>
            <w:r>
              <w:rPr>
                <w:rFonts w:hint="eastAsia" w:ascii="黑体" w:hAnsi="宋体" w:eastAsia="黑体" w:cs="黑体"/>
                <w:kern w:val="0"/>
                <w:sz w:val="20"/>
                <w:szCs w:val="20"/>
              </w:rPr>
              <w:t>0</w:t>
            </w:r>
          </w:p>
        </w:tc>
        <w:tc>
          <w:tcPr>
            <w:tcW w:w="650"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黑体" w:hAnsi="宋体" w:eastAsia="黑体" w:cs="黑体"/>
                <w:kern w:val="0"/>
                <w:sz w:val="20"/>
                <w:szCs w:val="20"/>
              </w:rPr>
              <w:t>0 </w:t>
            </w:r>
          </w:p>
        </w:tc>
        <w:tc>
          <w:tcPr>
            <w:tcW w:w="650"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黑体" w:hAnsi="宋体" w:eastAsia="黑体" w:cs="黑体"/>
                <w:kern w:val="0"/>
                <w:sz w:val="20"/>
                <w:szCs w:val="20"/>
              </w:rPr>
              <w:t>0 </w:t>
            </w:r>
          </w:p>
        </w:tc>
        <w:tc>
          <w:tcPr>
            <w:tcW w:w="650"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黑体" w:hAnsi="宋体" w:eastAsia="黑体" w:cs="黑体"/>
                <w:kern w:val="0"/>
                <w:sz w:val="20"/>
                <w:szCs w:val="20"/>
              </w:rPr>
              <w:t>0 </w:t>
            </w:r>
          </w:p>
        </w:tc>
        <w:tc>
          <w:tcPr>
            <w:tcW w:w="650"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黑体" w:hAnsi="宋体" w:eastAsia="黑体" w:cs="黑体"/>
                <w:kern w:val="0"/>
                <w:sz w:val="20"/>
                <w:szCs w:val="20"/>
              </w:rPr>
              <w:t>0 </w:t>
            </w:r>
          </w:p>
        </w:tc>
        <w:tc>
          <w:tcPr>
            <w:tcW w:w="650"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黑体" w:hAnsi="宋体" w:eastAsia="黑体" w:cs="黑体"/>
                <w:kern w:val="0"/>
                <w:sz w:val="20"/>
                <w:szCs w:val="20"/>
              </w:rPr>
              <w:t>0 </w:t>
            </w:r>
          </w:p>
        </w:tc>
        <w:tc>
          <w:tcPr>
            <w:tcW w:w="650"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黑体" w:hAnsi="宋体" w:eastAsia="黑体" w:cs="黑体"/>
                <w:kern w:val="0"/>
                <w:sz w:val="20"/>
                <w:szCs w:val="20"/>
              </w:rPr>
              <w:t>0 </w:t>
            </w:r>
          </w:p>
        </w:tc>
        <w:tc>
          <w:tcPr>
            <w:tcW w:w="650"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rPr>
                <w:rFonts w:ascii="宋体"/>
                <w:sz w:val="24"/>
                <w:szCs w:val="24"/>
              </w:rPr>
            </w:pPr>
            <w:r>
              <w:rPr>
                <w:rFonts w:ascii="黑体" w:hAnsi="宋体" w:eastAsia="黑体" w:cs="黑体"/>
                <w:kern w:val="0"/>
                <w:sz w:val="20"/>
                <w:szCs w:val="20"/>
              </w:rPr>
              <w:t> </w:t>
            </w:r>
            <w:r>
              <w:rPr>
                <w:rFonts w:hint="eastAsia" w:ascii="黑体" w:hAnsi="宋体" w:eastAsia="黑体" w:cs="黑体"/>
                <w:kern w:val="0"/>
                <w:sz w:val="20"/>
                <w:szCs w:val="20"/>
              </w:rPr>
              <w:t>0</w:t>
            </w:r>
          </w:p>
        </w:tc>
      </w:tr>
    </w:tbl>
    <w:p>
      <w:pPr>
        <w:spacing w:line="600" w:lineRule="exact"/>
        <w:ind w:firstLine="640" w:firstLineChars="200"/>
        <w:rPr>
          <w:rFonts w:ascii="黑体" w:hAnsi="黑体" w:eastAsia="黑体" w:cs="黑体"/>
        </w:rPr>
      </w:pPr>
    </w:p>
    <w:p>
      <w:pPr>
        <w:spacing w:line="600" w:lineRule="exact"/>
        <w:ind w:firstLine="640" w:firstLineChars="200"/>
        <w:rPr>
          <w:rFonts w:ascii="黑体" w:hAnsi="黑体" w:eastAsia="黑体" w:cs="黑体"/>
        </w:rPr>
      </w:pPr>
      <w:r>
        <w:rPr>
          <w:rFonts w:hint="eastAsia" w:ascii="黑体" w:hAnsi="黑体" w:eastAsia="黑体" w:cs="黑体"/>
        </w:rPr>
        <w:t>五、存在的主要问题及改进情况</w:t>
      </w:r>
    </w:p>
    <w:p>
      <w:pPr>
        <w:spacing w:line="600" w:lineRule="exact"/>
        <w:ind w:firstLine="640" w:firstLineChars="200"/>
      </w:pPr>
      <w:r>
        <w:rPr>
          <w:rFonts w:hint="eastAsia"/>
        </w:rPr>
        <w:t>针对我局规范性文件底数不清，政策解读质量不高、不丰富，重要政策文件公众参与机制不健全，未能有效发动公众参与意见征集等问题，采取了以下改进措施 ：一是全面开展规范性文件清理工作，及时规范公开现行有效的文件；二是完善政策解读起草审核把关机制，固化解读工作流程，注重对政策背景、出台目的、重要举措等进行实质性解读，进一步优化图表图解解读制作水平，解读效果有效提升；三是健全重要行政决策公众参与机制，采取座谈讨论、专家论证、在线征集调查等多种形式扩大公众参与，今年开展网上意见征集和调查问卷8期，收到在线调查投票309条。</w:t>
      </w:r>
    </w:p>
    <w:p>
      <w:pPr>
        <w:spacing w:line="600" w:lineRule="exact"/>
        <w:ind w:firstLine="640" w:firstLineChars="200"/>
        <w:rPr>
          <w:rFonts w:ascii="黑体" w:hAnsi="黑体" w:eastAsia="黑体" w:cs="黑体"/>
        </w:rPr>
      </w:pPr>
      <w:r>
        <w:rPr>
          <w:rFonts w:hint="eastAsia" w:ascii="黑体" w:hAnsi="黑体" w:eastAsia="黑体" w:cs="黑体"/>
        </w:rPr>
        <w:t>六、其他需要报告的事项</w:t>
      </w:r>
    </w:p>
    <w:p>
      <w:pPr>
        <w:spacing w:line="600" w:lineRule="exact"/>
        <w:ind w:firstLine="640" w:firstLineChars="200"/>
      </w:pPr>
      <w:r>
        <w:rPr>
          <w:rFonts w:hint="eastAsia"/>
        </w:rPr>
        <w:t>按照《国务院办公厅关于印发〈政府信息公开信息处理费管理办法〉的通知》（国办函〔2020〕109号）规定的按件、按量收费标准，本年度没有产生信息公开处理费。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766"/>
    <w:rsid w:val="000B13F6"/>
    <w:rsid w:val="000F0F0E"/>
    <w:rsid w:val="00123D4B"/>
    <w:rsid w:val="00143021"/>
    <w:rsid w:val="0019344F"/>
    <w:rsid w:val="001D3976"/>
    <w:rsid w:val="0023001D"/>
    <w:rsid w:val="00290306"/>
    <w:rsid w:val="00291766"/>
    <w:rsid w:val="00310C28"/>
    <w:rsid w:val="00311B17"/>
    <w:rsid w:val="00350037"/>
    <w:rsid w:val="00380C9E"/>
    <w:rsid w:val="00517128"/>
    <w:rsid w:val="005B5C4F"/>
    <w:rsid w:val="006F7614"/>
    <w:rsid w:val="00744BE6"/>
    <w:rsid w:val="00752DBF"/>
    <w:rsid w:val="00767032"/>
    <w:rsid w:val="007701F3"/>
    <w:rsid w:val="00822AFB"/>
    <w:rsid w:val="008D0079"/>
    <w:rsid w:val="008F1E64"/>
    <w:rsid w:val="00994A01"/>
    <w:rsid w:val="009A5800"/>
    <w:rsid w:val="00A02666"/>
    <w:rsid w:val="00A33D40"/>
    <w:rsid w:val="00A368FB"/>
    <w:rsid w:val="00BB2781"/>
    <w:rsid w:val="00C7506B"/>
    <w:rsid w:val="00CB2189"/>
    <w:rsid w:val="00CB7DB1"/>
    <w:rsid w:val="00D617AA"/>
    <w:rsid w:val="00D72C92"/>
    <w:rsid w:val="00DB34EF"/>
    <w:rsid w:val="00DD358D"/>
    <w:rsid w:val="00DD6277"/>
    <w:rsid w:val="00DE5914"/>
    <w:rsid w:val="00DE6B08"/>
    <w:rsid w:val="00E832ED"/>
    <w:rsid w:val="00EA7408"/>
    <w:rsid w:val="00F51EC3"/>
    <w:rsid w:val="00F97DFD"/>
    <w:rsid w:val="00FD10B0"/>
    <w:rsid w:val="01197AC4"/>
    <w:rsid w:val="01701FB3"/>
    <w:rsid w:val="0227594A"/>
    <w:rsid w:val="03A53464"/>
    <w:rsid w:val="03CC4294"/>
    <w:rsid w:val="04756A48"/>
    <w:rsid w:val="04A82834"/>
    <w:rsid w:val="04B53EDE"/>
    <w:rsid w:val="061E4923"/>
    <w:rsid w:val="070902FB"/>
    <w:rsid w:val="078E43AC"/>
    <w:rsid w:val="088C3016"/>
    <w:rsid w:val="09BB3A2F"/>
    <w:rsid w:val="0C794651"/>
    <w:rsid w:val="0C7A0662"/>
    <w:rsid w:val="0CEC568C"/>
    <w:rsid w:val="0DEA53F0"/>
    <w:rsid w:val="0F1A1BD0"/>
    <w:rsid w:val="0F63587F"/>
    <w:rsid w:val="0F824086"/>
    <w:rsid w:val="0FC528C7"/>
    <w:rsid w:val="11B30CC1"/>
    <w:rsid w:val="130719CC"/>
    <w:rsid w:val="14863050"/>
    <w:rsid w:val="149C6BCB"/>
    <w:rsid w:val="14B437DD"/>
    <w:rsid w:val="15E225ED"/>
    <w:rsid w:val="16631C7B"/>
    <w:rsid w:val="173F198A"/>
    <w:rsid w:val="1AF740E0"/>
    <w:rsid w:val="1CD9282B"/>
    <w:rsid w:val="1DFE03DE"/>
    <w:rsid w:val="1E3317AE"/>
    <w:rsid w:val="1E8319F2"/>
    <w:rsid w:val="1F1C1204"/>
    <w:rsid w:val="1FBA587E"/>
    <w:rsid w:val="208A5FBE"/>
    <w:rsid w:val="21EC1976"/>
    <w:rsid w:val="24D93D3F"/>
    <w:rsid w:val="26E74A0D"/>
    <w:rsid w:val="271B6D08"/>
    <w:rsid w:val="27FF30A4"/>
    <w:rsid w:val="28D2400F"/>
    <w:rsid w:val="2B450764"/>
    <w:rsid w:val="2C190A5E"/>
    <w:rsid w:val="2CC708AC"/>
    <w:rsid w:val="2E0C372F"/>
    <w:rsid w:val="2EAE7FA7"/>
    <w:rsid w:val="2F592936"/>
    <w:rsid w:val="30254423"/>
    <w:rsid w:val="307F06BA"/>
    <w:rsid w:val="33905527"/>
    <w:rsid w:val="35534721"/>
    <w:rsid w:val="357D6F47"/>
    <w:rsid w:val="35E21182"/>
    <w:rsid w:val="36257D59"/>
    <w:rsid w:val="36AE4FB9"/>
    <w:rsid w:val="36CF676C"/>
    <w:rsid w:val="37771E6C"/>
    <w:rsid w:val="377B6CDB"/>
    <w:rsid w:val="388D4B29"/>
    <w:rsid w:val="3A313A6C"/>
    <w:rsid w:val="3A931F5D"/>
    <w:rsid w:val="3B1874C8"/>
    <w:rsid w:val="3D263B7E"/>
    <w:rsid w:val="3E6219DA"/>
    <w:rsid w:val="40D519B8"/>
    <w:rsid w:val="417B52AA"/>
    <w:rsid w:val="427A1007"/>
    <w:rsid w:val="4464579B"/>
    <w:rsid w:val="44C11853"/>
    <w:rsid w:val="450B2125"/>
    <w:rsid w:val="45C272F7"/>
    <w:rsid w:val="46E01EA1"/>
    <w:rsid w:val="480F41C9"/>
    <w:rsid w:val="49C14B37"/>
    <w:rsid w:val="4B30664F"/>
    <w:rsid w:val="4BDF54D3"/>
    <w:rsid w:val="4D2249B5"/>
    <w:rsid w:val="4DD31F21"/>
    <w:rsid w:val="52097713"/>
    <w:rsid w:val="52CB49C9"/>
    <w:rsid w:val="52CD3CE2"/>
    <w:rsid w:val="53C0736D"/>
    <w:rsid w:val="5430006D"/>
    <w:rsid w:val="56DF519B"/>
    <w:rsid w:val="5A3A47BA"/>
    <w:rsid w:val="5AF70681"/>
    <w:rsid w:val="5C035C1F"/>
    <w:rsid w:val="5CB542AE"/>
    <w:rsid w:val="5D523B9A"/>
    <w:rsid w:val="5DCB13C2"/>
    <w:rsid w:val="5EB57861"/>
    <w:rsid w:val="5EF81B8F"/>
    <w:rsid w:val="60BA5536"/>
    <w:rsid w:val="60BC0D79"/>
    <w:rsid w:val="61EC0926"/>
    <w:rsid w:val="62ED10F6"/>
    <w:rsid w:val="63450652"/>
    <w:rsid w:val="672048C8"/>
    <w:rsid w:val="69723FE4"/>
    <w:rsid w:val="6B990A1D"/>
    <w:rsid w:val="6C581CFB"/>
    <w:rsid w:val="6C824F7F"/>
    <w:rsid w:val="6EA239F6"/>
    <w:rsid w:val="6EAE4132"/>
    <w:rsid w:val="705C3F92"/>
    <w:rsid w:val="71D02419"/>
    <w:rsid w:val="729D4E43"/>
    <w:rsid w:val="776D3470"/>
    <w:rsid w:val="788D6C38"/>
    <w:rsid w:val="78FA1000"/>
    <w:rsid w:val="7A097A01"/>
    <w:rsid w:val="7A2E706C"/>
    <w:rsid w:val="7CDE5175"/>
    <w:rsid w:val="7DCF098D"/>
    <w:rsid w:val="7DF15A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BodyText1I2"/>
    <w:qFormat/>
    <w:uiPriority w:val="0"/>
    <w:pPr>
      <w:widowControl w:val="0"/>
      <w:spacing w:line="360" w:lineRule="auto"/>
      <w:ind w:firstLine="420" w:firstLineChars="200"/>
    </w:pPr>
    <w:rPr>
      <w:rFonts w:ascii="Times New Roman" w:hAnsi="Times New Roman" w:eastAsia="宋体" w:cs="Times New Roman"/>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unhideWhenUsed/>
    <w:qFormat/>
    <w:uiPriority w:val="99"/>
    <w:pPr>
      <w:widowControl w:val="0"/>
      <w:spacing w:before="100" w:beforeAutospacing="1" w:after="100" w:afterAutospacing="1"/>
    </w:pPr>
    <w:rPr>
      <w:rFonts w:ascii="仿宋_GB2312" w:hAnsi="Times New Roman" w:eastAsia="仿宋_GB2312" w:cs="Times New Roman"/>
      <w:sz w:val="24"/>
      <w:szCs w:val="32"/>
      <w:lang w:val="en-US" w:eastAsia="zh-CN" w:bidi="ar-SA"/>
    </w:rPr>
  </w:style>
  <w:style w:type="paragraph" w:customStyle="1" w:styleId="8">
    <w:name w:val="BodyTextIndent"/>
    <w:qFormat/>
    <w:uiPriority w:val="0"/>
    <w:pPr>
      <w:widowControl w:val="0"/>
      <w:spacing w:line="360" w:lineRule="auto"/>
      <w:ind w:firstLine="480"/>
    </w:pPr>
    <w:rPr>
      <w:rFonts w:ascii="仿宋_GB2312" w:hAnsi="Times New Roman" w:eastAsia="仿宋_GB2312"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479</Words>
  <Characters>2731</Characters>
  <Lines>22</Lines>
  <Paragraphs>6</Paragraphs>
  <TotalTime>25</TotalTime>
  <ScaleCrop>false</ScaleCrop>
  <LinksUpToDate>false</LinksUpToDate>
  <CharactersWithSpaces>3204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2022-01-16T06:19:00Z</dcterms:created>
  <dc:creator>Administrator</dc:creator>
  <cp:lastModifiedBy>奚晨晓</cp:lastModifiedBy>
  <cp:lastPrinted>2022-01-17T01:02:00Z</cp:lastPrinted>
  <dcterms:modified xsi:type="dcterms:W3CDTF">2022-01-25T03:45:36Z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7B42E3C0E1BF4DF1B0FB83527CF00B63</vt:lpwstr>
  </property>
</Properties>
</file>