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2021年各类食品监督抽检结果汇总表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5"/>
        <w:tblW w:w="9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66"/>
        <w:gridCol w:w="1256"/>
        <w:gridCol w:w="1331"/>
        <w:gridCol w:w="1069"/>
        <w:gridCol w:w="1088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食品大类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抽检批次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合格批次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不合格批次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89.92%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98.23%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97.54%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96.50%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99.46%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99.13%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罐头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97.40%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90.74%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食用农产品（含农产品专项）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96.86%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99.79%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98.62%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98.36%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99.02%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15069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14651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97.23%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B1064"/>
    <w:rsid w:val="1C7E749B"/>
    <w:rsid w:val="2BFA5278"/>
    <w:rsid w:val="34447B57"/>
    <w:rsid w:val="355C2834"/>
    <w:rsid w:val="3CA34A74"/>
    <w:rsid w:val="3EFD0EAF"/>
    <w:rsid w:val="3F80388E"/>
    <w:rsid w:val="43EB1064"/>
    <w:rsid w:val="451A0CE8"/>
    <w:rsid w:val="467C4DAF"/>
    <w:rsid w:val="5EF534F9"/>
    <w:rsid w:val="620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2021-09-14T12:30:00Z</dcterms:created>
  <dc:creator>朱磊磊</dc:creator>
  <cp:lastModifiedBy>优哉游哉</cp:lastModifiedBy>
  <dcterms:modified xsi:type="dcterms:W3CDTF">2022-01-10T09:08:32Z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9755A8143B2E44F58D8FD5DE869890B4</vt:lpwstr>
  </property>
</Properties>
</file>