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0" w:firstLineChars="0"/>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六安市大气污染源排放清单编制及大气环境质量限期达标规划研究项目起草说明</w:t>
      </w:r>
    </w:p>
    <w:p>
      <w:pPr>
        <w:pStyle w:val="9"/>
        <w:ind w:firstLine="640"/>
        <w:rPr>
          <w:sz w:val="32"/>
          <w:szCs w:val="32"/>
        </w:rPr>
      </w:pPr>
      <w:r>
        <w:rPr>
          <w:rFonts w:hint="eastAsia"/>
          <w:sz w:val="32"/>
          <w:szCs w:val="32"/>
        </w:rPr>
        <w:t>根据《中华人民共和国大气污染防治法》第十四条、第十五条、第十七条，编制《六安市大气污染源排放清单编制及大气环境质量限期达标规划》，进一步加强大气污染防治，控制或者逐步削减大气污染物排放量，促进全市环境空气质量逐步改善，保障人民群众身体健康，限期达到《环境空气质量标准》(GB3095-2012)。</w:t>
      </w:r>
    </w:p>
    <w:p>
      <w:pPr>
        <w:pStyle w:val="9"/>
        <w:ind w:firstLine="640"/>
        <w:rPr>
          <w:sz w:val="32"/>
          <w:szCs w:val="32"/>
        </w:rPr>
      </w:pPr>
      <w:r>
        <w:rPr>
          <w:rFonts w:hint="eastAsia"/>
          <w:sz w:val="32"/>
          <w:szCs w:val="32"/>
        </w:rPr>
        <w:t>《中华人民共和国大气污染防治法》第十四条、第十五条、第十七条内容如下：</w:t>
      </w:r>
    </w:p>
    <w:p>
      <w:pPr>
        <w:pStyle w:val="9"/>
        <w:ind w:firstLine="643"/>
        <w:rPr>
          <w:b/>
          <w:bCs/>
          <w:sz w:val="32"/>
          <w:szCs w:val="32"/>
        </w:rPr>
      </w:pPr>
      <w:r>
        <w:rPr>
          <w:rFonts w:hint="eastAsia"/>
          <w:b/>
          <w:bCs/>
          <w:sz w:val="32"/>
          <w:szCs w:val="32"/>
        </w:rPr>
        <w:t>第十四条</w:t>
      </w:r>
    </w:p>
    <w:p>
      <w:pPr>
        <w:pStyle w:val="9"/>
        <w:ind w:firstLine="640"/>
        <w:rPr>
          <w:sz w:val="32"/>
          <w:szCs w:val="32"/>
        </w:rPr>
      </w:pPr>
      <w:r>
        <w:rPr>
          <w:rFonts w:hint="eastAsia"/>
          <w:sz w:val="32"/>
          <w:szCs w:val="32"/>
        </w:rPr>
        <w:t>未达到国家大气环境质量标准城市的人民政府应当及时编制大气环境质量限期达标规划，采取措施，按照国务院或者省级人民政府规定的期限达到大气环境质量标准。 编制城市大气环境质量限期达标规划，应当征求有关行业协会、企业事业单位、专家和公众等方面的意见。</w:t>
      </w:r>
    </w:p>
    <w:p>
      <w:pPr>
        <w:pStyle w:val="9"/>
        <w:ind w:firstLine="643"/>
        <w:rPr>
          <w:b/>
          <w:bCs/>
          <w:sz w:val="32"/>
          <w:szCs w:val="32"/>
        </w:rPr>
      </w:pPr>
      <w:r>
        <w:rPr>
          <w:rFonts w:hint="eastAsia"/>
          <w:b/>
          <w:bCs/>
          <w:sz w:val="32"/>
          <w:szCs w:val="32"/>
        </w:rPr>
        <w:t>第十五条</w:t>
      </w:r>
    </w:p>
    <w:p>
      <w:pPr>
        <w:pStyle w:val="9"/>
        <w:ind w:firstLine="640"/>
        <w:rPr>
          <w:sz w:val="32"/>
          <w:szCs w:val="32"/>
        </w:rPr>
      </w:pPr>
      <w:r>
        <w:rPr>
          <w:rFonts w:hint="eastAsia"/>
          <w:sz w:val="32"/>
          <w:szCs w:val="32"/>
        </w:rPr>
        <w:t>城市大气环境质量限期达标规划应当向社会公开。直辖市和设区的市的大气环境质量限期达标规划应当报国务院生态环境主管部门备案。</w:t>
      </w:r>
    </w:p>
    <w:p>
      <w:pPr>
        <w:pStyle w:val="9"/>
        <w:ind w:firstLine="643"/>
        <w:rPr>
          <w:b/>
          <w:bCs/>
          <w:sz w:val="32"/>
          <w:szCs w:val="32"/>
        </w:rPr>
      </w:pPr>
      <w:r>
        <w:rPr>
          <w:rFonts w:hint="eastAsia"/>
          <w:b/>
          <w:bCs/>
          <w:sz w:val="32"/>
          <w:szCs w:val="32"/>
        </w:rPr>
        <w:t>第十七条</w:t>
      </w:r>
    </w:p>
    <w:p>
      <w:pPr>
        <w:pStyle w:val="9"/>
        <w:ind w:firstLine="640"/>
        <w:rPr>
          <w:sz w:val="32"/>
          <w:szCs w:val="32"/>
        </w:rPr>
      </w:pPr>
      <w:r>
        <w:rPr>
          <w:rFonts w:hint="eastAsia"/>
          <w:sz w:val="32"/>
          <w:szCs w:val="32"/>
        </w:rPr>
        <w:t>城市大气环境质量限期达标规划应当根据大气污染防治的要求和经济、技术条件适时进行评估、修订。</w:t>
      </w:r>
    </w:p>
    <w:p>
      <w:pPr>
        <w:pStyle w:val="9"/>
        <w:ind w:firstLine="640"/>
        <w:rPr>
          <w:sz w:val="32"/>
          <w:szCs w:val="32"/>
        </w:rPr>
      </w:pPr>
    </w:p>
    <w:p>
      <w:pPr>
        <w:widowControl/>
        <w:spacing w:line="360" w:lineRule="auto"/>
        <w:ind w:firstLine="640" w:firstLineChars="200"/>
        <w:jc w:val="left"/>
        <w:rPr>
          <w:sz w:val="32"/>
          <w:szCs w:val="32"/>
        </w:rPr>
      </w:pPr>
      <w:r>
        <w:rPr>
          <w:rFonts w:cs="仿宋"/>
          <w:color w:val="000000"/>
          <w:kern w:val="0"/>
          <w:sz w:val="32"/>
          <w:szCs w:val="32"/>
          <w:lang w:bidi="ar"/>
        </w:rPr>
        <w:t>“十三五”期间，六安市深入贯彻六安市关于打赢蓝天</w:t>
      </w:r>
      <w:r>
        <w:rPr>
          <w:rFonts w:hint="eastAsia" w:cs="仿宋"/>
          <w:color w:val="000000"/>
          <w:kern w:val="0"/>
          <w:sz w:val="32"/>
          <w:szCs w:val="32"/>
          <w:lang w:bidi="ar"/>
        </w:rPr>
        <w:t>保卫战的决策部署，环境空气质量得到持续改善，但截至</w:t>
      </w:r>
      <w:r>
        <w:rPr>
          <w:color w:val="000000"/>
          <w:kern w:val="0"/>
          <w:sz w:val="32"/>
          <w:szCs w:val="32"/>
          <w:lang w:bidi="ar"/>
        </w:rPr>
        <w:t>2020</w:t>
      </w:r>
      <w:r>
        <w:rPr>
          <w:rFonts w:hint="eastAsia" w:cs="仿宋"/>
          <w:color w:val="000000"/>
          <w:kern w:val="0"/>
          <w:sz w:val="32"/>
          <w:szCs w:val="32"/>
          <w:lang w:bidi="ar"/>
        </w:rPr>
        <w:t>年六安市城区环境空气中细颗粒物（</w:t>
      </w:r>
      <w:r>
        <w:rPr>
          <w:rFonts w:hint="eastAsia"/>
          <w:sz w:val="32"/>
          <w:szCs w:val="32"/>
        </w:rPr>
        <w:t>、</w:t>
      </w:r>
      <w:r>
        <w:rPr>
          <w:color w:val="000000"/>
          <w:kern w:val="0"/>
          <w:sz w:val="32"/>
          <w:szCs w:val="32"/>
          <w:lang w:bidi="ar"/>
        </w:rPr>
        <w:t>PM2.5</w:t>
      </w:r>
      <w:r>
        <w:rPr>
          <w:rFonts w:hint="eastAsia" w:cs="仿宋"/>
          <w:color w:val="000000"/>
          <w:kern w:val="0"/>
          <w:sz w:val="32"/>
          <w:szCs w:val="32"/>
          <w:lang w:bidi="ar"/>
        </w:rPr>
        <w:t>）年均浓度为</w:t>
      </w:r>
      <w:r>
        <w:rPr>
          <w:color w:val="000000"/>
          <w:kern w:val="0"/>
          <w:sz w:val="32"/>
          <w:szCs w:val="32"/>
          <w:lang w:bidi="ar"/>
        </w:rPr>
        <w:t>37</w:t>
      </w:r>
      <w:r>
        <w:rPr>
          <w:rFonts w:hint="eastAsia" w:cs="仿宋"/>
          <w:color w:val="000000"/>
          <w:kern w:val="0"/>
          <w:sz w:val="32"/>
          <w:szCs w:val="32"/>
          <w:lang w:bidi="ar"/>
        </w:rPr>
        <w:t>微克</w:t>
      </w:r>
      <w:r>
        <w:rPr>
          <w:color w:val="000000"/>
          <w:kern w:val="0"/>
          <w:sz w:val="32"/>
          <w:szCs w:val="32"/>
          <w:lang w:bidi="ar"/>
        </w:rPr>
        <w:t>/</w:t>
      </w:r>
      <w:r>
        <w:rPr>
          <w:rFonts w:hint="eastAsia" w:cs="仿宋"/>
          <w:color w:val="000000"/>
          <w:kern w:val="0"/>
          <w:sz w:val="32"/>
          <w:szCs w:val="32"/>
          <w:lang w:bidi="ar"/>
        </w:rPr>
        <w:t>立方米，仍未达到国家二级标准要求。根据《中华人民共和国环境保护法》《中华人民共和国大气污染防治法》和《安徽省大气污染防治条例》等相关法律法规规定，六安市作为空气质量未达标城市，需编制环境空气质量限期达标规划，明确大气污染防治措施，限期达标。为切实改善我市环境空气质量、促进全市空气质量限期达标，结合城市总体规划、国民经济社会发展规划和能源发展规划等实际情况，制定本规划。</w:t>
      </w:r>
    </w:p>
    <w:p>
      <w:pPr>
        <w:spacing w:line="360" w:lineRule="auto"/>
        <w:rPr>
          <w:sz w:val="24"/>
        </w:rPr>
      </w:pPr>
    </w:p>
    <w:bookmarkEnd w:id="0"/>
    <w:sectPr>
      <w:headerReference r:id="rId3" w:type="default"/>
      <w:footerReference r:id="rId4" w:type="default"/>
      <w:pgSz w:w="11906" w:h="16838"/>
      <w:pgMar w:top="1418" w:right="1418" w:bottom="1418" w:left="1418" w:header="851" w:footer="850"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2</w:t>
    </w:r>
    <w:r>
      <w:rPr>
        <w:rFonts w:ascii="仿宋" w:hAnsi="仿宋" w:eastAsia="仿宋"/>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ascii="仿宋" w:hAnsi="仿宋" w:eastAsia="仿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45FB"/>
    <w:multiLevelType w:val="multilevel"/>
    <w:tmpl w:val="128C45FB"/>
    <w:lvl w:ilvl="0" w:tentative="0">
      <w:start w:val="1"/>
      <w:numFmt w:val="decimal"/>
      <w:lvlText w:val="%1"/>
      <w:lvlJc w:val="left"/>
      <w:pPr>
        <w:ind w:left="0" w:firstLine="0"/>
      </w:pPr>
      <w:rPr>
        <w:rFonts w:hint="default" w:ascii="Calibri" w:hAnsi="Calibri"/>
      </w:rPr>
    </w:lvl>
    <w:lvl w:ilvl="1" w:tentative="0">
      <w:start w:val="1"/>
      <w:numFmt w:val="decimal"/>
      <w:lvlText w:val="%1.%2"/>
      <w:lvlJc w:val="left"/>
      <w:pPr>
        <w:ind w:left="142" w:firstLine="0"/>
      </w:pPr>
      <w:rPr>
        <w:rFonts w:hint="default" w:ascii="Calibri" w:hAnsi="Calibri" w:cs="Calibri"/>
      </w:rPr>
    </w:lvl>
    <w:lvl w:ilvl="2" w:tentative="0">
      <w:start w:val="1"/>
      <w:numFmt w:val="decimal"/>
      <w:lvlText w:val="%1.%2.%3"/>
      <w:lvlJc w:val="left"/>
      <w:pPr>
        <w:ind w:left="0" w:firstLine="0"/>
      </w:pPr>
      <w:rPr>
        <w:rFonts w:hint="default" w:ascii="Calibri" w:hAnsi="Calibri"/>
      </w:rPr>
    </w:lvl>
    <w:lvl w:ilvl="3" w:tentative="0">
      <w:start w:val="1"/>
      <w:numFmt w:val="decimal"/>
      <w:pStyle w:val="3"/>
      <w:lvlText w:val="%1.%2.%3.%4"/>
      <w:lvlJc w:val="left"/>
      <w:pPr>
        <w:ind w:left="142" w:firstLine="0"/>
      </w:pPr>
      <w:rPr>
        <w:rFonts w:hint="default" w:ascii="Calibri" w:hAnsi="Calibri" w:cs="Calibri"/>
      </w:rPr>
    </w:lvl>
    <w:lvl w:ilvl="4" w:tentative="0">
      <w:start w:val="1"/>
      <w:numFmt w:val="decimal"/>
      <w:lvlText w:val="%1.%2.%3.%4.%5"/>
      <w:lvlJc w:val="left"/>
      <w:pPr>
        <w:ind w:left="0" w:firstLine="0"/>
      </w:pPr>
      <w:rPr>
        <w:rFonts w:hint="default" w:ascii="Calibri" w:hAnsi="Calibri" w:cs="Calibri"/>
      </w:rPr>
    </w:lvl>
    <w:lvl w:ilvl="5" w:tentative="0">
      <w:start w:val="1"/>
      <w:numFmt w:val="decimal"/>
      <w:isLgl/>
      <w:lvlText w:val="%1.%2.%3.%4.%5.%6"/>
      <w:lvlJc w:val="left"/>
      <w:pPr>
        <w:ind w:left="0" w:firstLine="0"/>
      </w:pPr>
      <w:rPr>
        <w:rFonts w:hint="default" w:ascii="Calibri" w:hAnsi="Calibri" w:cs="Calibri"/>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04840"/>
    <w:rsid w:val="003905A3"/>
    <w:rsid w:val="003948E9"/>
    <w:rsid w:val="00976948"/>
    <w:rsid w:val="054A62D4"/>
    <w:rsid w:val="42704840"/>
    <w:rsid w:val="646D2D41"/>
    <w:rsid w:val="659312AF"/>
    <w:rsid w:val="6CC8384E"/>
    <w:rsid w:val="7AA4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4"/>
    <w:basedOn w:val="1"/>
    <w:next w:val="1"/>
    <w:qFormat/>
    <w:uiPriority w:val="0"/>
    <w:pPr>
      <w:keepNext/>
      <w:keepLines/>
      <w:numPr>
        <w:ilvl w:val="3"/>
        <w:numId w:val="1"/>
      </w:numPr>
      <w:spacing w:before="280" w:after="290" w:line="376" w:lineRule="auto"/>
      <w:jc w:val="left"/>
      <w:outlineLvl w:val="3"/>
    </w:pPr>
    <w:rPr>
      <w:rFonts w:ascii="Cambria" w:hAnsi="Cambria" w:eastAsia="黑体"/>
      <w:b/>
      <w:bCs/>
      <w:sz w:val="30"/>
      <w:szCs w:val="28"/>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kern w:val="0"/>
      <w:sz w:val="24"/>
    </w:rPr>
  </w:style>
  <w:style w:type="paragraph" w:customStyle="1" w:styleId="9">
    <w:name w:val="A正文"/>
    <w:basedOn w:val="1"/>
    <w:qFormat/>
    <w:uiPriority w:val="0"/>
    <w:pPr>
      <w:adjustRightInd w:val="0"/>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629</Characters>
  <Lines>5</Lines>
  <Paragraphs>1</Paragraphs>
  <TotalTime>0</TotalTime>
  <ScaleCrop>false</ScaleCrop>
  <LinksUpToDate>false</LinksUpToDate>
  <CharactersWithSpaces>738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2021-12-13T08:25:00Z</dcterms:created>
  <dc:creator>yun'fei</dc:creator>
  <cp:lastModifiedBy>Administrator</cp:lastModifiedBy>
  <dcterms:modified xsi:type="dcterms:W3CDTF">2021-12-20T03:34:27Z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A41D7A074A124975B7D302FFC33710C0</vt:lpwstr>
  </property>
</Properties>
</file>