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 w:val="0"/>
          <w:bCs w:val="0"/>
          <w:color w:val="auto"/>
          <w:spacing w:val="0"/>
          <w:w w:val="100"/>
          <w:sz w:val="44"/>
          <w:szCs w:val="44"/>
          <w:highlight w:val="none"/>
          <w:u w:val="none"/>
        </w:rPr>
      </w:pPr>
      <w:bookmarkStart w:id="0" w:name="_GoBack"/>
      <w:bookmarkEnd w:id="0"/>
      <w:r>
        <w:rPr>
          <w:rFonts w:hint="default" w:ascii="Times New Roman" w:hAnsi="Times New Roman" w:eastAsia="方正小标宋简体" w:cs="Times New Roman"/>
          <w:b w:val="0"/>
          <w:bCs w:val="0"/>
          <w:color w:val="auto"/>
          <w:spacing w:val="0"/>
          <w:w w:val="100"/>
          <w:sz w:val="44"/>
          <w:szCs w:val="44"/>
          <w:highlight w:val="none"/>
          <w:u w:val="none"/>
        </w:rPr>
        <w:t>关于推广亩均效益评价工作的</w:t>
      </w:r>
      <w:r>
        <w:rPr>
          <w:rFonts w:hint="default" w:ascii="Times New Roman" w:hAnsi="Times New Roman" w:eastAsia="方正小标宋简体" w:cs="Times New Roman"/>
          <w:b w:val="0"/>
          <w:bCs w:val="0"/>
          <w:color w:val="auto"/>
          <w:spacing w:val="0"/>
          <w:w w:val="100"/>
          <w:sz w:val="44"/>
          <w:szCs w:val="44"/>
          <w:highlight w:val="none"/>
          <w:u w:val="none"/>
          <w:lang w:eastAsia="zh-CN"/>
        </w:rPr>
        <w:t>实施</w:t>
      </w:r>
      <w:r>
        <w:rPr>
          <w:rFonts w:hint="default" w:ascii="Times New Roman" w:hAnsi="Times New Roman" w:eastAsia="方正小标宋简体" w:cs="Times New Roman"/>
          <w:b w:val="0"/>
          <w:bCs w:val="0"/>
          <w:color w:val="auto"/>
          <w:spacing w:val="0"/>
          <w:w w:val="100"/>
          <w:sz w:val="44"/>
          <w:szCs w:val="44"/>
          <w:highlight w:val="none"/>
          <w:u w:val="none"/>
        </w:rPr>
        <w:t>意见</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楷体_GB2312" w:hAnsi="楷体_GB2312" w:eastAsia="楷体_GB2312" w:cs="楷体_GB2312"/>
          <w:b/>
          <w:bCs/>
          <w:color w:val="auto"/>
          <w:kern w:val="0"/>
          <w:sz w:val="32"/>
          <w:szCs w:val="32"/>
          <w:u w:val="none"/>
          <w:lang w:val="en-US" w:eastAsia="zh-CN" w:bidi="ar"/>
        </w:rPr>
      </w:pPr>
      <w:r>
        <w:rPr>
          <w:rFonts w:hint="eastAsia" w:ascii="楷体_GB2312" w:hAnsi="楷体_GB2312" w:eastAsia="楷体_GB2312" w:cs="楷体_GB2312"/>
          <w:b/>
          <w:bCs/>
          <w:color w:val="auto"/>
          <w:kern w:val="0"/>
          <w:sz w:val="32"/>
          <w:szCs w:val="32"/>
          <w:u w:val="none"/>
          <w:lang w:val="en-US" w:eastAsia="zh-CN" w:bidi="ar"/>
        </w:rPr>
        <w:t>（征求意见稿）</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Cs/>
          <w:color w:val="auto"/>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
        </w:rPr>
      </w:pPr>
      <w:r>
        <w:rPr>
          <w:rFonts w:hint="default" w:ascii="Times New Roman" w:hAnsi="Times New Roman" w:eastAsia="仿宋_GB2312" w:cs="Times New Roman"/>
          <w:bCs/>
          <w:color w:val="auto"/>
          <w:sz w:val="32"/>
          <w:szCs w:val="32"/>
        </w:rPr>
        <w:t>为进一步引导</w:t>
      </w:r>
      <w:r>
        <w:rPr>
          <w:rFonts w:hint="eastAsia" w:ascii="Times New Roman" w:hAnsi="Times New Roman" w:eastAsia="仿宋_GB2312" w:cs="Times New Roman"/>
          <w:bCs/>
          <w:color w:val="auto"/>
          <w:sz w:val="32"/>
          <w:szCs w:val="32"/>
          <w:lang w:eastAsia="zh-CN"/>
        </w:rPr>
        <w:t>工业</w:t>
      </w:r>
      <w:r>
        <w:rPr>
          <w:rFonts w:hint="default" w:ascii="Times New Roman" w:hAnsi="Times New Roman" w:eastAsia="仿宋_GB2312" w:cs="Times New Roman"/>
          <w:bCs/>
          <w:color w:val="auto"/>
          <w:sz w:val="32"/>
          <w:szCs w:val="32"/>
        </w:rPr>
        <w:t>企业树立“亩均论英雄”发展理念，优化资源要素配置，推动工业转型升级高质量发展，</w:t>
      </w:r>
      <w:r>
        <w:rPr>
          <w:rFonts w:hint="default" w:ascii="Times New Roman" w:hAnsi="Times New Roman" w:eastAsia="仿宋_GB2312" w:cs="Times New Roman"/>
          <w:b w:val="0"/>
          <w:bCs w:val="0"/>
          <w:color w:val="auto"/>
          <w:kern w:val="0"/>
          <w:sz w:val="32"/>
          <w:szCs w:val="32"/>
          <w:u w:val="none"/>
          <w:lang w:val="en-US" w:eastAsia="zh-CN" w:bidi="ar"/>
        </w:rPr>
        <w:t>根据省经信厅、省发改委、省财政厅、省人社厅、省自然资源厅、省生态环境厅、省市场监管局、省统计局、省数管局、省税务局等十部门《关于推广亩均效益评价工作意见的通知》（皖经信运行〔2021〕108号）精神，结合我市实际，制定本实施意见。</w:t>
      </w:r>
    </w:p>
    <w:p>
      <w:pPr>
        <w:keepNext w:val="0"/>
        <w:keepLines w:val="0"/>
        <w:pageBreakBefore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u w:val="none"/>
          <w:lang w:val="en-US" w:eastAsia="zh-CN" w:bidi="ar"/>
        </w:rPr>
      </w:pPr>
      <w:r>
        <w:rPr>
          <w:rFonts w:hint="default" w:ascii="Times New Roman" w:hAnsi="Times New Roman" w:eastAsia="黑体" w:cs="Times New Roman"/>
          <w:b w:val="0"/>
          <w:bCs w:val="0"/>
          <w:color w:val="auto"/>
          <w:kern w:val="0"/>
          <w:sz w:val="32"/>
          <w:szCs w:val="32"/>
          <w:u w:val="none"/>
          <w:lang w:val="en-US" w:eastAsia="zh-CN" w:bidi="ar"/>
        </w:rPr>
        <w:t>一、建立亩均效益评价机制</w:t>
      </w:r>
    </w:p>
    <w:p>
      <w:pPr>
        <w:pStyle w:val="8"/>
        <w:keepNext w:val="0"/>
        <w:keepLines w:val="0"/>
        <w:pageBreakBefore w:val="0"/>
        <w:kinsoku/>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（一）评价对象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微软雅黑" w:cs="Times New Roman"/>
          <w:b w:val="0"/>
          <w:bCs w:val="0"/>
          <w:i w:val="0"/>
          <w:caps w:val="0"/>
          <w:color w:val="auto"/>
          <w:spacing w:val="0"/>
          <w:sz w:val="32"/>
          <w:szCs w:val="32"/>
          <w:highlight w:val="none"/>
          <w:u w:val="none"/>
          <w:shd w:val="clear" w:color="auto" w:fill="FFFFFF"/>
        </w:rPr>
      </w:pPr>
      <w:r>
        <w:rPr>
          <w:rFonts w:hint="default" w:ascii="Times New Roman" w:hAnsi="Times New Roman" w:eastAsia="仿宋_GB2312" w:cs="Times New Roman"/>
          <w:b w:val="0"/>
          <w:bCs w:val="0"/>
          <w:color w:val="auto"/>
          <w:sz w:val="32"/>
          <w:szCs w:val="32"/>
          <w:u w:val="none"/>
          <w:lang w:eastAsia="zh-CN"/>
        </w:rPr>
        <w:t>对全市</w:t>
      </w:r>
      <w:r>
        <w:rPr>
          <w:rFonts w:hint="default" w:ascii="Times New Roman" w:hAnsi="Times New Roman" w:eastAsia="仿宋_GB2312" w:cs="Times New Roman"/>
          <w:b w:val="0"/>
          <w:bCs w:val="0"/>
          <w:color w:val="auto"/>
          <w:sz w:val="32"/>
          <w:szCs w:val="32"/>
          <w:u w:val="none"/>
        </w:rPr>
        <w:t>规模以上工业企业和占地5亩以上的规模以下工业企业实施评价。</w:t>
      </w:r>
      <w:r>
        <w:rPr>
          <w:rFonts w:hint="default" w:ascii="Times New Roman" w:hAnsi="Times New Roman" w:eastAsia="仿宋_GB2312" w:cs="Times New Roman"/>
          <w:b w:val="0"/>
          <w:bCs w:val="0"/>
          <w:color w:val="auto"/>
          <w:sz w:val="32"/>
          <w:szCs w:val="32"/>
          <w:u w:val="none"/>
          <w:lang w:eastAsia="zh-CN"/>
        </w:rPr>
        <w:t>规模以上工业企业评价由市级组织实施，</w:t>
      </w:r>
      <w:r>
        <w:rPr>
          <w:rFonts w:hint="default" w:ascii="Times New Roman" w:hAnsi="Times New Roman" w:eastAsia="仿宋_GB2312" w:cs="Times New Roman"/>
          <w:b w:val="0"/>
          <w:bCs w:val="0"/>
          <w:color w:val="auto"/>
          <w:sz w:val="32"/>
          <w:szCs w:val="32"/>
          <w:u w:val="none"/>
        </w:rPr>
        <w:t>规模以下工业企业</w:t>
      </w:r>
      <w:r>
        <w:rPr>
          <w:rFonts w:hint="default" w:ascii="Times New Roman" w:hAnsi="Times New Roman" w:eastAsia="仿宋_GB2312" w:cs="Times New Roman"/>
          <w:b w:val="0"/>
          <w:bCs w:val="0"/>
          <w:color w:val="auto"/>
          <w:sz w:val="32"/>
          <w:szCs w:val="32"/>
          <w:u w:val="none"/>
          <w:lang w:eastAsia="zh-CN"/>
        </w:rPr>
        <w:t>评价</w:t>
      </w:r>
      <w:r>
        <w:rPr>
          <w:rFonts w:hint="default" w:ascii="Times New Roman" w:hAnsi="Times New Roman" w:eastAsia="仿宋_GB2312" w:cs="Times New Roman"/>
          <w:b w:val="0"/>
          <w:bCs w:val="0"/>
          <w:color w:val="auto"/>
          <w:kern w:val="0"/>
          <w:sz w:val="32"/>
          <w:szCs w:val="32"/>
          <w:highlight w:val="none"/>
          <w:u w:val="none"/>
          <w:lang w:val="en-US" w:eastAsia="zh-CN" w:bidi="ar"/>
        </w:rPr>
        <w:t>由县区自行组织实施</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pacing w:val="0"/>
          <w:w w:val="100"/>
          <w:sz w:val="32"/>
          <w:szCs w:val="32"/>
          <w:highlight w:val="none"/>
          <w:u w:val="none"/>
          <w:lang w:val="en-US" w:eastAsia="zh-CN"/>
        </w:rPr>
      </w:pPr>
      <w:r>
        <w:rPr>
          <w:rFonts w:hint="default" w:ascii="Times New Roman" w:hAnsi="Times New Roman" w:eastAsia="楷体_GB2312" w:cs="Times New Roman"/>
          <w:b w:val="0"/>
          <w:bCs w:val="0"/>
          <w:color w:val="auto"/>
          <w:spacing w:val="0"/>
          <w:w w:val="100"/>
          <w:sz w:val="32"/>
          <w:szCs w:val="32"/>
          <w:highlight w:val="none"/>
          <w:u w:val="none"/>
          <w:lang w:val="en-US" w:eastAsia="zh-CN"/>
        </w:rPr>
        <w:t>（二）评价指标及计算方式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1.评价指标。对规模以上工业企业</w:t>
      </w:r>
      <w:r>
        <w:rPr>
          <w:rFonts w:hint="default" w:ascii="Times New Roman" w:hAnsi="Times New Roman" w:eastAsia="仿宋_GB2312" w:cs="Times New Roman"/>
          <w:b w:val="0"/>
          <w:bCs w:val="0"/>
          <w:color w:val="auto"/>
          <w:sz w:val="32"/>
          <w:szCs w:val="32"/>
          <w:u w:val="none"/>
          <w:lang w:eastAsia="zh-CN"/>
        </w:rPr>
        <w:t>设定亩均营业收入、亩均税收、单位能耗营业收入、亩均技术改造投资、全员劳动生产率</w:t>
      </w:r>
      <w:r>
        <w:rPr>
          <w:rFonts w:hint="default" w:ascii="Times New Roman" w:hAnsi="Times New Roman" w:eastAsia="仿宋_GB2312" w:cs="Times New Roman"/>
          <w:b w:val="0"/>
          <w:bCs w:val="0"/>
          <w:color w:val="auto"/>
          <w:sz w:val="32"/>
          <w:szCs w:val="32"/>
          <w:u w:val="none"/>
          <w:lang w:val="en-US" w:eastAsia="zh-CN"/>
        </w:rPr>
        <w:t>5项指标</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权重分别为总分的35%、25%、20%、10%、10%。</w:t>
      </w:r>
      <w:r>
        <w:rPr>
          <w:rFonts w:hint="default" w:ascii="Times New Roman" w:hAnsi="Times New Roman" w:eastAsia="仿宋_GB2312" w:cs="Times New Roman"/>
          <w:b w:val="0"/>
          <w:bCs w:val="0"/>
          <w:color w:val="auto"/>
          <w:sz w:val="32"/>
          <w:szCs w:val="32"/>
          <w:u w:val="none"/>
          <w:lang w:eastAsia="zh-CN"/>
        </w:rPr>
        <w:t>规模以下工业企业评价以</w:t>
      </w:r>
      <w:r>
        <w:rPr>
          <w:rFonts w:hint="default" w:ascii="Times New Roman" w:hAnsi="Times New Roman" w:eastAsia="仿宋_GB2312" w:cs="Times New Roman"/>
          <w:b w:val="0"/>
          <w:bCs w:val="0"/>
          <w:color w:val="auto"/>
          <w:sz w:val="32"/>
          <w:szCs w:val="32"/>
          <w:u w:val="none"/>
          <w:lang w:val="en-US" w:eastAsia="zh-CN"/>
        </w:rPr>
        <w:t>亩均营业收入、亩均税收为主要指标，各县区可根据实际情况增设其他评价指标。</w:t>
      </w:r>
    </w:p>
    <w:p>
      <w:pPr>
        <w:pStyle w:val="8"/>
        <w:keepNext w:val="0"/>
        <w:keepLines w:val="0"/>
        <w:pageBreakBefore w:val="0"/>
        <w:kinsoku/>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2.计算方式。</w:t>
      </w:r>
      <w:r>
        <w:rPr>
          <w:rFonts w:hint="default" w:ascii="Times New Roman" w:hAnsi="Times New Roman" w:eastAsia="仿宋_GB2312" w:cs="Times New Roman"/>
          <w:b w:val="0"/>
          <w:bCs w:val="0"/>
          <w:color w:val="auto"/>
          <w:spacing w:val="0"/>
          <w:w w:val="100"/>
          <w:kern w:val="2"/>
          <w:sz w:val="32"/>
          <w:szCs w:val="32"/>
          <w:highlight w:val="none"/>
          <w:u w:val="none"/>
          <w:lang w:val="en-US" w:eastAsia="zh-CN" w:bidi="ar-SA"/>
        </w:rPr>
        <w:t>企业得分为每项指标得分之和，</w:t>
      </w:r>
      <w:r>
        <w:rPr>
          <w:rFonts w:hint="default" w:ascii="Times New Roman" w:hAnsi="Times New Roman" w:eastAsia="仿宋_GB2312" w:cs="Times New Roman"/>
          <w:b w:val="0"/>
          <w:bCs w:val="0"/>
          <w:color w:val="auto"/>
          <w:spacing w:val="0"/>
          <w:w w:val="100"/>
          <w:sz w:val="32"/>
          <w:szCs w:val="32"/>
          <w:highlight w:val="none"/>
          <w:u w:val="none"/>
          <w:lang w:val="en-US" w:eastAsia="zh-CN"/>
        </w:rPr>
        <w:t>单项指标分值=100×单项指标权重×[(企业本值-最小值)/(最大值-最小值)×80%+20%]，企业本值为0的，该项得0分。</w:t>
      </w:r>
    </w:p>
    <w:p>
      <w:pPr>
        <w:keepNext w:val="0"/>
        <w:keepLines w:val="0"/>
        <w:pageBreakBefore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pacing w:val="0"/>
          <w:w w:val="100"/>
          <w:sz w:val="32"/>
          <w:szCs w:val="32"/>
          <w:highlight w:val="none"/>
          <w:u w:val="none"/>
          <w:lang w:val="en-US" w:eastAsia="zh-CN"/>
        </w:rPr>
      </w:pPr>
      <w:r>
        <w:rPr>
          <w:rFonts w:hint="default" w:ascii="Times New Roman" w:hAnsi="Times New Roman" w:eastAsia="楷体_GB2312" w:cs="Times New Roman"/>
          <w:b w:val="0"/>
          <w:bCs w:val="0"/>
          <w:color w:val="auto"/>
          <w:spacing w:val="0"/>
          <w:w w:val="100"/>
          <w:sz w:val="32"/>
          <w:szCs w:val="32"/>
          <w:highlight w:val="none"/>
          <w:u w:val="none"/>
          <w:lang w:val="en-US" w:eastAsia="zh-CN"/>
        </w:rPr>
        <w:t>（三）评价分档。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rPr>
        <w:t>依据评价得分高低排序，对</w:t>
      </w:r>
      <w:r>
        <w:rPr>
          <w:rFonts w:hint="default" w:ascii="Times New Roman" w:hAnsi="Times New Roman" w:eastAsia="仿宋_GB2312" w:cs="Times New Roman"/>
          <w:b w:val="0"/>
          <w:bCs w:val="0"/>
          <w:color w:val="auto"/>
          <w:sz w:val="32"/>
          <w:szCs w:val="32"/>
          <w:u w:val="none"/>
          <w:lang w:eastAsia="zh-CN"/>
        </w:rPr>
        <w:t>参评</w:t>
      </w:r>
      <w:r>
        <w:rPr>
          <w:rFonts w:hint="default" w:ascii="Times New Roman" w:hAnsi="Times New Roman" w:eastAsia="仿宋_GB2312" w:cs="Times New Roman"/>
          <w:b w:val="0"/>
          <w:bCs w:val="0"/>
          <w:color w:val="auto"/>
          <w:sz w:val="32"/>
          <w:szCs w:val="32"/>
          <w:u w:val="none"/>
        </w:rPr>
        <w:t>企业</w:t>
      </w:r>
      <w:r>
        <w:rPr>
          <w:rFonts w:hint="default" w:ascii="Times New Roman" w:hAnsi="Times New Roman" w:eastAsia="仿宋_GB2312" w:cs="Times New Roman"/>
          <w:b w:val="0"/>
          <w:bCs w:val="0"/>
          <w:color w:val="auto"/>
          <w:spacing w:val="0"/>
          <w:w w:val="100"/>
          <w:sz w:val="32"/>
          <w:szCs w:val="32"/>
          <w:highlight w:val="none"/>
          <w:u w:val="none"/>
          <w:lang w:val="en-US" w:eastAsia="zh-CN"/>
        </w:rPr>
        <w:t>按前20%(含)、20%-65%(含)、65%-95%(含)、后5%的比例范围分为A、B、C、D四档。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（四）定档调档。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按照得分排序对参评企业评价分档后，如有下列情况的，进行定档调档，定档调档企业不影响其他企业依据得分排序的评价结果。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1.对评价年度主板上市企业、营业收入超30亿元或总税收超5000万元企业直接定为A档。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2.对评价年度获得国家级荣誉（与工业经济发展相关）的企业，或对全市经济社会发展和产业转型升级作出突出贡献的企业，由企业所在县区政府（管委）提出申请，经</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市亩均效益评价专项工作组</w:t>
      </w:r>
      <w:r>
        <w:rPr>
          <w:rFonts w:hint="default" w:ascii="Times New Roman" w:hAnsi="Times New Roman" w:eastAsia="仿宋_GB2312" w:cs="Times New Roman"/>
          <w:b w:val="0"/>
          <w:bCs w:val="0"/>
          <w:color w:val="auto"/>
          <w:spacing w:val="0"/>
          <w:w w:val="100"/>
          <w:sz w:val="32"/>
          <w:szCs w:val="32"/>
          <w:highlight w:val="none"/>
          <w:u w:val="none"/>
          <w:lang w:val="en-US" w:eastAsia="zh-CN"/>
        </w:rPr>
        <w:t>研究同意后，可提一档。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3.参评企业因得分并列原因导致A档企业超出参评企业前20%比例的，B档企业比例依次顺延（保持总体占比45%）；得分为0的企业，直接定位D档。如B、D档企业数量超出设定比例范围，C档企业比例相应减少。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4.近两年新纳规企业原则上不列为D档。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5.对评价年度发生较大及以上安全生产事故和环保责任事故的企业降一档。</w:t>
      </w:r>
    </w:p>
    <w:p>
      <w:pPr>
        <w:pStyle w:val="8"/>
        <w:keepNext w:val="0"/>
        <w:keepLines w:val="0"/>
        <w:pageBreakBefore w:val="0"/>
        <w:kinsoku/>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（五）评价流程。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
        </w:rPr>
      </w:pPr>
      <w:r>
        <w:rPr>
          <w:rFonts w:hint="default" w:ascii="Times New Roman" w:hAnsi="Times New Roman" w:eastAsia="仿宋_GB2312" w:cs="Times New Roman"/>
          <w:b w:val="0"/>
          <w:bCs w:val="0"/>
          <w:color w:val="auto"/>
          <w:spacing w:val="0"/>
          <w:w w:val="100"/>
          <w:kern w:val="2"/>
          <w:sz w:val="32"/>
          <w:szCs w:val="32"/>
          <w:highlight w:val="none"/>
          <w:u w:val="none"/>
          <w:lang w:val="en-US" w:eastAsia="zh-CN" w:bidi="ar-SA"/>
        </w:rPr>
        <w:t>1.规模以上工业企业。市经信局会同市自然资源局、市税务局、市统计局等部门组织实施，每年开展一次，年初</w:t>
      </w:r>
      <w:r>
        <w:rPr>
          <w:rFonts w:hint="default" w:ascii="Times New Roman" w:hAnsi="Times New Roman" w:eastAsia="仿宋_GB2312" w:cs="Times New Roman"/>
          <w:b w:val="0"/>
          <w:bCs w:val="0"/>
          <w:color w:val="auto"/>
          <w:kern w:val="0"/>
          <w:sz w:val="32"/>
          <w:szCs w:val="32"/>
          <w:highlight w:val="none"/>
          <w:u w:val="none"/>
          <w:lang w:val="en-US" w:eastAsia="zh-CN" w:bidi="ar"/>
        </w:rPr>
        <w:t>启动评价工作，</w:t>
      </w:r>
      <w:r>
        <w:rPr>
          <w:rFonts w:hint="default" w:ascii="Times New Roman" w:hAnsi="Times New Roman" w:eastAsia="仿宋_GB2312" w:cs="Times New Roman"/>
          <w:b w:val="0"/>
          <w:bCs w:val="0"/>
          <w:color w:val="auto"/>
          <w:kern w:val="0"/>
          <w:sz w:val="32"/>
          <w:szCs w:val="32"/>
          <w:u w:val="none"/>
          <w:lang w:val="en-US" w:eastAsia="zh-CN" w:bidi="ar"/>
        </w:rPr>
        <w:t>评价结果经市政府审定并公示后发布。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2.规模以下工业企业。由县区自行组织实施，各县区根据自身发展实际于2024年底前制定占地5亩以上规模以下工业企业亩均效益评价方案，并开展评价，鼓励有条件的县区先行先试、扩大评价范围。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lang w:val="en-US" w:eastAsia="zh-CN"/>
        </w:rPr>
        <w:t>建立资源要素优化配置机制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强化评价结果运用，以县区为主体，建立资源要素优化配置机制。各县区依据企业亩均效益评价结果，</w:t>
      </w:r>
      <w:r>
        <w:rPr>
          <w:rFonts w:hint="default" w:ascii="Times New Roman" w:hAnsi="Times New Roman" w:eastAsia="仿宋_GB2312" w:cs="Times New Roman"/>
          <w:b w:val="0"/>
          <w:bCs w:val="0"/>
          <w:color w:val="auto"/>
          <w:kern w:val="0"/>
          <w:sz w:val="32"/>
          <w:szCs w:val="32"/>
          <w:u w:val="none"/>
          <w:lang w:val="en-US" w:eastAsia="zh-CN" w:bidi="ar"/>
        </w:rPr>
        <w:t>按照A档优先发展、B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kern w:val="0"/>
          <w:sz w:val="32"/>
          <w:szCs w:val="32"/>
          <w:u w:val="none"/>
          <w:lang w:val="en-US" w:eastAsia="zh-CN" w:bidi="ar"/>
        </w:rPr>
        <w:t>提升发展、C</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kern w:val="0"/>
          <w:sz w:val="32"/>
          <w:szCs w:val="32"/>
          <w:u w:val="none"/>
          <w:lang w:val="en-US" w:eastAsia="zh-CN" w:bidi="ar"/>
        </w:rPr>
        <w:t>调控帮扶、D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kern w:val="0"/>
          <w:sz w:val="32"/>
          <w:szCs w:val="32"/>
          <w:u w:val="none"/>
          <w:lang w:val="en-US" w:eastAsia="zh-CN" w:bidi="ar"/>
        </w:rPr>
        <w:t>倒逼整治的原则，</w:t>
      </w:r>
      <w:r>
        <w:rPr>
          <w:rFonts w:hint="default" w:ascii="Times New Roman" w:hAnsi="Times New Roman" w:eastAsia="仿宋_GB2312" w:cs="Times New Roman"/>
          <w:b w:val="0"/>
          <w:bCs w:val="0"/>
          <w:color w:val="auto"/>
          <w:kern w:val="0"/>
          <w:sz w:val="32"/>
          <w:szCs w:val="32"/>
          <w:highlight w:val="none"/>
          <w:u w:val="none"/>
          <w:lang w:val="en-US" w:eastAsia="zh-CN" w:bidi="ar"/>
        </w:rPr>
        <w:t>依法依规制定实施差别化财税、用地、用电、用水、用气、金融、人才等政策，</w:t>
      </w:r>
      <w:r>
        <w:rPr>
          <w:rFonts w:hint="default" w:ascii="Times New Roman" w:hAnsi="Times New Roman" w:eastAsia="仿宋_GB2312" w:cs="Times New Roman"/>
          <w:b w:val="0"/>
          <w:bCs w:val="0"/>
          <w:color w:val="auto"/>
          <w:kern w:val="0"/>
          <w:sz w:val="32"/>
          <w:szCs w:val="32"/>
          <w:u w:val="none"/>
          <w:lang w:val="en-US" w:eastAsia="zh-CN" w:bidi="ar"/>
        </w:rPr>
        <w:t>推进资源要素向评价高的企业集聚，提升资源要素利用效率</w:t>
      </w:r>
      <w:r>
        <w:rPr>
          <w:rFonts w:hint="default" w:ascii="Times New Roman" w:hAnsi="Times New Roman" w:eastAsia="仿宋_GB2312" w:cs="Times New Roman"/>
          <w:b w:val="0"/>
          <w:bCs w:val="0"/>
          <w:color w:val="auto"/>
          <w:kern w:val="0"/>
          <w:sz w:val="32"/>
          <w:szCs w:val="32"/>
          <w:highlight w:val="none"/>
          <w:u w:val="none"/>
          <w:lang w:val="en-US" w:eastAsia="zh-CN" w:bidi="ar"/>
        </w:rPr>
        <w:t>。</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（一）实施差别化奖评政策。</w:t>
      </w:r>
      <w:r>
        <w:rPr>
          <w:rFonts w:hint="default" w:ascii="Times New Roman" w:hAnsi="Times New Roman" w:eastAsia="仿宋_GB2312" w:cs="Times New Roman"/>
          <w:b w:val="0"/>
          <w:bCs w:val="0"/>
          <w:color w:val="auto"/>
          <w:kern w:val="0"/>
          <w:sz w:val="32"/>
          <w:szCs w:val="32"/>
          <w:highlight w:val="none"/>
          <w:u w:val="none"/>
          <w:lang w:val="en-US" w:eastAsia="zh-CN" w:bidi="ar"/>
        </w:rPr>
        <w:t>优先评选和推荐A档企业申报各级政府性评奖评优、试点示范项目等，探索制定差别化财政资金政策，根据亩均效益评价结果兑现不同奖补比例。</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（二）实施差别化用地政策。</w:t>
      </w:r>
      <w:r>
        <w:rPr>
          <w:rFonts w:hint="default" w:ascii="Times New Roman" w:hAnsi="Times New Roman" w:eastAsia="仿宋_GB2312" w:cs="Times New Roman"/>
          <w:b w:val="0"/>
          <w:bCs w:val="0"/>
          <w:color w:val="auto"/>
          <w:kern w:val="0"/>
          <w:sz w:val="32"/>
          <w:szCs w:val="32"/>
          <w:highlight w:val="none"/>
          <w:u w:val="none"/>
          <w:lang w:val="en-US" w:eastAsia="zh-CN" w:bidi="ar"/>
        </w:rPr>
        <w:t>优先满足A、B档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企业用地需求，在符合城市、土地利用总体规划和产业规划的前提下，鼓励A</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企业新增工业用地扩大再生产，引导B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企业提高资源配置效率，加快转型升级；支持C</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企业进行土地“二次开发”，实施“零增地”技改；对D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企业原则上不再提供新增建设用地。</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县区可结合实际实行差别化城镇土地使用税减免政策。</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（三）实施差别化用能政策。</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鼓励A、B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企业参与电力直接交易试点，降低用电电价；D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企业原则上不享受各地出台支持用电的相关政策；实行有序用电时，D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企业列为首要限电对象。核定工业企业年度用能指标时，适度提高A、B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企业指标，相应降低C</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企业指标，D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企业原则上不予新增指标。</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县区可结合实际实行差别化用水、用电、用气价格政策。</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pPr>
      <w:r>
        <w:rPr>
          <w:rFonts w:hint="default" w:ascii="Times New Roman" w:hAnsi="Times New Roman" w:eastAsia="楷体_GB2312" w:cs="Times New Roman"/>
          <w:b w:val="0"/>
          <w:bCs w:val="0"/>
          <w:color w:val="auto"/>
          <w:spacing w:val="0"/>
          <w:w w:val="100"/>
          <w:sz w:val="32"/>
          <w:szCs w:val="32"/>
          <w:highlight w:val="none"/>
          <w:u w:val="none"/>
          <w:lang w:val="en-US" w:eastAsia="zh-CN"/>
        </w:rPr>
        <w:t>（四）实施差别化排污</w:t>
      </w: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政策</w:t>
      </w:r>
      <w:r>
        <w:rPr>
          <w:rFonts w:hint="default" w:ascii="Times New Roman" w:hAnsi="Times New Roman" w:eastAsia="楷体_GB2312" w:cs="Times New Roman"/>
          <w:b w:val="0"/>
          <w:bCs w:val="0"/>
          <w:color w:val="auto"/>
          <w:spacing w:val="0"/>
          <w:w w:val="100"/>
          <w:sz w:val="32"/>
          <w:szCs w:val="32"/>
          <w:highlight w:val="none"/>
          <w:u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限制安排C档企业新增排污权指标，原则上不安排D</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企业新增排污权指标。</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440" w:firstLineChars="200"/>
        <w:jc w:val="both"/>
        <w:textAlignment w:val="auto"/>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pPr>
      <w:r>
        <w:rPr>
          <w:rFonts w:hint="default" w:ascii="Times New Roman" w:hAnsi="Times New Roman" w:eastAsia="微软雅黑" w:cs="Times New Roman"/>
          <w:b w:val="0"/>
          <w:bCs w:val="0"/>
          <w:i w:val="0"/>
          <w:caps w:val="0"/>
          <w:color w:val="auto"/>
          <w:spacing w:val="0"/>
          <w:sz w:val="22"/>
          <w:szCs w:val="22"/>
          <w:u w:val="none"/>
          <w:shd w:val="clear" w:fill="FFFFFF"/>
        </w:rPr>
        <w:t>　</w:t>
      </w:r>
      <w:r>
        <w:rPr>
          <w:rFonts w:hint="default" w:ascii="Times New Roman" w:hAnsi="Times New Roman" w:eastAsia="楷体_GB2312" w:cs="Times New Roman"/>
          <w:b w:val="0"/>
          <w:bCs w:val="0"/>
          <w:color w:val="auto"/>
          <w:spacing w:val="0"/>
          <w:w w:val="100"/>
          <w:sz w:val="32"/>
          <w:szCs w:val="32"/>
          <w:highlight w:val="none"/>
          <w:u w:val="none"/>
          <w:lang w:val="en-US" w:eastAsia="zh-CN"/>
        </w:rPr>
        <w:t>（五）实施差别化融资政策。</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引导金融机构实施差别化信贷政策，在风险可控的前提下，对A、B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企业在信用评级、贷款准入、贷款授信、股改上市、债券融资、担保方式创新、还款方式创新和利率优惠等金融服务方面给予重点支持。鼓励金融机构针对A</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企业开发亩均贷、信用贷等创新信贷产品。鼓励政策性融资担保公司对A、B</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企业提供个性化融资担保服务，对A</w:t>
      </w:r>
      <w:r>
        <w:rPr>
          <w:rFonts w:hint="default" w:ascii="Times New Roman" w:hAnsi="Times New Roman" w:eastAsia="仿宋_GB2312" w:cs="Times New Roman"/>
          <w:b w:val="0"/>
          <w:bCs w:val="0"/>
          <w:color w:val="auto"/>
          <w:spacing w:val="0"/>
          <w:w w:val="100"/>
          <w:sz w:val="32"/>
          <w:szCs w:val="32"/>
          <w:highlight w:val="none"/>
          <w:u w:val="none"/>
          <w:lang w:val="en-US" w:eastAsia="zh-CN"/>
        </w:rPr>
        <w:t>档</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企业担保费率不超过1%。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三、强化工作保障机制</w:t>
      </w:r>
    </w:p>
    <w:p>
      <w:pPr>
        <w:keepNext w:val="0"/>
        <w:keepLines w:val="0"/>
        <w:pageBreakBefore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pPr>
      <w:r>
        <w:rPr>
          <w:rFonts w:hint="default" w:ascii="Times New Roman" w:hAnsi="Times New Roman" w:eastAsia="楷体_GB2312" w:cs="Times New Roman"/>
          <w:b w:val="0"/>
          <w:bCs w:val="0"/>
          <w:color w:val="auto"/>
          <w:spacing w:val="0"/>
          <w:w w:val="100"/>
          <w:sz w:val="32"/>
          <w:szCs w:val="32"/>
          <w:highlight w:val="none"/>
          <w:u w:val="none"/>
          <w:lang w:val="en-US" w:eastAsia="zh-CN"/>
        </w:rPr>
        <w:t>（一）加强组织实施。</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建立市亩均效益评价专项工作组，办公室设在市经信局（简称“市亩均办”），负责日常工作。市级有关部门要根据各自职责，研究制定深化亩均效益评价工作的市级差别化配套政策措施，加强协同配合和对各县区工作的指导，形成工作合力。各县区要严格落实主体责任，健全工作机制，细化配套政策，强化亩均效益评价工作与“标准地”改革的政策协同，推动改革举措落实落细。</w:t>
      </w:r>
    </w:p>
    <w:p>
      <w:pPr>
        <w:pStyle w:val="8"/>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（二）强化督导激励。</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将亩均效益评价工作推进情况纳入市政府目标管理绩效考核，市亩均办会同有关部门定期对亩均效益评价工作落实情况进行调度、通报。对A档企业正向激励，在兑现市级财政政策资金时金额上浮10%；A档企业纳入市重点产业企业名录库，支持企业引进高层次产业人才。</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将亩均效益评价结果作为低效用地处置的重要依据，各县区要制定具体办法，对</w:t>
      </w:r>
      <w:r>
        <w:rPr>
          <w:rFonts w:hint="default" w:ascii="Times New Roman" w:hAnsi="Times New Roman" w:eastAsia="仿宋_GB2312" w:cs="Times New Roman"/>
          <w:bCs/>
          <w:color w:val="auto"/>
          <w:sz w:val="32"/>
          <w:szCs w:val="32"/>
        </w:rPr>
        <w:t>亩均效益水平低的企业</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反向倒逼；</w:t>
      </w:r>
      <w:r>
        <w:rPr>
          <w:rFonts w:hint="default" w:ascii="Times New Roman" w:hAnsi="Times New Roman" w:eastAsia="仿宋_GB2312" w:cs="Times New Roman"/>
          <w:bCs/>
          <w:color w:val="auto"/>
          <w:sz w:val="32"/>
          <w:szCs w:val="32"/>
        </w:rPr>
        <w:t>对D</w:t>
      </w:r>
      <w:r>
        <w:rPr>
          <w:rFonts w:hint="default" w:ascii="Times New Roman" w:hAnsi="Times New Roman" w:eastAsia="仿宋_GB2312" w:cs="Times New Roman"/>
          <w:bCs/>
          <w:color w:val="auto"/>
          <w:sz w:val="32"/>
          <w:szCs w:val="32"/>
          <w:lang w:eastAsia="zh-CN"/>
        </w:rPr>
        <w:t>档</w:t>
      </w:r>
      <w:r>
        <w:rPr>
          <w:rFonts w:hint="default" w:ascii="Times New Roman" w:hAnsi="Times New Roman" w:eastAsia="仿宋_GB2312" w:cs="Times New Roman"/>
          <w:bCs/>
          <w:color w:val="auto"/>
          <w:sz w:val="32"/>
          <w:szCs w:val="32"/>
        </w:rPr>
        <w:t>企业，</w:t>
      </w:r>
      <w:r>
        <w:rPr>
          <w:rFonts w:hint="default" w:ascii="Times New Roman" w:hAnsi="Times New Roman" w:eastAsia="仿宋_GB2312" w:cs="Times New Roman"/>
          <w:bCs/>
          <w:color w:val="auto"/>
          <w:sz w:val="32"/>
          <w:szCs w:val="32"/>
          <w:lang w:eastAsia="zh-CN"/>
        </w:rPr>
        <w:t>要</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综合运用破产</w:t>
      </w:r>
      <w:r>
        <w:rPr>
          <w:rFonts w:hint="default" w:ascii="Times New Roman" w:hAnsi="Times New Roman" w:eastAsia="仿宋_GB2312" w:cs="Times New Roman"/>
          <w:bCs/>
          <w:color w:val="auto"/>
          <w:sz w:val="32"/>
          <w:szCs w:val="32"/>
          <w:lang w:val="en-US" w:eastAsia="zh-CN"/>
        </w:rPr>
        <w:t>清算、兼并重组、技改提升、僵尸企业盘活等方式，</w:t>
      </w:r>
      <w:r>
        <w:rPr>
          <w:rFonts w:hint="default" w:ascii="Times New Roman" w:hAnsi="Times New Roman" w:eastAsia="仿宋_GB2312" w:cs="Times New Roman"/>
          <w:bCs/>
          <w:color w:val="auto"/>
          <w:sz w:val="32"/>
          <w:szCs w:val="32"/>
        </w:rPr>
        <w:t>推进</w:t>
      </w:r>
      <w:r>
        <w:rPr>
          <w:rFonts w:hint="default" w:ascii="Times New Roman" w:hAnsi="Times New Roman" w:eastAsia="仿宋_GB2312" w:cs="Times New Roman"/>
          <w:bCs/>
          <w:color w:val="auto"/>
          <w:sz w:val="32"/>
          <w:szCs w:val="32"/>
          <w:lang w:eastAsia="zh-CN"/>
        </w:rPr>
        <w:t>低效用地</w:t>
      </w:r>
      <w:r>
        <w:rPr>
          <w:rFonts w:hint="default" w:ascii="Times New Roman" w:hAnsi="Times New Roman" w:eastAsia="仿宋_GB2312" w:cs="Times New Roman"/>
          <w:bCs/>
          <w:color w:val="auto"/>
          <w:sz w:val="32"/>
          <w:szCs w:val="32"/>
        </w:rPr>
        <w:t>全面整治提升</w:t>
      </w:r>
      <w:r>
        <w:rPr>
          <w:rFonts w:hint="default" w:ascii="Times New Roman" w:hAnsi="Times New Roman" w:eastAsia="仿宋_GB2312" w:cs="Times New Roman"/>
          <w:bCs/>
          <w:color w:val="auto"/>
          <w:sz w:val="32"/>
          <w:szCs w:val="32"/>
          <w:lang w:eastAsia="zh-CN"/>
        </w:rPr>
        <w:t>，连续两年获评</w:t>
      </w:r>
      <w:r>
        <w:rPr>
          <w:rFonts w:hint="default" w:ascii="Times New Roman" w:hAnsi="Times New Roman" w:eastAsia="仿宋_GB2312" w:cs="Times New Roman"/>
          <w:bCs/>
          <w:color w:val="auto"/>
          <w:sz w:val="32"/>
          <w:szCs w:val="32"/>
          <w:lang w:val="en-US" w:eastAsia="zh-CN"/>
        </w:rPr>
        <w:t>D档的企业，</w:t>
      </w:r>
      <w:r>
        <w:rPr>
          <w:rFonts w:hint="default" w:ascii="Times New Roman" w:hAnsi="Times New Roman" w:eastAsia="仿宋_GB2312" w:cs="Times New Roman"/>
          <w:bCs/>
          <w:color w:val="auto"/>
          <w:sz w:val="32"/>
          <w:szCs w:val="32"/>
          <w:lang w:eastAsia="zh-CN"/>
        </w:rPr>
        <w:t>县区可</w:t>
      </w:r>
      <w:r>
        <w:rPr>
          <w:rFonts w:hint="default" w:ascii="Times New Roman" w:hAnsi="Times New Roman" w:eastAsia="仿宋_GB2312" w:cs="Times New Roman"/>
          <w:bCs/>
          <w:color w:val="auto"/>
          <w:sz w:val="32"/>
          <w:szCs w:val="32"/>
        </w:rPr>
        <w:t>按照合同约定</w:t>
      </w:r>
      <w:r>
        <w:rPr>
          <w:rFonts w:hint="default" w:ascii="Times New Roman" w:hAnsi="Times New Roman" w:eastAsia="仿宋_GB2312" w:cs="Times New Roman"/>
          <w:bCs/>
          <w:color w:val="auto"/>
          <w:sz w:val="32"/>
          <w:szCs w:val="32"/>
          <w:lang w:eastAsia="zh-CN"/>
        </w:rPr>
        <w:t>或低效用地处置有关规定，</w:t>
      </w:r>
      <w:r>
        <w:rPr>
          <w:rFonts w:hint="default" w:ascii="Times New Roman" w:hAnsi="Times New Roman" w:eastAsia="仿宋_GB2312" w:cs="Times New Roman"/>
          <w:bCs/>
          <w:color w:val="auto"/>
          <w:sz w:val="32"/>
          <w:szCs w:val="32"/>
        </w:rPr>
        <w:t>与其解除土地出让合同</w:t>
      </w:r>
      <w:r>
        <w:rPr>
          <w:rFonts w:hint="default" w:ascii="Times New Roman" w:hAnsi="Times New Roman" w:eastAsia="仿宋_GB2312" w:cs="Times New Roman"/>
          <w:bCs/>
          <w:color w:val="auto"/>
          <w:sz w:val="32"/>
          <w:szCs w:val="32"/>
          <w:lang w:val="en-US" w:eastAsia="zh-CN"/>
        </w:rPr>
        <w:t>。</w:t>
      </w:r>
    </w:p>
    <w:p>
      <w:pPr>
        <w:pStyle w:val="8"/>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val="0"/>
          <w:color w:val="auto"/>
          <w:spacing w:val="0"/>
          <w:w w:val="100"/>
          <w:kern w:val="2"/>
          <w:sz w:val="32"/>
          <w:szCs w:val="32"/>
          <w:highlight w:val="none"/>
          <w:u w:val="none"/>
          <w:lang w:val="en-US" w:eastAsia="zh-CN" w:bidi="ar-SA"/>
        </w:rPr>
        <w:t>（三）加强宣传引导。</w:t>
      </w:r>
      <w:r>
        <w:rPr>
          <w:rFonts w:hint="default" w:ascii="Times New Roman" w:hAnsi="Times New Roman" w:eastAsia="仿宋_GB2312" w:cs="Times New Roman"/>
          <w:b w:val="0"/>
          <w:bCs w:val="0"/>
          <w:color w:val="auto"/>
          <w:sz w:val="32"/>
          <w:szCs w:val="32"/>
          <w:u w:val="none"/>
        </w:rPr>
        <w:t>充分利用</w:t>
      </w:r>
      <w:r>
        <w:rPr>
          <w:rFonts w:hint="default" w:ascii="Times New Roman" w:hAnsi="Times New Roman" w:eastAsia="仿宋_GB2312" w:cs="Times New Roman"/>
          <w:b w:val="0"/>
          <w:bCs w:val="0"/>
          <w:color w:val="auto"/>
          <w:sz w:val="32"/>
          <w:szCs w:val="32"/>
          <w:u w:val="none"/>
          <w:lang w:eastAsia="zh-CN"/>
        </w:rPr>
        <w:t>各类</w:t>
      </w:r>
      <w:r>
        <w:rPr>
          <w:rFonts w:hint="default" w:ascii="Times New Roman" w:hAnsi="Times New Roman" w:eastAsia="仿宋_GB2312" w:cs="Times New Roman"/>
          <w:b w:val="0"/>
          <w:bCs w:val="0"/>
          <w:color w:val="auto"/>
          <w:sz w:val="32"/>
          <w:szCs w:val="32"/>
          <w:u w:val="none"/>
        </w:rPr>
        <w:t>媒体做好宣传引导，</w:t>
      </w:r>
      <w:r>
        <w:rPr>
          <w:rFonts w:hint="default" w:ascii="Times New Roman" w:hAnsi="Times New Roman" w:eastAsia="仿宋_GB2312" w:cs="Times New Roman"/>
          <w:b w:val="0"/>
          <w:bCs w:val="0"/>
          <w:color w:val="auto"/>
          <w:sz w:val="32"/>
          <w:szCs w:val="32"/>
          <w:u w:val="none"/>
          <w:lang w:eastAsia="zh-CN"/>
        </w:rPr>
        <w:t>准确发布</w:t>
      </w:r>
      <w:r>
        <w:rPr>
          <w:rFonts w:hint="default" w:ascii="Times New Roman" w:hAnsi="Times New Roman" w:eastAsia="仿宋_GB2312" w:cs="Times New Roman"/>
          <w:b w:val="0"/>
          <w:bCs w:val="0"/>
          <w:color w:val="auto"/>
          <w:sz w:val="32"/>
          <w:szCs w:val="32"/>
          <w:u w:val="none"/>
        </w:rPr>
        <w:t>评价工作信息和政策法规，加强正面宣传，引导企业转变发展理念，主动参与、积极配合改革工作，及时总结推广先进经验和典型做法，为改革工作营造良好的舆论氛围和社会环境。</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本文件自印发之日起实施，由市亩均办负责解释和修订。</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附件：1.六安</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市亩均效益评价专项工作组成员名单</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1600" w:firstLineChars="500"/>
        <w:jc w:val="both"/>
        <w:textAlignment w:val="auto"/>
        <w:outlineLvl w:val="9"/>
        <w:rPr>
          <w:rFonts w:hint="default" w:ascii="Times New Roman" w:hAnsi="Times New Roman" w:eastAsia="仿宋_GB2312" w:cs="Times New Roman"/>
          <w:b w:val="0"/>
          <w:bCs w:val="0"/>
          <w:color w:val="auto"/>
          <w:spacing w:val="0"/>
          <w:w w:val="100"/>
          <w:sz w:val="32"/>
          <w:szCs w:val="32"/>
          <w:highlight w:val="none"/>
          <w:u w:val="none"/>
          <w:lang w:val="en-US" w:eastAsia="zh-CN"/>
        </w:rPr>
      </w:pPr>
      <w:r>
        <w:rPr>
          <w:rFonts w:hint="default" w:ascii="Times New Roman" w:hAnsi="Times New Roman" w:eastAsia="仿宋_GB2312" w:cs="Times New Roman"/>
          <w:b w:val="0"/>
          <w:bCs w:val="0"/>
          <w:color w:val="auto"/>
          <w:spacing w:val="0"/>
          <w:w w:val="100"/>
          <w:sz w:val="32"/>
          <w:szCs w:val="32"/>
          <w:highlight w:val="none"/>
          <w:u w:val="none"/>
          <w:lang w:val="en-US" w:eastAsia="zh-CN"/>
        </w:rPr>
        <w:t>2.重点任务分解表</w:t>
      </w:r>
    </w:p>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firstLine="1600" w:firstLineChars="500"/>
        <w:jc w:val="both"/>
        <w:textAlignment w:val="auto"/>
        <w:outlineLvl w:val="9"/>
        <w:rPr>
          <w:rFonts w:hint="default" w:ascii="Times New Roman" w:hAnsi="Times New Roman" w:eastAsia="仿宋_GB2312" w:cs="Times New Roman"/>
          <w:b w:val="0"/>
          <w:bCs w:val="0"/>
          <w:color w:val="auto"/>
          <w:spacing w:val="0"/>
          <w:w w:val="10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w w:val="100"/>
          <w:kern w:val="2"/>
          <w:sz w:val="32"/>
          <w:szCs w:val="32"/>
          <w:highlight w:val="none"/>
          <w:u w:val="none"/>
          <w:lang w:val="en-US" w:eastAsia="zh-CN" w:bidi="ar-SA"/>
        </w:rPr>
        <w:t>3.评价范围及指标解释</w:t>
      </w:r>
    </w:p>
    <w:p>
      <w:pPr>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pStyle w:val="2"/>
        <w:rPr>
          <w:rFonts w:hint="default" w:ascii="Times New Roman" w:hAnsi="Times New Roman" w:eastAsia="黑体" w:cs="Times New Roman"/>
          <w:b w:val="0"/>
          <w:bCs w:val="0"/>
          <w:color w:val="auto"/>
          <w:sz w:val="32"/>
          <w:szCs w:val="32"/>
          <w:u w:val="none"/>
          <w:lang w:eastAsia="zh-CN"/>
        </w:rPr>
      </w:pPr>
    </w:p>
    <w:p>
      <w:pPr>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eastAsia="zh-CN"/>
        </w:rPr>
        <w:t>附件</w:t>
      </w:r>
      <w:r>
        <w:rPr>
          <w:rFonts w:hint="default" w:ascii="Times New Roman" w:hAnsi="Times New Roman" w:eastAsia="黑体" w:cs="Times New Roman"/>
          <w:b w:val="0"/>
          <w:bCs w:val="0"/>
          <w:color w:val="auto"/>
          <w:sz w:val="32"/>
          <w:szCs w:val="32"/>
          <w:u w:val="none"/>
          <w:lang w:val="en-US" w:eastAsia="zh-CN"/>
        </w:rPr>
        <w:t>1</w:t>
      </w:r>
    </w:p>
    <w:p>
      <w:pPr>
        <w:pStyle w:val="2"/>
        <w:rPr>
          <w:rFonts w:hint="default" w:ascii="Times New Roman" w:hAnsi="Times New Roman" w:cs="Times New Roman"/>
          <w:color w:val="auto"/>
          <w:lang w:eastAsia="zh-CN"/>
        </w:rPr>
      </w:pPr>
    </w:p>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9"/>
        <w:rPr>
          <w:rFonts w:hint="default" w:ascii="Times New Roman" w:hAnsi="Times New Roman" w:eastAsia="方正小标宋简体" w:cs="Times New Roman"/>
          <w:b w:val="0"/>
          <w:bCs w:val="0"/>
          <w:color w:val="auto"/>
          <w:spacing w:val="0"/>
          <w:sz w:val="44"/>
          <w:szCs w:val="44"/>
          <w:u w:val="none"/>
          <w:shd w:val="clear" w:color="auto" w:fill="FFFFFF"/>
          <w:lang w:val="en-US" w:eastAsia="zh-CN"/>
        </w:rPr>
      </w:pPr>
      <w:r>
        <w:rPr>
          <w:rFonts w:hint="default" w:ascii="Times New Roman" w:hAnsi="Times New Roman" w:eastAsia="方正小标宋简体" w:cs="Times New Roman"/>
          <w:b w:val="0"/>
          <w:bCs w:val="0"/>
          <w:color w:val="auto"/>
          <w:spacing w:val="0"/>
          <w:sz w:val="44"/>
          <w:szCs w:val="44"/>
          <w:u w:val="none"/>
          <w:shd w:val="clear" w:color="auto" w:fill="FFFFFF"/>
          <w:lang w:val="en-US" w:eastAsia="zh-CN"/>
        </w:rPr>
        <w:t>六安市亩均效益评价专项工作组成员名单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组  长：束学龙  副市长</w:t>
      </w:r>
      <w:r>
        <w:rPr>
          <w:rFonts w:hint="default" w:ascii="Times New Roman" w:hAnsi="Times New Roman" w:eastAsia="仿宋_GB2312" w:cs="Times New Roman"/>
          <w:b w:val="0"/>
          <w:bCs w:val="0"/>
          <w:color w:val="auto"/>
          <w:sz w:val="32"/>
          <w:szCs w:val="32"/>
          <w:u w:val="none"/>
          <w:lang w:eastAsia="zh-CN"/>
        </w:rPr>
        <w:t>、一级巡视员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rPr>
        <w:t>副组长：</w:t>
      </w:r>
      <w:r>
        <w:rPr>
          <w:rFonts w:hint="default" w:ascii="Times New Roman" w:hAnsi="Times New Roman" w:eastAsia="仿宋_GB2312" w:cs="Times New Roman"/>
          <w:b w:val="0"/>
          <w:bCs w:val="0"/>
          <w:color w:val="auto"/>
          <w:sz w:val="32"/>
          <w:szCs w:val="32"/>
          <w:u w:val="none"/>
          <w:lang w:val="en-US" w:eastAsia="zh-CN"/>
        </w:rPr>
        <w:t>李修俊  市政府副秘书长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sz w:val="32"/>
          <w:szCs w:val="32"/>
          <w:u w:val="none"/>
        </w:rPr>
        <w:t>成  员</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val="en-US" w:eastAsia="zh-CN" w:bidi="ar-SA"/>
        </w:rPr>
        <w:t>张  琨  市委督查办主任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eastAsia="zh-CN"/>
        </w:rPr>
        <w:t>韩</w:t>
      </w:r>
      <w:r>
        <w:rPr>
          <w:rFonts w:hint="default"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eastAsia="zh-CN"/>
        </w:rPr>
        <w:t>旭</w:t>
      </w:r>
      <w:r>
        <w:rPr>
          <w:rFonts w:hint="default" w:ascii="Times New Roman" w:hAnsi="Times New Roman" w:eastAsia="仿宋_GB2312" w:cs="Times New Roman"/>
          <w:b w:val="0"/>
          <w:bCs w:val="0"/>
          <w:color w:val="auto"/>
          <w:sz w:val="32"/>
          <w:szCs w:val="32"/>
          <w:u w:val="none"/>
          <w:lang w:val="en-US" w:eastAsia="zh-CN"/>
        </w:rPr>
        <w:t xml:space="preserve">  市委宣传部常务副部长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戴立文  市发改委主任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鲍来花</w:t>
      </w:r>
      <w:r>
        <w:rPr>
          <w:rFonts w:hint="default" w:ascii="Times New Roman" w:hAnsi="Times New Roman" w:eastAsia="仿宋_GB2312" w:cs="Times New Roman"/>
          <w:b w:val="0"/>
          <w:bCs w:val="0"/>
          <w:color w:val="auto"/>
          <w:sz w:val="32"/>
          <w:szCs w:val="32"/>
          <w:u w:val="none"/>
        </w:rPr>
        <w:t xml:space="preserve">  市科技局局长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王友年</w:t>
      </w:r>
      <w:r>
        <w:rPr>
          <w:rFonts w:hint="default" w:ascii="Times New Roman" w:hAnsi="Times New Roman" w:eastAsia="仿宋_GB2312" w:cs="Times New Roman"/>
          <w:b w:val="0"/>
          <w:bCs w:val="0"/>
          <w:color w:val="auto"/>
          <w:sz w:val="32"/>
          <w:szCs w:val="32"/>
          <w:u w:val="none"/>
        </w:rPr>
        <w:t xml:space="preserve">  市经信</w:t>
      </w:r>
      <w:r>
        <w:rPr>
          <w:rFonts w:hint="default" w:ascii="Times New Roman" w:hAnsi="Times New Roman" w:eastAsia="仿宋_GB2312" w:cs="Times New Roman"/>
          <w:b w:val="0"/>
          <w:bCs w:val="0"/>
          <w:color w:val="auto"/>
          <w:sz w:val="32"/>
          <w:szCs w:val="32"/>
          <w:u w:val="none"/>
          <w:lang w:eastAsia="zh-CN"/>
        </w:rPr>
        <w:t>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汪</w:t>
      </w:r>
      <w:r>
        <w:rPr>
          <w:rFonts w:hint="default"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eastAsia="zh-CN"/>
        </w:rPr>
        <w:t>斌  市财政局局长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王永峰  市委组织部副部长、市人社局局长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袁绪汉  市自然资源局副局长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冯先民  市生态环境局局长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汪宏军  市住建局局长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黄战野  市水利局局长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时  军  市商务局局长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周自伦  市应急局局长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方厚奇  市市场监管局局长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余子文  市统计局局长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汪英来  市地方金融监管局局长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王光军</w:t>
      </w:r>
      <w:r>
        <w:rPr>
          <w:rFonts w:hint="default" w:ascii="Times New Roman" w:hAnsi="Times New Roman" w:eastAsia="仿宋_GB2312" w:cs="Times New Roman"/>
          <w:b w:val="0"/>
          <w:bCs w:val="0"/>
          <w:color w:val="auto"/>
          <w:sz w:val="32"/>
          <w:szCs w:val="32"/>
          <w:u w:val="none"/>
          <w:lang w:val="en-US" w:eastAsia="zh-CN"/>
        </w:rPr>
        <w:tab/>
      </w:r>
      <w:r>
        <w:rPr>
          <w:rFonts w:hint="default" w:ascii="Times New Roman" w:hAnsi="Times New Roman" w:eastAsia="仿宋_GB2312" w:cs="Times New Roman"/>
          <w:b w:val="0"/>
          <w:bCs w:val="0"/>
          <w:color w:val="auto"/>
          <w:sz w:val="32"/>
          <w:szCs w:val="32"/>
          <w:u w:val="none"/>
          <w:lang w:val="en-US" w:eastAsia="zh-CN"/>
        </w:rPr>
        <w:t xml:space="preserve">  市数管局局长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沙文胜  市税务局局长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杨东晓  人行六安市中心支行行长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宋  波  六安银保监分局副局长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徐  立  市融资担保公司总经理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5" w:firstLineChars="611"/>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唐龙江  国网六安供电公司总经理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专项工作组</w:t>
      </w:r>
      <w:r>
        <w:rPr>
          <w:rFonts w:hint="default" w:ascii="Times New Roman" w:hAnsi="Times New Roman" w:eastAsia="仿宋_GB2312" w:cs="Times New Roman"/>
          <w:b w:val="0"/>
          <w:bCs w:val="0"/>
          <w:color w:val="auto"/>
          <w:sz w:val="32"/>
          <w:szCs w:val="32"/>
          <w:u w:val="none"/>
        </w:rPr>
        <w:t>办公室设在</w:t>
      </w:r>
      <w:r>
        <w:rPr>
          <w:rFonts w:hint="default" w:ascii="Times New Roman" w:hAnsi="Times New Roman" w:eastAsia="仿宋_GB2312" w:cs="Times New Roman"/>
          <w:b w:val="0"/>
          <w:bCs w:val="0"/>
          <w:color w:val="auto"/>
          <w:sz w:val="32"/>
          <w:szCs w:val="32"/>
          <w:u w:val="none"/>
          <w:lang w:val="en-US" w:eastAsia="zh-CN"/>
        </w:rPr>
        <w:t>市经信局</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王友年</w:t>
      </w:r>
      <w:r>
        <w:rPr>
          <w:rFonts w:hint="default" w:ascii="Times New Roman" w:hAnsi="Times New Roman" w:eastAsia="仿宋_GB2312" w:cs="Times New Roman"/>
          <w:b w:val="0"/>
          <w:bCs w:val="0"/>
          <w:color w:val="auto"/>
          <w:sz w:val="32"/>
          <w:szCs w:val="32"/>
          <w:u w:val="none"/>
        </w:rPr>
        <w:t>同志兼任办公室主任。</w:t>
      </w:r>
    </w:p>
    <w:p>
      <w:pPr>
        <w:pStyle w:val="8"/>
        <w:tabs>
          <w:tab w:val="left" w:pos="840"/>
        </w:tabs>
        <w:rPr>
          <w:rFonts w:hint="default" w:ascii="Times New Roman" w:hAnsi="Times New Roman" w:eastAsia="仿宋_GB2312" w:cs="Times New Roman"/>
          <w:b w:val="0"/>
          <w:bCs w:val="0"/>
          <w:color w:val="auto"/>
          <w:sz w:val="32"/>
          <w:szCs w:val="32"/>
          <w:u w:val="none"/>
        </w:rPr>
        <w:sectPr>
          <w:footerReference r:id="rId3" w:type="default"/>
          <w:pgSz w:w="11906" w:h="16838"/>
          <w:pgMar w:top="1701" w:right="1701" w:bottom="1701" w:left="1701" w:header="851" w:footer="992" w:gutter="0"/>
          <w:pgNumType w:fmt="numberInDash"/>
          <w:cols w:space="0" w:num="1"/>
          <w:rtlGutter w:val="0"/>
          <w:docGrid w:type="lines" w:linePitch="312" w:charSpace="0"/>
        </w:sectPr>
      </w:pPr>
    </w:p>
    <w:p>
      <w:pPr>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附件</w:t>
      </w:r>
      <w:r>
        <w:rPr>
          <w:rFonts w:hint="default" w:ascii="Times New Roman" w:hAnsi="Times New Roman" w:eastAsia="黑体" w:cs="Times New Roman"/>
          <w:b w:val="0"/>
          <w:bCs w:val="0"/>
          <w:color w:val="auto"/>
          <w:sz w:val="32"/>
          <w:szCs w:val="32"/>
          <w:u w:val="none"/>
          <w:lang w:val="en-US" w:eastAsia="zh-CN"/>
        </w:rPr>
        <w:t>2</w:t>
      </w:r>
    </w:p>
    <w:p>
      <w:pPr>
        <w:jc w:val="center"/>
        <w:rPr>
          <w:rFonts w:hint="default" w:ascii="Times New Roman" w:hAnsi="Times New Roman" w:eastAsia="黑体" w:cs="Times New Roman"/>
          <w:b w:val="0"/>
          <w:bCs w:val="0"/>
          <w:color w:val="auto"/>
          <w:sz w:val="44"/>
          <w:szCs w:val="44"/>
          <w:u w:val="none"/>
          <w:lang w:val="en-US" w:eastAsia="zh-CN"/>
        </w:rPr>
      </w:pPr>
      <w:r>
        <w:rPr>
          <w:rFonts w:hint="default" w:ascii="Times New Roman" w:hAnsi="Times New Roman" w:eastAsia="黑体" w:cs="Times New Roman"/>
          <w:b w:val="0"/>
          <w:bCs w:val="0"/>
          <w:color w:val="auto"/>
          <w:sz w:val="44"/>
          <w:szCs w:val="44"/>
          <w:u w:val="none"/>
          <w:lang w:val="en-US" w:eastAsia="zh-CN"/>
        </w:rPr>
        <w:t>重点任务分解表</w:t>
      </w:r>
    </w:p>
    <w:tbl>
      <w:tblPr>
        <w:tblStyle w:val="22"/>
        <w:tblW w:w="13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725"/>
        <w:gridCol w:w="238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黑体" w:cs="Times New Roman"/>
                <w:b w:val="0"/>
                <w:bCs w:val="0"/>
                <w:color w:val="auto"/>
                <w:sz w:val="28"/>
                <w:szCs w:val="28"/>
                <w:u w:val="none"/>
                <w:lang w:eastAsia="zh-CN"/>
              </w:rPr>
              <w:t>序号</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黑体" w:cs="Times New Roman"/>
                <w:b w:val="0"/>
                <w:bCs w:val="0"/>
                <w:color w:val="auto"/>
                <w:sz w:val="28"/>
                <w:szCs w:val="28"/>
                <w:u w:val="none"/>
                <w:lang w:eastAsia="zh-CN"/>
              </w:rPr>
              <w:t>任务分工</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8"/>
                <w:szCs w:val="28"/>
                <w:u w:val="none"/>
                <w:lang w:val="en-US" w:eastAsia="zh-CN"/>
              </w:rPr>
            </w:pPr>
            <w:r>
              <w:rPr>
                <w:rFonts w:hint="default" w:ascii="Times New Roman" w:hAnsi="Times New Roman" w:eastAsia="黑体" w:cs="Times New Roman"/>
                <w:b w:val="0"/>
                <w:bCs w:val="0"/>
                <w:color w:val="auto"/>
                <w:sz w:val="28"/>
                <w:szCs w:val="28"/>
                <w:u w:val="none"/>
                <w:lang w:eastAsia="zh-CN"/>
              </w:rPr>
              <w:t>责任单位</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黑体" w:cs="Times New Roman"/>
                <w:b w:val="0"/>
                <w:bCs w:val="0"/>
                <w:color w:val="auto"/>
                <w:sz w:val="28"/>
                <w:szCs w:val="28"/>
                <w:u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1</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负责市亩均办日常工作，统筹协调各部门、各县区开展亩均效益评价工作。</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市经信局</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常态化推进。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2</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负责提供规模以上工业企业名录及各企业的工业总产值、年平均职工人数、综合能源消费量、技术改造投资等数据。</w:t>
            </w:r>
          </w:p>
        </w:tc>
        <w:tc>
          <w:tcPr>
            <w:tcW w:w="238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市统计局</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每年2月底前完成。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3</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负责提供规模以上工业企业总税收、总营业收入等数据。</w:t>
            </w:r>
          </w:p>
        </w:tc>
        <w:tc>
          <w:tcPr>
            <w:tcW w:w="238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市税务局</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bidi="ar"/>
              </w:rPr>
              <w:t>每年2月底前完成。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4</w:t>
            </w:r>
          </w:p>
        </w:tc>
        <w:tc>
          <w:tcPr>
            <w:tcW w:w="772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牵头指导各县区提供每个规模以上工业企业实际占用（含租赁）土地面积，并对数据进行审核确认后，提供给市亩均办。</w:t>
            </w:r>
          </w:p>
        </w:tc>
        <w:tc>
          <w:tcPr>
            <w:tcW w:w="238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市自然资源局</w:t>
            </w:r>
          </w:p>
        </w:tc>
        <w:tc>
          <w:tcPr>
            <w:tcW w:w="247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每年2月底前完成。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5</w:t>
            </w:r>
          </w:p>
        </w:tc>
        <w:tc>
          <w:tcPr>
            <w:tcW w:w="772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统筹全市财政资金政策，在市级财政政策资金中，对评价结果为A档的企业按审定金额上浮10%给予兑现；督促县区落实差别化财政资金政策。</w:t>
            </w:r>
          </w:p>
        </w:tc>
        <w:tc>
          <w:tcPr>
            <w:tcW w:w="238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市财政局</w:t>
            </w:r>
          </w:p>
        </w:tc>
        <w:tc>
          <w:tcPr>
            <w:tcW w:w="247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常态化推进。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8"/>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6</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提供评价年度发生较大及以上环保责任事故的企业名单。</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市生态环境局</w:t>
            </w:r>
          </w:p>
        </w:tc>
        <w:tc>
          <w:tcPr>
            <w:tcW w:w="2475" w:type="dxa"/>
            <w:vAlign w:val="center"/>
          </w:tcPr>
          <w:p>
            <w:pPr>
              <w:pStyle w:val="8"/>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eastAsia="宋体" w:cs="Times New Roman"/>
                <w:b w:val="0"/>
                <w:bCs w:val="0"/>
                <w:color w:val="auto"/>
                <w:kern w:val="0"/>
                <w:sz w:val="24"/>
                <w:szCs w:val="24"/>
                <w:u w:val="none"/>
                <w:lang w:val="en-US" w:eastAsia="zh-CN" w:bidi="ar"/>
              </w:rPr>
              <w:t>每年2月底前完成。</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7</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提供评价年度发生较大及以上安全生产事故的企业名单。</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市应急管理局</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每年2月底前完成。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黑体" w:cs="Times New Roman"/>
                <w:b w:val="0"/>
                <w:bCs w:val="0"/>
                <w:color w:val="auto"/>
                <w:sz w:val="28"/>
                <w:szCs w:val="28"/>
                <w:u w:val="none"/>
                <w:lang w:eastAsia="zh-CN"/>
              </w:rPr>
              <w:t>序号</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黑体" w:cs="Times New Roman"/>
                <w:b w:val="0"/>
                <w:bCs w:val="0"/>
                <w:color w:val="auto"/>
                <w:sz w:val="28"/>
                <w:szCs w:val="28"/>
                <w:u w:val="none"/>
                <w:lang w:eastAsia="zh-CN"/>
              </w:rPr>
              <w:t>任务分工</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28"/>
                <w:szCs w:val="28"/>
                <w:u w:val="none"/>
                <w:lang w:val="en-US" w:eastAsia="zh-CN"/>
              </w:rPr>
            </w:pPr>
            <w:r>
              <w:rPr>
                <w:rFonts w:hint="default" w:ascii="Times New Roman" w:hAnsi="Times New Roman" w:eastAsia="黑体" w:cs="Times New Roman"/>
                <w:b w:val="0"/>
                <w:bCs w:val="0"/>
                <w:color w:val="auto"/>
                <w:sz w:val="28"/>
                <w:szCs w:val="28"/>
                <w:u w:val="none"/>
                <w:lang w:eastAsia="zh-CN"/>
              </w:rPr>
              <w:t>责任单位</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黑体" w:cs="Times New Roman"/>
                <w:b w:val="0"/>
                <w:bCs w:val="0"/>
                <w:color w:val="auto"/>
                <w:sz w:val="28"/>
                <w:szCs w:val="28"/>
                <w:u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8</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将亩均效益评价工作推进情况纳入市政府目标管理绩效考核，定期对亩均效益评价工作落实情况进行调度、通报。</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市委督查办、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lang w:val="en-US" w:eastAsia="zh-CN"/>
              </w:rPr>
              <w:t>市亩均办</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黑体" w:cs="Times New Roman"/>
                <w:b w:val="0"/>
                <w:bCs w:val="0"/>
                <w:color w:val="auto"/>
                <w:sz w:val="28"/>
                <w:szCs w:val="28"/>
                <w:u w:val="none"/>
                <w:lang w:val="en-US" w:eastAsia="zh-CN"/>
              </w:rPr>
            </w:pPr>
            <w:r>
              <w:rPr>
                <w:rFonts w:hint="default" w:ascii="Times New Roman" w:hAnsi="Times New Roman" w:cs="Times New Roman"/>
                <w:b w:val="0"/>
                <w:bCs w:val="0"/>
                <w:color w:val="auto"/>
                <w:u w:val="none"/>
                <w:vertAlign w:val="baseline"/>
                <w:lang w:val="en-US" w:eastAsia="zh-CN"/>
              </w:rPr>
              <w:t>常态化推进。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9</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cs="Times New Roman"/>
                <w:b w:val="0"/>
                <w:bCs w:val="0"/>
                <w:color w:val="auto"/>
                <w:u w:val="none"/>
                <w:lang w:val="en-US" w:eastAsia="zh-CN"/>
              </w:rPr>
              <w:t>对接江淮大数据中心平台中的省亩均效益评价数据库，推进数据共享。</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市数管局</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常态化推进。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10</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研究制定深化亩均效益评价工作的市级差别化配套政策措施。</w:t>
            </w:r>
          </w:p>
        </w:tc>
        <w:tc>
          <w:tcPr>
            <w:tcW w:w="23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市亩均效益评价专项工作组成员单位</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2022年底前</w:t>
            </w:r>
            <w:r>
              <w:rPr>
                <w:rFonts w:hint="default" w:ascii="Times New Roman" w:hAnsi="Times New Roman" w:eastAsia="宋体" w:cs="Times New Roman"/>
                <w:b w:val="0"/>
                <w:bCs w:val="0"/>
                <w:color w:val="auto"/>
                <w:kern w:val="0"/>
                <w:sz w:val="24"/>
                <w:szCs w:val="24"/>
                <w:u w:val="none"/>
                <w:lang w:val="en-US" w:eastAsia="zh-CN" w:bidi="ar"/>
              </w:rPr>
              <w:t>完成</w:t>
            </w:r>
            <w:r>
              <w:rPr>
                <w:rFonts w:hint="default" w:ascii="Times New Roman" w:hAnsi="Times New Roman" w:cs="Times New Roman"/>
                <w:b w:val="0"/>
                <w:bCs w:val="0"/>
                <w:color w:val="auto"/>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Merge w:val="restart"/>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11</w:t>
            </w: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highlight w:val="none"/>
                <w:u w:val="none"/>
                <w:lang w:val="en-US" w:eastAsia="zh-CN"/>
              </w:rPr>
              <w:t>对照市级标准成立专项工作组，健全工作机制，制定资源要素差别化政策。</w:t>
            </w:r>
          </w:p>
        </w:tc>
        <w:tc>
          <w:tcPr>
            <w:tcW w:w="2385" w:type="dxa"/>
            <w:vMerge w:val="restart"/>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eastAsia="宋体" w:cs="Times New Roman"/>
                <w:b w:val="0"/>
                <w:bCs w:val="0"/>
                <w:color w:val="auto"/>
                <w:kern w:val="0"/>
                <w:sz w:val="24"/>
                <w:szCs w:val="24"/>
                <w:u w:val="none"/>
                <w:lang w:val="en-US" w:eastAsia="zh-CN" w:bidi="ar"/>
              </w:rPr>
              <w:t>各县区政府（管委）</w:t>
            </w: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val="0"/>
                <w:bCs w:val="0"/>
                <w:color w:val="auto"/>
                <w:u w:val="none"/>
                <w:vertAlign w:val="baseline"/>
                <w:lang w:val="en-US" w:eastAsia="zh-CN"/>
              </w:rPr>
            </w:pPr>
            <w:r>
              <w:rPr>
                <w:rFonts w:hint="default" w:ascii="Times New Roman" w:hAnsi="Times New Roman" w:cs="Times New Roman"/>
                <w:b w:val="0"/>
                <w:bCs w:val="0"/>
                <w:color w:val="auto"/>
                <w:u w:val="none"/>
                <w:vertAlign w:val="baseline"/>
                <w:lang w:val="en-US" w:eastAsia="zh-CN"/>
              </w:rPr>
              <w:t>2022年6月底前</w:t>
            </w:r>
            <w:r>
              <w:rPr>
                <w:rFonts w:hint="default" w:ascii="Times New Roman" w:hAnsi="Times New Roman" w:eastAsia="宋体" w:cs="Times New Roman"/>
                <w:b w:val="0"/>
                <w:bCs w:val="0"/>
                <w:color w:val="auto"/>
                <w:kern w:val="0"/>
                <w:sz w:val="24"/>
                <w:szCs w:val="24"/>
                <w:u w:val="none"/>
                <w:lang w:val="en-US" w:eastAsia="zh-CN" w:bidi="ar"/>
              </w:rPr>
              <w:t>完成</w:t>
            </w:r>
            <w:r>
              <w:rPr>
                <w:rFonts w:hint="default" w:ascii="Times New Roman" w:hAnsi="Times New Roman" w:cs="Times New Roman"/>
                <w:b w:val="0"/>
                <w:bCs w:val="0"/>
                <w:color w:val="auto"/>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91" w:type="dxa"/>
            <w:vMerge w:val="continue"/>
            <w:tcBorders/>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根据自身发展实际制定占地5亩以上规模以下工业企业亩均效益评价方案，并开展评价，鼓励有条件的县区先行先试、扩大评价范围。</w:t>
            </w:r>
          </w:p>
        </w:tc>
        <w:tc>
          <w:tcPr>
            <w:tcW w:w="2385" w:type="dxa"/>
            <w:vMerge w:val="continue"/>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2024年前完成。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991" w:type="dxa"/>
            <w:vMerge w:val="continue"/>
            <w:tcBorders/>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p>
        </w:tc>
        <w:tc>
          <w:tcPr>
            <w:tcW w:w="772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制定具体办法，对亩均效益水平低的企业反向倒逼；对D档企业，要综合运用破产清算、兼并重组、技改提升、僵尸企业盘活等方式，推进低效用地全面整治提升，连续两年获评D档的企业，县区可按照合同约定或低效用地处置有关规定，与其解除土地出让合同。</w:t>
            </w:r>
          </w:p>
        </w:tc>
        <w:tc>
          <w:tcPr>
            <w:tcW w:w="2385" w:type="dxa"/>
            <w:vMerge w:val="continue"/>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p>
        </w:tc>
        <w:tc>
          <w:tcPr>
            <w:tcW w:w="247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cs="Times New Roman"/>
                <w:b w:val="0"/>
                <w:bCs w:val="0"/>
                <w:color w:val="auto"/>
                <w:u w:val="none"/>
                <w:vertAlign w:val="baseline"/>
                <w:lang w:val="en-US" w:eastAsia="zh-CN"/>
              </w:rPr>
              <w:t>2022年6月底前制定具体办法，常态化推进。</w:t>
            </w:r>
          </w:p>
        </w:tc>
      </w:tr>
    </w:tbl>
    <w:p>
      <w:pPr>
        <w:rPr>
          <w:rFonts w:hint="default" w:ascii="Times New Roman" w:hAnsi="Times New Roman" w:cs="Times New Roman"/>
          <w:b w:val="0"/>
          <w:bCs w:val="0"/>
          <w:color w:val="auto"/>
          <w:u w:val="none"/>
          <w:lang w:val="en-US" w:eastAsia="zh-CN"/>
        </w:rPr>
      </w:pPr>
    </w:p>
    <w:p>
      <w:pPr>
        <w:rPr>
          <w:rFonts w:hint="default" w:ascii="Times New Roman" w:hAnsi="Times New Roman" w:cs="Times New Roman"/>
          <w:b w:val="0"/>
          <w:bCs w:val="0"/>
          <w:color w:val="auto"/>
          <w:u w:val="none"/>
          <w:lang w:val="en-US" w:eastAsia="zh-CN"/>
        </w:rPr>
      </w:pPr>
    </w:p>
    <w:p>
      <w:pPr>
        <w:pStyle w:val="8"/>
        <w:rPr>
          <w:rFonts w:hint="default" w:ascii="Times New Roman" w:hAnsi="Times New Roman" w:eastAsia="仿宋_GB2312" w:cs="Times New Roman"/>
          <w:b w:val="0"/>
          <w:bCs w:val="0"/>
          <w:color w:val="auto"/>
          <w:sz w:val="32"/>
          <w:szCs w:val="32"/>
          <w:u w:val="none"/>
          <w:lang w:eastAsia="zh-CN"/>
        </w:rPr>
        <w:sectPr>
          <w:pgSz w:w="16838" w:h="11906" w:orient="landscape"/>
          <w:pgMar w:top="1701" w:right="1701" w:bottom="1701" w:left="1701" w:header="851" w:footer="992" w:gutter="0"/>
          <w:pgNumType w:fmt="numberInDash"/>
          <w:cols w:space="0" w:num="1"/>
          <w:rtlGutter w:val="0"/>
          <w:docGrid w:type="lines" w:linePitch="314" w:charSpace="0"/>
        </w:sectPr>
      </w:pPr>
    </w:p>
    <w:p>
      <w:pPr>
        <w:pStyle w:val="8"/>
        <w:ind w:left="0" w:leftChars="0" w:firstLine="0" w:firstLineChars="0"/>
        <w:rPr>
          <w:rFonts w:hint="default" w:ascii="Times New Roman" w:hAnsi="Times New Roman" w:cs="Times New Roman"/>
          <w:b w:val="0"/>
          <w:bCs w:val="0"/>
          <w:color w:val="auto"/>
          <w:u w:val="none"/>
          <w:lang w:val="en-US" w:eastAsia="zh-CN"/>
        </w:rPr>
      </w:pPr>
      <w:r>
        <w:rPr>
          <w:rFonts w:hint="default" w:ascii="Times New Roman" w:hAnsi="Times New Roman" w:eastAsia="黑体" w:cs="Times New Roman"/>
          <w:b w:val="0"/>
          <w:bCs w:val="0"/>
          <w:color w:val="auto"/>
          <w:sz w:val="32"/>
          <w:szCs w:val="32"/>
          <w:u w:val="none"/>
          <w:lang w:eastAsia="zh-CN"/>
        </w:rPr>
        <w:t>附件</w:t>
      </w:r>
      <w:r>
        <w:rPr>
          <w:rFonts w:hint="default" w:ascii="Times New Roman" w:hAnsi="Times New Roman" w:eastAsia="黑体" w:cs="Times New Roman"/>
          <w:b w:val="0"/>
          <w:bCs w:val="0"/>
          <w:color w:val="auto"/>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u w:val="none"/>
          <w:lang w:val="en-US" w:eastAsia="zh-CN"/>
        </w:rPr>
      </w:pPr>
      <w:r>
        <w:rPr>
          <w:rFonts w:hint="default" w:ascii="Times New Roman" w:hAnsi="Times New Roman" w:eastAsia="方正小标宋简体" w:cs="Times New Roman"/>
          <w:b w:val="0"/>
          <w:bCs w:val="0"/>
          <w:color w:val="auto"/>
          <w:sz w:val="44"/>
          <w:szCs w:val="44"/>
          <w:u w:val="none"/>
          <w:lang w:val="en-US" w:eastAsia="zh-CN"/>
        </w:rPr>
        <w:t>评价范围及指标解释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u w:val="none"/>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一、评价范围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rPr>
        <w:t>规模以上工业企业和占地5亩以上的规模以下工业企业。其中，电力、热力、燃气、水生产和供应业、垃圾处理、污水处理等公益性企业</w:t>
      </w:r>
      <w:r>
        <w:rPr>
          <w:rFonts w:hint="default" w:ascii="Times New Roman" w:hAnsi="Times New Roman" w:eastAsia="仿宋_GB2312" w:cs="Times New Roman"/>
          <w:b w:val="0"/>
          <w:bCs w:val="0"/>
          <w:color w:val="auto"/>
          <w:sz w:val="32"/>
          <w:szCs w:val="32"/>
          <w:u w:val="none"/>
          <w:lang w:eastAsia="zh-CN"/>
        </w:rPr>
        <w:t>不纳入评价</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pacing w:val="0"/>
          <w:w w:val="100"/>
          <w:sz w:val="32"/>
          <w:szCs w:val="32"/>
          <w:highlight w:val="none"/>
          <w:u w:val="none"/>
          <w:lang w:val="en-US" w:eastAsia="zh-CN"/>
        </w:rPr>
        <w:t>企业集团下属规模以上工业企业（集团控股公司和全资子公司）可由集团公司提出申请，按集团公司口径合并评价。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rPr>
        <w:t>、</w:t>
      </w:r>
      <w:r>
        <w:rPr>
          <w:rFonts w:hint="default" w:ascii="Times New Roman" w:hAnsi="Times New Roman" w:eastAsia="黑体" w:cs="Times New Roman"/>
          <w:b w:val="0"/>
          <w:bCs w:val="0"/>
          <w:color w:val="auto"/>
          <w:sz w:val="32"/>
          <w:szCs w:val="32"/>
          <w:u w:val="none"/>
          <w:lang w:eastAsia="zh-CN"/>
        </w:rPr>
        <w:t>评价指标解释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szCs w:val="32"/>
          <w:u w:val="none"/>
          <w:lang w:val="en-US" w:eastAsia="zh-CN"/>
        </w:rPr>
      </w:pPr>
      <w:r>
        <w:rPr>
          <w:rFonts w:hint="eastAsia" w:ascii="Times New Roman" w:hAnsi="Times New Roman" w:eastAsia="楷体_GB2312" w:cs="Times New Roman"/>
          <w:b/>
          <w:bCs/>
          <w:color w:val="auto"/>
          <w:sz w:val="32"/>
          <w:szCs w:val="32"/>
          <w:u w:val="none"/>
          <w:lang w:val="en-US" w:eastAsia="zh-CN"/>
        </w:rPr>
        <w:t>1</w:t>
      </w:r>
      <w:r>
        <w:rPr>
          <w:rFonts w:hint="default" w:ascii="Times New Roman" w:hAnsi="Times New Roman" w:eastAsia="楷体_GB2312" w:cs="Times New Roman"/>
          <w:b/>
          <w:bCs/>
          <w:color w:val="auto"/>
          <w:sz w:val="32"/>
          <w:szCs w:val="32"/>
          <w:u w:val="none"/>
          <w:lang w:val="en-US" w:eastAsia="zh-CN"/>
        </w:rPr>
        <w:t>.亩均营业收入【单位:万元/亩】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亩均营业收入=总营业收入/用地面积。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总营业收入：包括增值税计税销售额、简易征收销售额、出口销售额、免税销售额。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cs="Times New Roman"/>
          <w:b w:val="0"/>
          <w:bCs w:val="0"/>
          <w:color w:val="auto"/>
          <w:sz w:val="21"/>
          <w:szCs w:val="21"/>
          <w:highlight w:val="none"/>
          <w:u w:val="none"/>
        </w:rPr>
      </w:pPr>
      <w:r>
        <w:rPr>
          <w:rFonts w:hint="default" w:ascii="Times New Roman" w:hAnsi="Times New Roman" w:eastAsia="仿宋_GB2312" w:cs="Times New Roman"/>
          <w:b w:val="0"/>
          <w:bCs w:val="0"/>
          <w:color w:val="auto"/>
          <w:sz w:val="32"/>
          <w:szCs w:val="32"/>
          <w:u w:val="none"/>
        </w:rPr>
        <w:t>用地面积</w:t>
      </w:r>
      <w:r>
        <w:rPr>
          <w:rFonts w:hint="default" w:ascii="Times New Roman" w:hAnsi="Times New Roman" w:eastAsia="仿宋_GB2312" w:cs="Times New Roman"/>
          <w:b w:val="0"/>
          <w:bCs w:val="0"/>
          <w:color w:val="auto"/>
          <w:sz w:val="32"/>
          <w:szCs w:val="32"/>
          <w:u w:val="none"/>
          <w:lang w:eastAsia="zh-CN"/>
        </w:rPr>
        <w:t>（下同）</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pacing w:val="0"/>
          <w:w w:val="100"/>
          <w:kern w:val="0"/>
          <w:sz w:val="32"/>
          <w:szCs w:val="32"/>
          <w:highlight w:val="none"/>
          <w:u w:val="none"/>
          <w:lang w:val="en-US" w:eastAsia="zh-CN" w:bidi="ar"/>
        </w:rPr>
        <w:t>指企业实际占用的土地面积，包括自有土地面积和租用土地面积。①自有土地面积指企业经资源规划部门登记的土地面积；取得土地使用权超过3年的全部计算土地面积，不超过3年的，项目建设期的土地不计算面积，无项目建设的计算土地面积；企业出租土地面积不扣减。②租用土地面积指企业租赁取得的实际用地面积，若企业租赁标准化厂房或无法准确计算用地面积，则根据企业租赁的建筑面积与容积率之比计算用地面积。③对于“一企多地”，需将企业所有实际用地进行合并后评价。④对于“一地多企”，对参评独立法人企业单独进行评价，用地面积分割计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szCs w:val="32"/>
          <w:u w:val="none"/>
        </w:rPr>
      </w:pPr>
      <w:r>
        <w:rPr>
          <w:rFonts w:hint="eastAsia" w:ascii="Times New Roman" w:hAnsi="Times New Roman" w:eastAsia="楷体_GB2312" w:cs="Times New Roman"/>
          <w:b/>
          <w:bCs/>
          <w:color w:val="auto"/>
          <w:sz w:val="32"/>
          <w:szCs w:val="32"/>
          <w:u w:val="none"/>
          <w:lang w:val="en-US" w:eastAsia="zh-CN"/>
        </w:rPr>
        <w:t>2</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亩均税收</w:t>
      </w:r>
      <w:r>
        <w:rPr>
          <w:rFonts w:hint="default" w:ascii="Times New Roman" w:hAnsi="Times New Roman" w:eastAsia="楷体_GB2312" w:cs="Times New Roman"/>
          <w:b/>
          <w:bCs/>
          <w:color w:val="auto"/>
          <w:sz w:val="32"/>
          <w:szCs w:val="32"/>
          <w:u w:val="none"/>
          <w:lang w:eastAsia="zh-CN"/>
        </w:rPr>
        <w:t>【</w:t>
      </w:r>
      <w:r>
        <w:rPr>
          <w:rFonts w:hint="default" w:ascii="Times New Roman" w:hAnsi="Times New Roman" w:eastAsia="楷体_GB2312" w:cs="Times New Roman"/>
          <w:b/>
          <w:bCs/>
          <w:color w:val="auto"/>
          <w:sz w:val="32"/>
          <w:szCs w:val="32"/>
          <w:u w:val="none"/>
        </w:rPr>
        <w:t>单位:万元/亩</w:t>
      </w:r>
      <w:r>
        <w:rPr>
          <w:rFonts w:hint="default" w:ascii="Times New Roman" w:hAnsi="Times New Roman" w:eastAsia="楷体_GB2312" w:cs="Times New Roman"/>
          <w:b/>
          <w:bCs/>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亩均税收=总税收/用地面积。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总税收：包括企业申报入库税款、查补税款、代收（代扣）代缴税款，其中，企业享受的税收减免、出口退免税视同企业实缴税额。</w:t>
      </w:r>
      <w:r>
        <w:rPr>
          <w:rFonts w:hint="default" w:ascii="Times New Roman" w:hAnsi="Times New Roman" w:eastAsia="仿宋_GB2312" w:cs="Times New Roman"/>
          <w:color w:val="auto"/>
          <w:sz w:val="32"/>
          <w:szCs w:val="32"/>
        </w:rPr>
        <w:t>根据上级政策变化等原因，适时调整。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3.单位能耗营业收入【单位:万元/吨标准煤（等价值）】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单位能耗营业收入=总营业收入/综合能源消费量（等价值）。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综合能源消费量（等价值）：指企业生产和非生产活动消耗的能源总量（等价值）。工业生产活动消耗能源包括作为燃料、动力、原料、辅助材料使用的能源，以及生产工艺中使用的能源。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4.亩均技术改造投资【单位：万元/亩】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亩均技术改造投资=企业技术改造投入资金/用地面积</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技术改造投入资金：指企业</w:t>
      </w:r>
      <w:r>
        <w:rPr>
          <w:rFonts w:hint="default" w:ascii="Times New Roman" w:hAnsi="Times New Roman" w:eastAsia="仿宋_GB2312" w:cs="Times New Roman"/>
          <w:color w:val="auto"/>
          <w:sz w:val="32"/>
          <w:szCs w:val="32"/>
        </w:rPr>
        <w:t>纳入技改投资统计</w:t>
      </w:r>
      <w:r>
        <w:rPr>
          <w:rFonts w:hint="default" w:ascii="Times New Roman" w:hAnsi="Times New Roman" w:eastAsia="仿宋_GB2312" w:cs="Times New Roman"/>
          <w:color w:val="auto"/>
          <w:sz w:val="32"/>
          <w:szCs w:val="32"/>
          <w:lang w:eastAsia="zh-CN"/>
        </w:rPr>
        <w:t>的资金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楷体_GB2312" w:cs="Times New Roman"/>
          <w:b/>
          <w:bCs/>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5.全员劳动生产率【单位：万元/人】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全员劳动生产率=工业总产值（现价）/年平均职工人数。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b w:val="0"/>
          <w:bCs w:val="0"/>
          <w:color w:val="auto"/>
          <w:u w:val="none"/>
          <w:lang w:val="en-US" w:eastAsia="zh-CN"/>
        </w:rPr>
      </w:pPr>
      <w:r>
        <w:rPr>
          <w:rFonts w:hint="default" w:ascii="Times New Roman" w:hAnsi="Times New Roman" w:eastAsia="仿宋_GB2312" w:cs="Times New Roman"/>
          <w:b w:val="0"/>
          <w:bCs w:val="0"/>
          <w:color w:val="auto"/>
          <w:sz w:val="32"/>
          <w:szCs w:val="32"/>
          <w:u w:val="none"/>
        </w:rPr>
        <w:t>全员劳动生产率：指根据产品的价值量指标计算的平均每一个从业人员在单位时间内的产品生产量。</w:t>
      </w:r>
    </w:p>
    <w:sectPr>
      <w:pgSz w:w="11906" w:h="16838"/>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方正楷体_GBK">
    <w:altName w:val="微软雅黑"/>
    <w:panose1 w:val="03000509000000000000"/>
    <w:charset w:val="86"/>
    <w:family w:val="script"/>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ÈíÑÅºÚ">
    <w:altName w:val="Segoe Print"/>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A42"/>
    <w:rsid w:val="00920226"/>
    <w:rsid w:val="00D86114"/>
    <w:rsid w:val="02A4322A"/>
    <w:rsid w:val="02D92C96"/>
    <w:rsid w:val="038C1E33"/>
    <w:rsid w:val="04F32913"/>
    <w:rsid w:val="06002296"/>
    <w:rsid w:val="064B6AAA"/>
    <w:rsid w:val="06F0763C"/>
    <w:rsid w:val="08067414"/>
    <w:rsid w:val="08170239"/>
    <w:rsid w:val="087B27ED"/>
    <w:rsid w:val="09C957A7"/>
    <w:rsid w:val="0A613C52"/>
    <w:rsid w:val="0AB46A7B"/>
    <w:rsid w:val="0AF95B90"/>
    <w:rsid w:val="0BA1363D"/>
    <w:rsid w:val="0BB40FE5"/>
    <w:rsid w:val="0BCD6C7E"/>
    <w:rsid w:val="0C903F05"/>
    <w:rsid w:val="0CDE6599"/>
    <w:rsid w:val="0D084032"/>
    <w:rsid w:val="0E2D6C64"/>
    <w:rsid w:val="0E421029"/>
    <w:rsid w:val="0F2C7F6A"/>
    <w:rsid w:val="103B758A"/>
    <w:rsid w:val="10C95826"/>
    <w:rsid w:val="11C424F7"/>
    <w:rsid w:val="122E4903"/>
    <w:rsid w:val="12AA075C"/>
    <w:rsid w:val="132C2D14"/>
    <w:rsid w:val="13546939"/>
    <w:rsid w:val="138F4C4D"/>
    <w:rsid w:val="13B0334B"/>
    <w:rsid w:val="14E75904"/>
    <w:rsid w:val="14FF1B73"/>
    <w:rsid w:val="150D66D8"/>
    <w:rsid w:val="164002CB"/>
    <w:rsid w:val="16A9604B"/>
    <w:rsid w:val="16B227BE"/>
    <w:rsid w:val="173927BF"/>
    <w:rsid w:val="175014C6"/>
    <w:rsid w:val="17A5114E"/>
    <w:rsid w:val="17A929DF"/>
    <w:rsid w:val="1A752BF4"/>
    <w:rsid w:val="1AE160F9"/>
    <w:rsid w:val="1B1F6F3B"/>
    <w:rsid w:val="1B775762"/>
    <w:rsid w:val="1C010705"/>
    <w:rsid w:val="1E077237"/>
    <w:rsid w:val="1E383A85"/>
    <w:rsid w:val="1F630504"/>
    <w:rsid w:val="1F930F75"/>
    <w:rsid w:val="1FD036C3"/>
    <w:rsid w:val="1FE1133C"/>
    <w:rsid w:val="20390C5C"/>
    <w:rsid w:val="20623D89"/>
    <w:rsid w:val="21863F1E"/>
    <w:rsid w:val="21C43628"/>
    <w:rsid w:val="22D84229"/>
    <w:rsid w:val="234B3DBD"/>
    <w:rsid w:val="24237F8C"/>
    <w:rsid w:val="244C5FBF"/>
    <w:rsid w:val="24E0559B"/>
    <w:rsid w:val="255E5E16"/>
    <w:rsid w:val="25B4052B"/>
    <w:rsid w:val="26D471AD"/>
    <w:rsid w:val="26EA4AE8"/>
    <w:rsid w:val="270B3988"/>
    <w:rsid w:val="277F5ACE"/>
    <w:rsid w:val="28F30162"/>
    <w:rsid w:val="292065A8"/>
    <w:rsid w:val="2A393370"/>
    <w:rsid w:val="2BB61976"/>
    <w:rsid w:val="2BCD3D8B"/>
    <w:rsid w:val="2C8C629C"/>
    <w:rsid w:val="2CA00FF9"/>
    <w:rsid w:val="2D0B18C7"/>
    <w:rsid w:val="2D326C0E"/>
    <w:rsid w:val="2E9A0868"/>
    <w:rsid w:val="3056098E"/>
    <w:rsid w:val="312C6F0F"/>
    <w:rsid w:val="314611B1"/>
    <w:rsid w:val="3291111A"/>
    <w:rsid w:val="331E59E9"/>
    <w:rsid w:val="339F012B"/>
    <w:rsid w:val="341069BA"/>
    <w:rsid w:val="34554978"/>
    <w:rsid w:val="349F3FE0"/>
    <w:rsid w:val="34E24E1D"/>
    <w:rsid w:val="35744E4B"/>
    <w:rsid w:val="35A207BF"/>
    <w:rsid w:val="35E93A8B"/>
    <w:rsid w:val="36594F2B"/>
    <w:rsid w:val="366851FC"/>
    <w:rsid w:val="369465BE"/>
    <w:rsid w:val="37EE7957"/>
    <w:rsid w:val="37F77BB5"/>
    <w:rsid w:val="382073A8"/>
    <w:rsid w:val="38796AE4"/>
    <w:rsid w:val="388A1671"/>
    <w:rsid w:val="39202C10"/>
    <w:rsid w:val="3B9247A2"/>
    <w:rsid w:val="3BD510EF"/>
    <w:rsid w:val="3C2F61DD"/>
    <w:rsid w:val="3CF822CE"/>
    <w:rsid w:val="3E355E81"/>
    <w:rsid w:val="3E65593B"/>
    <w:rsid w:val="3EF26E31"/>
    <w:rsid w:val="3F877760"/>
    <w:rsid w:val="41053713"/>
    <w:rsid w:val="4310445F"/>
    <w:rsid w:val="436E4F7B"/>
    <w:rsid w:val="437804CB"/>
    <w:rsid w:val="44446565"/>
    <w:rsid w:val="4492775C"/>
    <w:rsid w:val="44A80220"/>
    <w:rsid w:val="44D83785"/>
    <w:rsid w:val="45602FE6"/>
    <w:rsid w:val="45F57AEF"/>
    <w:rsid w:val="46484867"/>
    <w:rsid w:val="467E349A"/>
    <w:rsid w:val="47C161E6"/>
    <w:rsid w:val="48922D46"/>
    <w:rsid w:val="494E5FB0"/>
    <w:rsid w:val="49E32DB8"/>
    <w:rsid w:val="4A3446C4"/>
    <w:rsid w:val="4A423129"/>
    <w:rsid w:val="4AF4467B"/>
    <w:rsid w:val="4B866BF8"/>
    <w:rsid w:val="4B9E6415"/>
    <w:rsid w:val="4BF50037"/>
    <w:rsid w:val="4CDA6D3F"/>
    <w:rsid w:val="4D5179A2"/>
    <w:rsid w:val="4D5F695A"/>
    <w:rsid w:val="4EF949D4"/>
    <w:rsid w:val="4F1E0329"/>
    <w:rsid w:val="4F8639F3"/>
    <w:rsid w:val="500E418D"/>
    <w:rsid w:val="502608A8"/>
    <w:rsid w:val="50563E0A"/>
    <w:rsid w:val="50BA4B20"/>
    <w:rsid w:val="50C3218A"/>
    <w:rsid w:val="52F44506"/>
    <w:rsid w:val="539B79E2"/>
    <w:rsid w:val="53B86FD6"/>
    <w:rsid w:val="54DD5D75"/>
    <w:rsid w:val="551C05E7"/>
    <w:rsid w:val="559D58E3"/>
    <w:rsid w:val="55CC5C60"/>
    <w:rsid w:val="579863E5"/>
    <w:rsid w:val="5AE74979"/>
    <w:rsid w:val="5BB45BB4"/>
    <w:rsid w:val="5C674032"/>
    <w:rsid w:val="5C9E48A5"/>
    <w:rsid w:val="5D562E85"/>
    <w:rsid w:val="5D664DF3"/>
    <w:rsid w:val="5E644C39"/>
    <w:rsid w:val="5ED70414"/>
    <w:rsid w:val="5EE115FA"/>
    <w:rsid w:val="5FBD15CF"/>
    <w:rsid w:val="60034528"/>
    <w:rsid w:val="61276D49"/>
    <w:rsid w:val="62481652"/>
    <w:rsid w:val="62933AA6"/>
    <w:rsid w:val="62D61140"/>
    <w:rsid w:val="640E16A7"/>
    <w:rsid w:val="645E484F"/>
    <w:rsid w:val="647E248E"/>
    <w:rsid w:val="656E3FDE"/>
    <w:rsid w:val="670C7F44"/>
    <w:rsid w:val="68745E49"/>
    <w:rsid w:val="69CC568F"/>
    <w:rsid w:val="69F75153"/>
    <w:rsid w:val="6AB758A7"/>
    <w:rsid w:val="6B0F1F26"/>
    <w:rsid w:val="6B765172"/>
    <w:rsid w:val="6CBD68F7"/>
    <w:rsid w:val="6CFA6933"/>
    <w:rsid w:val="6E36191E"/>
    <w:rsid w:val="6E511160"/>
    <w:rsid w:val="6E7A17F8"/>
    <w:rsid w:val="6E911F8C"/>
    <w:rsid w:val="6FA63B11"/>
    <w:rsid w:val="716863D7"/>
    <w:rsid w:val="725644F6"/>
    <w:rsid w:val="72570E89"/>
    <w:rsid w:val="73070A26"/>
    <w:rsid w:val="74F533E7"/>
    <w:rsid w:val="750945B5"/>
    <w:rsid w:val="75C30E6D"/>
    <w:rsid w:val="765A7665"/>
    <w:rsid w:val="77F2186A"/>
    <w:rsid w:val="77FA0298"/>
    <w:rsid w:val="78691964"/>
    <w:rsid w:val="7D27029E"/>
    <w:rsid w:val="7D9767E9"/>
    <w:rsid w:val="7DAB31E4"/>
    <w:rsid w:val="7DB9425C"/>
    <w:rsid w:val="7E99090C"/>
    <w:rsid w:val="7EDB4705"/>
    <w:rsid w:val="7FD1111E"/>
    <w:rsid w:val="7FDC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5">
    <w:name w:val="Normal Indent"/>
    <w:basedOn w:val="1"/>
    <w:qFormat/>
    <w:uiPriority w:val="0"/>
    <w:pPr>
      <w:ind w:firstLine="420" w:firstLineChars="200"/>
    </w:pPr>
  </w:style>
  <w:style w:type="paragraph" w:styleId="6">
    <w:name w:val="Body Text Indent"/>
    <w:basedOn w:val="1"/>
    <w:next w:val="5"/>
    <w:qFormat/>
    <w:uiPriority w:val="0"/>
    <w:pPr>
      <w:spacing w:line="560" w:lineRule="exact"/>
      <w:ind w:firstLine="640" w:firstLine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ind w:left="420" w:leftChars="200" w:firstLine="420" w:firstLineChars="200"/>
    </w:pPr>
    <w:rPr>
      <w:rFonts w:ascii="Times New Roman" w:hAnsi="Times New Roman" w:eastAsia="宋体" w:cs="Times New Roman"/>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000000"/>
      <w:u w:val="none"/>
    </w:rPr>
  </w:style>
  <w:style w:type="character" w:styleId="14">
    <w:name w:val="Emphasis"/>
    <w:basedOn w:val="11"/>
    <w:qFormat/>
    <w:uiPriority w:val="0"/>
    <w:rPr>
      <w:i/>
    </w:rPr>
  </w:style>
  <w:style w:type="character" w:styleId="15">
    <w:name w:val="HTML Definition"/>
    <w:basedOn w:val="11"/>
    <w:qFormat/>
    <w:uiPriority w:val="0"/>
    <w:rPr>
      <w:i/>
      <w:vanish/>
    </w:rPr>
  </w:style>
  <w:style w:type="character" w:styleId="16">
    <w:name w:val="HTML Acronym"/>
    <w:basedOn w:val="11"/>
    <w:qFormat/>
    <w:uiPriority w:val="0"/>
  </w:style>
  <w:style w:type="character" w:styleId="17">
    <w:name w:val="Hyperlink"/>
    <w:basedOn w:val="11"/>
    <w:qFormat/>
    <w:uiPriority w:val="0"/>
    <w:rPr>
      <w:color w:val="000000"/>
      <w:u w:val="none"/>
    </w:rPr>
  </w:style>
  <w:style w:type="character" w:styleId="18">
    <w:name w:val="HTML Code"/>
    <w:basedOn w:val="11"/>
    <w:qFormat/>
    <w:uiPriority w:val="0"/>
    <w:rPr>
      <w:rFonts w:ascii="monospace" w:hAnsi="monospace" w:eastAsia="monospace" w:cs="monospace"/>
      <w:sz w:val="21"/>
      <w:szCs w:val="21"/>
    </w:rPr>
  </w:style>
  <w:style w:type="character" w:styleId="19">
    <w:name w:val="HTML Keyboard"/>
    <w:basedOn w:val="11"/>
    <w:qFormat/>
    <w:uiPriority w:val="0"/>
    <w:rPr>
      <w:rFonts w:hint="default" w:ascii="monospace" w:hAnsi="monospace" w:eastAsia="monospace" w:cs="monospace"/>
      <w:sz w:val="21"/>
      <w:szCs w:val="21"/>
    </w:rPr>
  </w:style>
  <w:style w:type="character" w:styleId="20">
    <w:name w:val="HTML Sample"/>
    <w:basedOn w:val="11"/>
    <w:qFormat/>
    <w:uiPriority w:val="0"/>
    <w:rPr>
      <w:rFonts w:hint="default" w:ascii="monospace" w:hAnsi="monospace" w:eastAsia="monospace" w:cs="monospace"/>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u-tit"/>
    <w:basedOn w:val="11"/>
    <w:qFormat/>
    <w:uiPriority w:val="0"/>
    <w:rPr>
      <w:color w:val="FFFFFF"/>
      <w:sz w:val="24"/>
      <w:szCs w:val="24"/>
      <w:shd w:val="clear" w:fill="CC0C0D"/>
    </w:rPr>
  </w:style>
  <w:style w:type="character" w:customStyle="1" w:styleId="24">
    <w:name w:val="u-tit1"/>
    <w:basedOn w:val="11"/>
    <w:qFormat/>
    <w:uiPriority w:val="0"/>
    <w:rPr>
      <w:b/>
      <w:sz w:val="27"/>
      <w:szCs w:val="27"/>
      <w:shd w:val="clear" w:fill="FFFFFF"/>
    </w:rPr>
  </w:style>
  <w:style w:type="character" w:customStyle="1" w:styleId="25">
    <w:name w:val="active2"/>
    <w:basedOn w:val="11"/>
    <w:qFormat/>
    <w:uiPriority w:val="0"/>
    <w:rPr>
      <w:color w:val="CC0C0D"/>
    </w:rPr>
  </w:style>
  <w:style w:type="character" w:customStyle="1" w:styleId="26">
    <w:name w:val="active1"/>
    <w:basedOn w:val="11"/>
    <w:qFormat/>
    <w:uiPriority w:val="0"/>
    <w:rPr>
      <w:color w:val="CC0C0D"/>
    </w:rPr>
  </w:style>
  <w:style w:type="character" w:customStyle="1" w:styleId="27">
    <w:name w:val="u-tit2"/>
    <w:basedOn w:val="11"/>
    <w:qFormat/>
    <w:uiPriority w:val="0"/>
    <w:rPr>
      <w:color w:val="FFFFFF"/>
      <w:sz w:val="24"/>
      <w:szCs w:val="24"/>
      <w:shd w:val="clear" w:fill="CC0C0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张伟</cp:lastModifiedBy>
  <cp:lastPrinted>2021-09-23T07:53:00Z</cp:lastPrinted>
  <dcterms:modified xsi:type="dcterms:W3CDTF">2021-11-05T04:29:38Z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