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imes New Roman" w:hAnsi="Times New Roman" w:eastAsia="方正小标宋简体"/>
          <w:kern w:val="0"/>
          <w:sz w:val="44"/>
          <w:szCs w:val="44"/>
        </w:rPr>
      </w:pPr>
      <w:r>
        <w:rPr>
          <w:rFonts w:hint="eastAsia" w:ascii="Times New Roman" w:hAnsi="Times New Roman" w:eastAsia="方正小标宋简体"/>
          <w:kern w:val="0"/>
          <w:sz w:val="44"/>
          <w:szCs w:val="44"/>
        </w:rPr>
        <w:t>六安市革命遗址遗迹保护条例</w:t>
      </w:r>
    </w:p>
    <w:p>
      <w:pPr>
        <w:spacing w:line="360" w:lineRule="auto"/>
        <w:jc w:val="center"/>
        <w:rPr>
          <w:b/>
          <w:sz w:val="30"/>
          <w:szCs w:val="30"/>
        </w:rPr>
      </w:pPr>
      <w:r>
        <w:rPr>
          <w:rFonts w:ascii="Times New Roman" w:hAnsi="Times New Roman" w:eastAsia="方正小标宋简体"/>
          <w:kern w:val="0"/>
          <w:sz w:val="44"/>
          <w:szCs w:val="44"/>
        </w:rPr>
        <w:t>（草案初稿）</w:t>
      </w:r>
      <w:bookmarkStart w:id="0" w:name="_GoBack"/>
      <w:bookmarkEnd w:id="0"/>
    </w:p>
    <w:p>
      <w:pPr>
        <w:numPr>
          <w:ilvl w:val="0"/>
          <w:numId w:val="1"/>
        </w:numPr>
        <w:spacing w:line="360" w:lineRule="auto"/>
        <w:rPr>
          <w:sz w:val="30"/>
          <w:szCs w:val="30"/>
        </w:rPr>
      </w:pPr>
      <w:r>
        <w:rPr>
          <w:rFonts w:hint="eastAsia"/>
          <w:sz w:val="30"/>
          <w:szCs w:val="30"/>
        </w:rPr>
        <w:t>总则</w:t>
      </w:r>
    </w:p>
    <w:p>
      <w:pPr>
        <w:numPr>
          <w:ilvl w:val="0"/>
          <w:numId w:val="1"/>
        </w:numPr>
        <w:spacing w:line="360" w:lineRule="auto"/>
        <w:rPr>
          <w:sz w:val="30"/>
          <w:szCs w:val="30"/>
        </w:rPr>
      </w:pPr>
      <w:r>
        <w:rPr>
          <w:rFonts w:hint="eastAsia"/>
          <w:sz w:val="30"/>
          <w:szCs w:val="30"/>
        </w:rPr>
        <w:t>保护名录</w:t>
      </w:r>
    </w:p>
    <w:p>
      <w:pPr>
        <w:numPr>
          <w:ilvl w:val="0"/>
          <w:numId w:val="1"/>
        </w:numPr>
        <w:spacing w:line="360" w:lineRule="auto"/>
        <w:rPr>
          <w:sz w:val="30"/>
          <w:szCs w:val="30"/>
        </w:rPr>
      </w:pPr>
      <w:r>
        <w:rPr>
          <w:rFonts w:hint="eastAsia"/>
          <w:sz w:val="30"/>
          <w:szCs w:val="30"/>
        </w:rPr>
        <w:t>保护管理</w:t>
      </w:r>
    </w:p>
    <w:p>
      <w:pPr>
        <w:numPr>
          <w:ilvl w:val="0"/>
          <w:numId w:val="1"/>
        </w:numPr>
        <w:spacing w:line="360" w:lineRule="auto"/>
        <w:rPr>
          <w:sz w:val="30"/>
          <w:szCs w:val="30"/>
        </w:rPr>
      </w:pPr>
      <w:r>
        <w:rPr>
          <w:rFonts w:hint="eastAsia"/>
          <w:sz w:val="30"/>
          <w:szCs w:val="30"/>
        </w:rPr>
        <w:t>合理利用</w:t>
      </w:r>
    </w:p>
    <w:p>
      <w:pPr>
        <w:numPr>
          <w:ilvl w:val="0"/>
          <w:numId w:val="1"/>
        </w:numPr>
        <w:spacing w:line="360" w:lineRule="auto"/>
        <w:rPr>
          <w:sz w:val="30"/>
          <w:szCs w:val="30"/>
        </w:rPr>
      </w:pPr>
      <w:r>
        <w:rPr>
          <w:rFonts w:hint="eastAsia"/>
          <w:sz w:val="30"/>
          <w:szCs w:val="30"/>
        </w:rPr>
        <w:t>法律责任</w:t>
      </w:r>
    </w:p>
    <w:p>
      <w:pPr>
        <w:numPr>
          <w:ilvl w:val="0"/>
          <w:numId w:val="1"/>
        </w:numPr>
        <w:spacing w:line="360" w:lineRule="auto"/>
        <w:rPr>
          <w:sz w:val="30"/>
          <w:szCs w:val="30"/>
        </w:rPr>
      </w:pPr>
      <w:r>
        <w:rPr>
          <w:rFonts w:hint="eastAsia"/>
          <w:sz w:val="30"/>
          <w:szCs w:val="30"/>
        </w:rPr>
        <w:t>附则</w:t>
      </w:r>
    </w:p>
    <w:p>
      <w:pPr>
        <w:spacing w:line="360" w:lineRule="auto"/>
        <w:jc w:val="center"/>
        <w:rPr>
          <w:b/>
          <w:bCs/>
          <w:sz w:val="28"/>
          <w:szCs w:val="28"/>
        </w:rPr>
      </w:pPr>
      <w:r>
        <w:rPr>
          <w:rFonts w:hint="eastAsia"/>
          <w:b/>
          <w:bCs/>
          <w:sz w:val="28"/>
          <w:szCs w:val="28"/>
        </w:rPr>
        <w:t>第一章</w:t>
      </w:r>
      <w:r>
        <w:rPr>
          <w:b/>
          <w:bCs/>
          <w:sz w:val="28"/>
          <w:szCs w:val="28"/>
        </w:rPr>
        <w:t xml:space="preserve"> </w:t>
      </w:r>
      <w:r>
        <w:rPr>
          <w:rFonts w:hint="eastAsia"/>
          <w:b/>
          <w:bCs/>
          <w:sz w:val="28"/>
          <w:szCs w:val="28"/>
        </w:rPr>
        <w:t>总则</w:t>
      </w:r>
    </w:p>
    <w:p>
      <w:pPr>
        <w:spacing w:line="360" w:lineRule="auto"/>
        <w:rPr>
          <w:b/>
          <w:bCs/>
          <w:sz w:val="24"/>
        </w:rPr>
      </w:pPr>
      <w:r>
        <w:rPr>
          <w:rFonts w:hint="eastAsia"/>
          <w:b/>
          <w:bCs/>
          <w:sz w:val="24"/>
        </w:rPr>
        <w:t>第一条</w:t>
      </w:r>
      <w:r>
        <w:rPr>
          <w:b/>
          <w:bCs/>
          <w:sz w:val="24"/>
        </w:rPr>
        <w:t xml:space="preserve">  </w:t>
      </w:r>
    </w:p>
    <w:p>
      <w:pPr>
        <w:spacing w:line="360" w:lineRule="auto"/>
        <w:ind w:firstLine="480" w:firstLineChars="200"/>
        <w:rPr>
          <w:sz w:val="24"/>
        </w:rPr>
      </w:pPr>
      <w:r>
        <w:rPr>
          <w:rFonts w:hint="eastAsia"/>
          <w:sz w:val="24"/>
        </w:rPr>
        <w:t>为了加强革命遗址遗迹保护</w:t>
      </w:r>
      <w:r>
        <w:rPr>
          <w:sz w:val="24"/>
        </w:rPr>
        <w:t>,</w:t>
      </w:r>
      <w:r>
        <w:rPr>
          <w:rFonts w:hint="eastAsia"/>
          <w:sz w:val="24"/>
        </w:rPr>
        <w:t>发挥革命遗址遗迹的爱国主义和革命传统教育作用，传承和弘扬大别山精神，培育和践行社会主义核心价值观，根据《中华人民共和国文物保护法》《中华人民共和国英雄烈士保护法》等有关法律、行政法规，结合本市实际，制定本条例。</w:t>
      </w:r>
    </w:p>
    <w:p>
      <w:pPr>
        <w:spacing w:line="360" w:lineRule="auto"/>
        <w:rPr>
          <w:b/>
          <w:bCs/>
          <w:sz w:val="24"/>
        </w:rPr>
      </w:pPr>
      <w:r>
        <w:rPr>
          <w:rFonts w:hint="eastAsia"/>
          <w:b/>
          <w:bCs/>
          <w:sz w:val="24"/>
        </w:rPr>
        <w:t>第二条</w:t>
      </w:r>
    </w:p>
    <w:p>
      <w:pPr>
        <w:spacing w:line="360" w:lineRule="auto"/>
        <w:ind w:firstLine="480" w:firstLineChars="200"/>
        <w:rPr>
          <w:b/>
          <w:bCs/>
          <w:sz w:val="24"/>
        </w:rPr>
      </w:pPr>
      <w:r>
        <w:rPr>
          <w:rFonts w:hint="eastAsia"/>
          <w:sz w:val="24"/>
        </w:rPr>
        <w:t>本市行政区域内革命遗址遗迹的认定、保护、管理和利用，适用本条例。</w:t>
      </w:r>
    </w:p>
    <w:p>
      <w:pPr>
        <w:spacing w:line="360" w:lineRule="auto"/>
        <w:ind w:firstLine="480" w:firstLineChars="200"/>
        <w:rPr>
          <w:rFonts w:hint="eastAsia"/>
          <w:sz w:val="24"/>
        </w:rPr>
      </w:pPr>
      <w:r>
        <w:rPr>
          <w:rFonts w:hint="eastAsia"/>
          <w:sz w:val="24"/>
        </w:rPr>
        <w:t>本条例所称革命遗址遗迹是指新民主主义革命以来，中国共产党团结带领各族人民在本行政区域内进行革命活动所形成的遗址、遗迹和纪念设施。包括：</w:t>
      </w:r>
    </w:p>
    <w:p>
      <w:pPr>
        <w:spacing w:line="360" w:lineRule="auto"/>
        <w:ind w:firstLine="480" w:firstLineChars="200"/>
        <w:rPr>
          <w:rFonts w:hint="eastAsia"/>
          <w:sz w:val="24"/>
        </w:rPr>
      </w:pPr>
      <w:r>
        <w:rPr>
          <w:rFonts w:hint="eastAsia"/>
          <w:sz w:val="24"/>
        </w:rPr>
        <w:t>（一）重要机构、重要会议的旧址或者遗址；</w:t>
      </w:r>
    </w:p>
    <w:p>
      <w:pPr>
        <w:spacing w:line="360" w:lineRule="auto"/>
        <w:ind w:left="420"/>
        <w:rPr>
          <w:sz w:val="24"/>
        </w:rPr>
      </w:pPr>
      <w:r>
        <w:rPr>
          <w:rFonts w:hint="eastAsia"/>
          <w:sz w:val="24"/>
        </w:rPr>
        <w:t>（二）重要人物故居、旧居、活动地或者墓地；</w:t>
      </w:r>
    </w:p>
    <w:p>
      <w:pPr>
        <w:spacing w:line="360" w:lineRule="auto"/>
        <w:ind w:left="420"/>
        <w:rPr>
          <w:sz w:val="24"/>
        </w:rPr>
      </w:pPr>
      <w:r>
        <w:rPr>
          <w:rFonts w:hint="eastAsia"/>
          <w:sz w:val="24"/>
        </w:rPr>
        <w:t>（三）重要事件和重要战斗的遗址、遗迹；</w:t>
      </w:r>
    </w:p>
    <w:p>
      <w:pPr>
        <w:spacing w:line="360" w:lineRule="auto"/>
        <w:ind w:left="420"/>
        <w:rPr>
          <w:sz w:val="24"/>
        </w:rPr>
      </w:pPr>
      <w:r>
        <w:rPr>
          <w:rFonts w:hint="eastAsia"/>
          <w:sz w:val="24"/>
        </w:rPr>
        <w:t>（四）具有重要影响的烈士事迹发生地或者烈士纪念设施；</w:t>
      </w:r>
    </w:p>
    <w:p>
      <w:pPr>
        <w:spacing w:line="360" w:lineRule="auto"/>
        <w:ind w:left="420"/>
        <w:rPr>
          <w:sz w:val="24"/>
        </w:rPr>
      </w:pPr>
      <w:r>
        <w:rPr>
          <w:rFonts w:hint="eastAsia"/>
          <w:sz w:val="24"/>
        </w:rPr>
        <w:t>（五）其他见证革命历程、反映革命文化的重要遗址、遗迹、纪念设施。</w:t>
      </w:r>
    </w:p>
    <w:p>
      <w:pPr>
        <w:spacing w:line="360" w:lineRule="auto"/>
        <w:rPr>
          <w:sz w:val="24"/>
        </w:rPr>
      </w:pPr>
      <w:r>
        <w:rPr>
          <w:rFonts w:hint="eastAsia"/>
          <w:b/>
          <w:bCs/>
          <w:sz w:val="24"/>
        </w:rPr>
        <w:t>第三条</w:t>
      </w:r>
    </w:p>
    <w:p>
      <w:pPr>
        <w:spacing w:line="360" w:lineRule="auto"/>
        <w:ind w:firstLine="480" w:firstLineChars="200"/>
        <w:rPr>
          <w:sz w:val="24"/>
        </w:rPr>
      </w:pPr>
      <w:r>
        <w:rPr>
          <w:rFonts w:hint="eastAsia"/>
          <w:sz w:val="24"/>
        </w:rPr>
        <w:t>革命遗址遗迹保护应当贯彻保护为主、科学规划、合理利用、政府主导、社会参与、属地管理的原则，维护革命遗址遗迹本体安全和特有的历史环境风貌，保持历史真实性、风貌完整性和文化延续性。</w:t>
      </w:r>
    </w:p>
    <w:p>
      <w:pPr>
        <w:spacing w:line="360" w:lineRule="auto"/>
        <w:rPr>
          <w:sz w:val="24"/>
        </w:rPr>
      </w:pPr>
      <w:r>
        <w:rPr>
          <w:rFonts w:hint="eastAsia"/>
          <w:b/>
          <w:bCs/>
          <w:sz w:val="24"/>
        </w:rPr>
        <w:t>第四条</w:t>
      </w:r>
    </w:p>
    <w:p>
      <w:pPr>
        <w:spacing w:line="360" w:lineRule="auto"/>
        <w:ind w:firstLine="480" w:firstLineChars="200"/>
        <w:rPr>
          <w:sz w:val="24"/>
        </w:rPr>
      </w:pPr>
      <w:r>
        <w:rPr>
          <w:rFonts w:hint="eastAsia"/>
          <w:sz w:val="24"/>
        </w:rPr>
        <w:t>市、县（区）两级建立革命遗址遗迹保护利用联席会议机制，联席会议由宣传、文化旅游、退役军人事务、史志研究、规划建设等部门组成，负责指导、协调、推动革命遗址遗迹保护利用工作，研究决定重大事项。联席会议办事机构设在同级文化旅游部门。</w:t>
      </w:r>
    </w:p>
    <w:p>
      <w:pPr>
        <w:spacing w:line="360" w:lineRule="auto"/>
        <w:rPr>
          <w:b/>
          <w:bCs/>
          <w:sz w:val="24"/>
        </w:rPr>
      </w:pPr>
      <w:r>
        <w:rPr>
          <w:rFonts w:hint="eastAsia"/>
          <w:b/>
          <w:bCs/>
          <w:sz w:val="24"/>
        </w:rPr>
        <w:t>第五条</w:t>
      </w:r>
    </w:p>
    <w:p>
      <w:pPr>
        <w:spacing w:line="360" w:lineRule="auto"/>
        <w:ind w:firstLine="480" w:firstLineChars="200"/>
        <w:rPr>
          <w:sz w:val="24"/>
        </w:rPr>
      </w:pPr>
      <w:r>
        <w:rPr>
          <w:rFonts w:hint="eastAsia"/>
          <w:sz w:val="24"/>
        </w:rPr>
        <w:t>市、县（区）人民政府应当加强革命遗址遗迹保护工作的组织领导，落实管理机构和人员，明确工作职责</w:t>
      </w:r>
      <w:r>
        <w:rPr>
          <w:rFonts w:hint="eastAsia"/>
          <w:sz w:val="24"/>
          <w:lang w:eastAsia="zh-CN"/>
        </w:rPr>
        <w:t>；</w:t>
      </w:r>
      <w:r>
        <w:rPr>
          <w:rFonts w:hint="eastAsia"/>
          <w:sz w:val="24"/>
        </w:rPr>
        <w:t>将革命遗址遗迹保护纳入本级国民经济和社会发展规划国土空间规划、有关专项规划以及政府目标责任考核</w:t>
      </w:r>
      <w:r>
        <w:rPr>
          <w:rFonts w:hint="eastAsia"/>
          <w:sz w:val="24"/>
          <w:lang w:eastAsia="zh-CN"/>
        </w:rPr>
        <w:t>；</w:t>
      </w:r>
      <w:r>
        <w:rPr>
          <w:rFonts w:hint="eastAsia"/>
          <w:sz w:val="24"/>
        </w:rPr>
        <w:t>将革命遗址遗迹保护所需经费纳入本级财政预算。</w:t>
      </w:r>
      <w:r>
        <w:rPr>
          <w:sz w:val="24"/>
        </w:rPr>
        <w:t xml:space="preserve"> </w:t>
      </w:r>
    </w:p>
    <w:p>
      <w:pPr>
        <w:spacing w:line="360" w:lineRule="auto"/>
        <w:ind w:firstLine="480" w:firstLineChars="200"/>
        <w:rPr>
          <w:rFonts w:hint="eastAsia"/>
          <w:sz w:val="24"/>
        </w:rPr>
      </w:pPr>
      <w:r>
        <w:rPr>
          <w:rFonts w:hint="eastAsia"/>
          <w:sz w:val="24"/>
        </w:rPr>
        <w:t>六安经济技术开发区管理委员会应当按照法律法规的规定和市人民政府确定的职责，做好革命遗址遗迹保护工作。</w:t>
      </w:r>
    </w:p>
    <w:p>
      <w:pPr>
        <w:spacing w:line="360" w:lineRule="auto"/>
        <w:ind w:firstLine="480"/>
        <w:rPr>
          <w:rFonts w:hint="eastAsia"/>
          <w:sz w:val="24"/>
        </w:rPr>
      </w:pPr>
      <w:r>
        <w:rPr>
          <w:rFonts w:hint="eastAsia"/>
          <w:sz w:val="24"/>
        </w:rPr>
        <w:t>乡镇人民政府、街道办事处应当落实属地管理职责，配合有关管理部门做好本行政区域内革命遗址遗迹保护工作。</w:t>
      </w:r>
    </w:p>
    <w:p>
      <w:pPr>
        <w:spacing w:line="360" w:lineRule="auto"/>
        <w:ind w:firstLine="480"/>
        <w:rPr>
          <w:sz w:val="24"/>
        </w:rPr>
      </w:pPr>
      <w:r>
        <w:rPr>
          <w:rFonts w:hint="eastAsia"/>
          <w:sz w:val="24"/>
        </w:rPr>
        <w:t>村（居）民委员会协助做好本区域内的革命遗址遗迹保护工作，及时发现、报告革命遗址、遗迹相关情况。</w:t>
      </w:r>
    </w:p>
    <w:p>
      <w:pPr>
        <w:spacing w:line="360" w:lineRule="auto"/>
        <w:rPr>
          <w:b/>
          <w:bCs/>
          <w:sz w:val="24"/>
        </w:rPr>
      </w:pPr>
      <w:r>
        <w:rPr>
          <w:rFonts w:hint="eastAsia"/>
          <w:b/>
          <w:bCs/>
          <w:sz w:val="24"/>
        </w:rPr>
        <w:t>第六条</w:t>
      </w:r>
    </w:p>
    <w:p>
      <w:pPr>
        <w:spacing w:line="360" w:lineRule="auto"/>
        <w:ind w:firstLine="480" w:firstLineChars="200"/>
        <w:rPr>
          <w:sz w:val="24"/>
        </w:rPr>
      </w:pPr>
      <w:r>
        <w:rPr>
          <w:rFonts w:hint="eastAsia"/>
          <w:sz w:val="24"/>
        </w:rPr>
        <w:t>市、县（区）文化旅游部门负责对本行政区域内列入文物的革命遗址遗迹保护实施监督管理。</w:t>
      </w:r>
    </w:p>
    <w:p>
      <w:pPr>
        <w:spacing w:line="360" w:lineRule="auto"/>
        <w:ind w:firstLine="480" w:firstLineChars="200"/>
        <w:rPr>
          <w:rFonts w:hint="eastAsia"/>
          <w:sz w:val="24"/>
        </w:rPr>
      </w:pPr>
      <w:r>
        <w:rPr>
          <w:rFonts w:hint="eastAsia"/>
          <w:sz w:val="24"/>
        </w:rPr>
        <w:t>市、县（区）退役军人事务部门负责对本行政区域内烈士纪念设施类革命遗址遗迹保护实施监督管理。</w:t>
      </w:r>
    </w:p>
    <w:p>
      <w:pPr>
        <w:spacing w:line="360" w:lineRule="auto"/>
        <w:ind w:firstLine="480" w:firstLineChars="200"/>
        <w:rPr>
          <w:sz w:val="24"/>
        </w:rPr>
      </w:pPr>
      <w:r>
        <w:rPr>
          <w:rFonts w:hint="eastAsia"/>
          <w:sz w:val="24"/>
        </w:rPr>
        <w:t>史志研究部门协助有关部门对革命遗址遗迹所承载的历史史实进行核实、提供咨询，确保历史史实的真实性、准确性。</w:t>
      </w:r>
    </w:p>
    <w:p>
      <w:pPr>
        <w:spacing w:line="360" w:lineRule="auto"/>
        <w:ind w:firstLine="480"/>
        <w:rPr>
          <w:sz w:val="24"/>
        </w:rPr>
      </w:pPr>
      <w:r>
        <w:rPr>
          <w:rFonts w:hint="eastAsia"/>
          <w:sz w:val="24"/>
        </w:rPr>
        <w:t>宣传、统战、民政、档案、教体、自然资源、住房和城乡建设、发展和改革、交通、水利、公安、国安、应急管理、海关等部门应当按照各自职责，做好革命遗址遗迹保护工作。</w:t>
      </w:r>
    </w:p>
    <w:p>
      <w:pPr>
        <w:spacing w:line="360" w:lineRule="auto"/>
        <w:rPr>
          <w:b/>
          <w:bCs/>
          <w:sz w:val="24"/>
        </w:rPr>
      </w:pPr>
      <w:r>
        <w:rPr>
          <w:rFonts w:hint="eastAsia"/>
          <w:b/>
          <w:bCs/>
          <w:sz w:val="24"/>
        </w:rPr>
        <w:t>第七条</w:t>
      </w:r>
    </w:p>
    <w:p>
      <w:pPr>
        <w:spacing w:line="360" w:lineRule="auto"/>
        <w:ind w:firstLine="480" w:firstLineChars="200"/>
        <w:rPr>
          <w:rFonts w:hint="eastAsia"/>
          <w:sz w:val="24"/>
        </w:rPr>
      </w:pPr>
      <w:r>
        <w:rPr>
          <w:rFonts w:hint="eastAsia"/>
          <w:sz w:val="24"/>
        </w:rPr>
        <w:t>工会、共青团、妇联等群众团体应当发挥各自优势，组织开展相关革命遗址遗迹保护利用工作。</w:t>
      </w:r>
    </w:p>
    <w:p>
      <w:pPr>
        <w:spacing w:line="360" w:lineRule="auto"/>
        <w:ind w:firstLine="480"/>
        <w:rPr>
          <w:sz w:val="24"/>
        </w:rPr>
      </w:pPr>
      <w:r>
        <w:rPr>
          <w:rFonts w:hint="eastAsia"/>
          <w:sz w:val="24"/>
        </w:rPr>
        <w:t>任何单位和个人都有依法保护革命遗址遗迹的义务，鼓励和支持公民、法人和其他组织通过捐赠、资助、志愿服务等方式，参与革命遗址遗迹保护工作。</w:t>
      </w:r>
    </w:p>
    <w:p>
      <w:pPr>
        <w:spacing w:line="360" w:lineRule="auto"/>
        <w:rPr>
          <w:b/>
          <w:bCs/>
          <w:sz w:val="24"/>
        </w:rPr>
      </w:pPr>
      <w:r>
        <w:rPr>
          <w:rFonts w:hint="eastAsia"/>
          <w:b/>
          <w:bCs/>
          <w:sz w:val="24"/>
        </w:rPr>
        <w:t>第八条</w:t>
      </w:r>
    </w:p>
    <w:p>
      <w:pPr>
        <w:spacing w:line="360" w:lineRule="auto"/>
        <w:ind w:firstLine="480" w:firstLineChars="200"/>
        <w:rPr>
          <w:sz w:val="24"/>
        </w:rPr>
      </w:pPr>
      <w:r>
        <w:rPr>
          <w:rFonts w:hint="eastAsia"/>
          <w:sz w:val="24"/>
        </w:rPr>
        <w:t>市、县（区）人民政府对在革命遗址遗迹保护、管理、利用和宣传教育工作中做出突出贡献的单位和个人，按照有关规定给予表彰和奖励。</w:t>
      </w:r>
    </w:p>
    <w:p>
      <w:pPr>
        <w:spacing w:line="360" w:lineRule="auto"/>
        <w:jc w:val="center"/>
        <w:rPr>
          <w:b/>
          <w:bCs/>
          <w:sz w:val="28"/>
          <w:szCs w:val="28"/>
        </w:rPr>
      </w:pPr>
      <w:r>
        <w:rPr>
          <w:rFonts w:hint="eastAsia"/>
          <w:b/>
          <w:bCs/>
          <w:sz w:val="28"/>
          <w:szCs w:val="28"/>
        </w:rPr>
        <w:t>第二章</w:t>
      </w:r>
      <w:r>
        <w:rPr>
          <w:b/>
          <w:bCs/>
          <w:sz w:val="28"/>
          <w:szCs w:val="28"/>
        </w:rPr>
        <w:t xml:space="preserve"> </w:t>
      </w:r>
      <w:r>
        <w:rPr>
          <w:rFonts w:hint="eastAsia"/>
          <w:b/>
          <w:bCs/>
          <w:sz w:val="28"/>
          <w:szCs w:val="28"/>
        </w:rPr>
        <w:t>保护目录</w:t>
      </w:r>
    </w:p>
    <w:p>
      <w:pPr>
        <w:spacing w:line="360" w:lineRule="auto"/>
        <w:jc w:val="left"/>
        <w:rPr>
          <w:b/>
          <w:bCs/>
          <w:sz w:val="24"/>
        </w:rPr>
      </w:pPr>
      <w:r>
        <w:rPr>
          <w:rFonts w:hint="eastAsia"/>
          <w:b/>
          <w:bCs/>
          <w:sz w:val="24"/>
        </w:rPr>
        <w:t>第九条</w:t>
      </w:r>
    </w:p>
    <w:p>
      <w:pPr>
        <w:spacing w:line="360" w:lineRule="auto"/>
        <w:ind w:firstLine="480" w:firstLineChars="200"/>
        <w:rPr>
          <w:sz w:val="24"/>
        </w:rPr>
      </w:pPr>
      <w:r>
        <w:rPr>
          <w:rFonts w:hint="eastAsia"/>
          <w:sz w:val="24"/>
        </w:rPr>
        <w:t>革命遗址遗迹实行名录保护制度。</w:t>
      </w:r>
    </w:p>
    <w:p>
      <w:pPr>
        <w:spacing w:line="360" w:lineRule="auto"/>
        <w:ind w:firstLine="480" w:firstLineChars="200"/>
        <w:rPr>
          <w:sz w:val="24"/>
        </w:rPr>
      </w:pPr>
      <w:r>
        <w:rPr>
          <w:rFonts w:hint="eastAsia"/>
          <w:sz w:val="24"/>
        </w:rPr>
        <w:t>市人民政府文化旅游部门会同退役军人事务部门、史志研究机构，制定革命遗址遗迹认定的标准和办法，报市人民政府批准。</w:t>
      </w:r>
    </w:p>
    <w:p>
      <w:pPr>
        <w:spacing w:line="360" w:lineRule="auto"/>
        <w:ind w:firstLine="480" w:firstLineChars="200"/>
        <w:rPr>
          <w:sz w:val="24"/>
        </w:rPr>
      </w:pPr>
      <w:r>
        <w:rPr>
          <w:rFonts w:hint="eastAsia"/>
          <w:sz w:val="24"/>
        </w:rPr>
        <w:t>市、县（区）人民政府根据革命遗址遗迹的历史价值、教育作用、纪念意义和保护现状等，确定市级、县级革命遗址遗迹保护名录并核定公布。</w:t>
      </w:r>
    </w:p>
    <w:p>
      <w:pPr>
        <w:spacing w:line="360" w:lineRule="auto"/>
        <w:ind w:firstLine="480" w:firstLineChars="200"/>
        <w:rPr>
          <w:sz w:val="24"/>
        </w:rPr>
      </w:pPr>
      <w:r>
        <w:rPr>
          <w:rFonts w:hint="eastAsia"/>
          <w:sz w:val="24"/>
        </w:rPr>
        <w:t>县（区）人民政府应当对核定公布的革命遗址遗迹保护名录报市人民政府备案。</w:t>
      </w:r>
    </w:p>
    <w:p>
      <w:pPr>
        <w:spacing w:line="360" w:lineRule="auto"/>
        <w:rPr>
          <w:b/>
          <w:bCs/>
          <w:sz w:val="24"/>
        </w:rPr>
      </w:pPr>
      <w:r>
        <w:rPr>
          <w:rFonts w:hint="eastAsia"/>
          <w:b/>
          <w:bCs/>
          <w:sz w:val="24"/>
        </w:rPr>
        <w:t>第十条</w:t>
      </w:r>
    </w:p>
    <w:p>
      <w:pPr>
        <w:spacing w:line="360" w:lineRule="auto"/>
        <w:ind w:firstLine="480" w:firstLineChars="200"/>
        <w:rPr>
          <w:rFonts w:hint="eastAsia"/>
          <w:sz w:val="24"/>
        </w:rPr>
      </w:pPr>
      <w:r>
        <w:rPr>
          <w:rFonts w:hint="eastAsia"/>
          <w:sz w:val="24"/>
        </w:rPr>
        <w:t>已经公布为各级文物保护单位、烈士纪念设施及文物点的革命遗址遗迹直接列入革命遗址遗迹保护名录。</w:t>
      </w:r>
    </w:p>
    <w:p>
      <w:pPr>
        <w:spacing w:line="360" w:lineRule="auto"/>
        <w:ind w:firstLine="480" w:firstLineChars="200"/>
        <w:rPr>
          <w:sz w:val="24"/>
        </w:rPr>
      </w:pPr>
      <w:r>
        <w:rPr>
          <w:rFonts w:hint="eastAsia"/>
          <w:sz w:val="24"/>
        </w:rPr>
        <w:t>其他革命遗址遗迹按照下列程序申报列入革命遗址遗迹保护名录：</w:t>
      </w:r>
    </w:p>
    <w:p>
      <w:pPr>
        <w:spacing w:line="360" w:lineRule="auto"/>
        <w:ind w:firstLine="480" w:firstLineChars="200"/>
        <w:rPr>
          <w:rFonts w:hint="eastAsia"/>
          <w:sz w:val="24"/>
        </w:rPr>
      </w:pPr>
      <w:r>
        <w:rPr>
          <w:rFonts w:hint="eastAsia"/>
          <w:sz w:val="24"/>
        </w:rPr>
        <w:t>（一）县级革命遗址遗迹的申报：县（区）人民政府文化旅游部门根据革命遗址遗迹调查情况，提出县级革命遗址遗迹保护名录建议名单，经县级革命遗址保护联席会议论证，由文化旅游部门会同退役军人事务部门、史志研究机构审核后报县（区）人民政府核定公布。</w:t>
      </w:r>
    </w:p>
    <w:p>
      <w:pPr>
        <w:spacing w:line="360" w:lineRule="auto"/>
        <w:ind w:firstLine="480" w:firstLineChars="200"/>
        <w:rPr>
          <w:sz w:val="24"/>
          <w:highlight w:val="red"/>
        </w:rPr>
      </w:pPr>
      <w:r>
        <w:rPr>
          <w:rFonts w:hint="eastAsia"/>
          <w:sz w:val="24"/>
        </w:rPr>
        <w:t>（二）市级革命遗址遗迹的申报：县（区）人民政府从县级革命遗址遗迹保护名录中选取、提出市级革命遗址遗迹保护名录建议名单，向市人民政府文化旅游部门申报，经市级革命遗址保护联席会议论证，由市人民政府文化旅游部门会同退役军人事务部门、史志研究机构审核后，报市人民政府核定公布。</w:t>
      </w:r>
    </w:p>
    <w:p>
      <w:pPr>
        <w:spacing w:line="360" w:lineRule="auto"/>
        <w:rPr>
          <w:b/>
          <w:bCs/>
          <w:sz w:val="24"/>
        </w:rPr>
      </w:pPr>
      <w:r>
        <w:rPr>
          <w:rFonts w:hint="eastAsia"/>
          <w:b/>
          <w:bCs/>
          <w:sz w:val="24"/>
        </w:rPr>
        <w:t>第十一条</w:t>
      </w:r>
    </w:p>
    <w:p>
      <w:pPr>
        <w:spacing w:line="360" w:lineRule="auto"/>
        <w:ind w:firstLine="480" w:firstLineChars="200"/>
        <w:rPr>
          <w:sz w:val="24"/>
        </w:rPr>
      </w:pPr>
      <w:r>
        <w:rPr>
          <w:rFonts w:hint="eastAsia"/>
          <w:sz w:val="24"/>
        </w:rPr>
        <w:t>市人民政府应当建立革命遗址遗迹数据库，健全信息共享机制，编制革命遗址遗迹保护名录并向社会公布。</w:t>
      </w:r>
    </w:p>
    <w:p>
      <w:pPr>
        <w:spacing w:line="360" w:lineRule="auto"/>
        <w:ind w:firstLine="480" w:firstLineChars="200"/>
        <w:rPr>
          <w:b/>
          <w:bCs/>
          <w:sz w:val="24"/>
        </w:rPr>
      </w:pPr>
      <w:r>
        <w:rPr>
          <w:rFonts w:hint="eastAsia"/>
          <w:sz w:val="24"/>
        </w:rPr>
        <w:t>市、县（区）人民政府应当每五年对革命遗址遗迹进行一次普查，并根据普查结果及时调整革命遗址遗迹数据库、保护名录。</w:t>
      </w:r>
    </w:p>
    <w:p>
      <w:pPr>
        <w:numPr>
          <w:ilvl w:val="0"/>
          <w:numId w:val="2"/>
        </w:numPr>
        <w:spacing w:line="360" w:lineRule="auto"/>
        <w:ind w:firstLine="480"/>
        <w:rPr>
          <w:b/>
          <w:bCs/>
          <w:sz w:val="28"/>
          <w:szCs w:val="28"/>
        </w:rPr>
      </w:pPr>
      <w:r>
        <w:rPr>
          <w:rFonts w:hint="eastAsia"/>
          <w:b/>
          <w:bCs/>
          <w:sz w:val="28"/>
          <w:szCs w:val="28"/>
        </w:rPr>
        <w:t>保护管理</w:t>
      </w:r>
    </w:p>
    <w:p>
      <w:pPr>
        <w:spacing w:line="360" w:lineRule="auto"/>
        <w:rPr>
          <w:rFonts w:hint="eastAsia"/>
          <w:b/>
          <w:bCs/>
          <w:sz w:val="24"/>
        </w:rPr>
      </w:pPr>
      <w:r>
        <w:rPr>
          <w:rFonts w:hint="eastAsia"/>
          <w:b/>
          <w:bCs/>
          <w:sz w:val="24"/>
        </w:rPr>
        <w:t xml:space="preserve">第十二条 </w:t>
      </w:r>
    </w:p>
    <w:p>
      <w:pPr>
        <w:spacing w:line="360" w:lineRule="auto"/>
        <w:ind w:firstLine="480" w:firstLineChars="200"/>
        <w:rPr>
          <w:sz w:val="24"/>
        </w:rPr>
      </w:pPr>
      <w:r>
        <w:rPr>
          <w:rFonts w:hint="eastAsia"/>
          <w:sz w:val="24"/>
        </w:rPr>
        <w:t>已公布为文物的革命遗址遗迹，依照文物保护相关法律、法规进行保护管理。</w:t>
      </w:r>
    </w:p>
    <w:p>
      <w:pPr>
        <w:spacing w:line="360" w:lineRule="auto"/>
        <w:ind w:firstLine="480" w:firstLineChars="200"/>
        <w:rPr>
          <w:sz w:val="24"/>
        </w:rPr>
      </w:pPr>
      <w:r>
        <w:rPr>
          <w:rFonts w:hint="eastAsia"/>
          <w:sz w:val="24"/>
        </w:rPr>
        <w:t>县（区）人民政府对列入保护名录尚未核定为文物的革命遗址遗迹，根据革命遗址遗迹的类别、内容、规模以及现状划定保护范围、建设控制地带，并建立记录档案。</w:t>
      </w:r>
    </w:p>
    <w:p>
      <w:pPr>
        <w:spacing w:line="360" w:lineRule="auto"/>
        <w:ind w:firstLine="480"/>
        <w:rPr>
          <w:sz w:val="24"/>
        </w:rPr>
      </w:pPr>
      <w:r>
        <w:rPr>
          <w:rFonts w:hint="eastAsia"/>
          <w:sz w:val="24"/>
        </w:rPr>
        <w:t>市人民政府对列入保护名录的革命遗址遗迹应当设立统一的保护标识。</w:t>
      </w:r>
    </w:p>
    <w:p>
      <w:pPr>
        <w:spacing w:line="360" w:lineRule="auto"/>
        <w:rPr>
          <w:b/>
          <w:bCs/>
          <w:sz w:val="24"/>
        </w:rPr>
      </w:pPr>
      <w:r>
        <w:rPr>
          <w:rFonts w:hint="eastAsia"/>
          <w:b/>
          <w:bCs/>
          <w:sz w:val="24"/>
        </w:rPr>
        <w:t>第十三</w:t>
      </w:r>
      <w:r>
        <w:rPr>
          <w:rFonts w:hint="eastAsia"/>
          <w:b/>
          <w:sz w:val="24"/>
        </w:rPr>
        <w:t>条</w:t>
      </w:r>
    </w:p>
    <w:p>
      <w:pPr>
        <w:spacing w:line="360" w:lineRule="auto"/>
        <w:ind w:firstLine="480"/>
        <w:rPr>
          <w:sz w:val="24"/>
        </w:rPr>
      </w:pPr>
      <w:r>
        <w:rPr>
          <w:rFonts w:hint="eastAsia"/>
          <w:sz w:val="24"/>
        </w:rPr>
        <w:t>市、县（区）人民政府编制国土空间规划和旅游发展规划，实施土地、房屋征收涉及革命遗址遗迹的，有关部门应当按照保护级别征求同级文化旅游部门或者退役军人事务部门的意见。</w:t>
      </w:r>
    </w:p>
    <w:p>
      <w:pPr>
        <w:spacing w:line="360" w:lineRule="auto"/>
        <w:rPr>
          <w:b/>
          <w:bCs/>
          <w:sz w:val="24"/>
        </w:rPr>
      </w:pPr>
      <w:r>
        <w:rPr>
          <w:rFonts w:hint="eastAsia"/>
          <w:b/>
          <w:bCs/>
          <w:sz w:val="24"/>
        </w:rPr>
        <w:t>第十四条</w:t>
      </w:r>
      <w:r>
        <w:rPr>
          <w:b/>
          <w:bCs/>
          <w:sz w:val="24"/>
        </w:rPr>
        <w:t xml:space="preserve"> </w:t>
      </w:r>
    </w:p>
    <w:p>
      <w:pPr>
        <w:spacing w:line="360" w:lineRule="auto"/>
        <w:ind w:firstLine="480"/>
        <w:rPr>
          <w:sz w:val="24"/>
        </w:rPr>
      </w:pPr>
      <w:r>
        <w:rPr>
          <w:rFonts w:hint="eastAsia"/>
          <w:sz w:val="24"/>
        </w:rPr>
        <w:t>列入保护名录的革命遗址遗迹应当实施原址保护，任何单位和个人不得损坏或者擅自迁移、拆除。</w:t>
      </w:r>
    </w:p>
    <w:p>
      <w:pPr>
        <w:spacing w:line="360" w:lineRule="auto"/>
        <w:ind w:firstLine="480"/>
        <w:rPr>
          <w:sz w:val="24"/>
        </w:rPr>
      </w:pPr>
      <w:r>
        <w:rPr>
          <w:rFonts w:hint="eastAsia"/>
          <w:sz w:val="24"/>
        </w:rPr>
        <w:t>列入保护名录的尚未公布为文物的革命遗址遗迹，因特殊情况进行建设活动而无法实施原址保护需要迁移的，建设单位制定迁移异地保护方案，需经文旅部门或军人事务部门同意。</w:t>
      </w:r>
    </w:p>
    <w:p>
      <w:pPr>
        <w:spacing w:line="360" w:lineRule="auto"/>
        <w:ind w:firstLine="480"/>
        <w:rPr>
          <w:sz w:val="24"/>
        </w:rPr>
      </w:pPr>
      <w:r>
        <w:rPr>
          <w:rFonts w:hint="eastAsia"/>
          <w:sz w:val="24"/>
        </w:rPr>
        <w:t>重要事件和重大战斗遗址、遗迹，具有重要影响的烈士事迹发生地等不得异地迁建。</w:t>
      </w:r>
    </w:p>
    <w:p>
      <w:pPr>
        <w:spacing w:line="360" w:lineRule="auto"/>
        <w:rPr>
          <w:b/>
          <w:bCs/>
          <w:sz w:val="24"/>
        </w:rPr>
      </w:pPr>
      <w:r>
        <w:rPr>
          <w:rFonts w:hint="eastAsia"/>
          <w:b/>
          <w:bCs/>
          <w:sz w:val="24"/>
        </w:rPr>
        <w:t>第十五条</w:t>
      </w:r>
      <w:r>
        <w:rPr>
          <w:b/>
          <w:bCs/>
          <w:sz w:val="24"/>
        </w:rPr>
        <w:t xml:space="preserve"> </w:t>
      </w:r>
    </w:p>
    <w:p>
      <w:pPr>
        <w:spacing w:line="360" w:lineRule="auto"/>
        <w:ind w:firstLine="480"/>
        <w:rPr>
          <w:sz w:val="24"/>
        </w:rPr>
      </w:pPr>
      <w:r>
        <w:rPr>
          <w:rFonts w:hint="eastAsia"/>
          <w:sz w:val="24"/>
        </w:rPr>
        <w:t>在列入保护名录的尚未核定为文物保护单位的革命遗址遗迹保护范围内，禁止进行其他建设工程或者爆破、钻探、挖掘等作业。但是，因特殊情况需要进行上述作业的，必须保证革命遗址安全，县级人民政府相关主管部门在批准前应当征求同级人民政府文旅部门或军人事务部门意见。</w:t>
      </w:r>
    </w:p>
    <w:p>
      <w:pPr>
        <w:spacing w:line="360" w:lineRule="auto"/>
        <w:ind w:firstLine="480" w:firstLineChars="200"/>
        <w:rPr>
          <w:sz w:val="24"/>
        </w:rPr>
      </w:pPr>
      <w:r>
        <w:rPr>
          <w:rFonts w:hint="eastAsia"/>
          <w:sz w:val="24"/>
        </w:rPr>
        <w:t>在列入保护名录的尚未核定为文物的革命遗址遗迹建设控制地带内进行工程建设的，不得破坏革命遗址的历史风貌，工程设计方案批准前应当征求县级人民政府文旅部门或军人事务部门意见。</w:t>
      </w:r>
    </w:p>
    <w:p>
      <w:pPr>
        <w:spacing w:line="360" w:lineRule="auto"/>
        <w:rPr>
          <w:b/>
          <w:bCs/>
          <w:sz w:val="24"/>
        </w:rPr>
      </w:pPr>
      <w:r>
        <w:rPr>
          <w:rFonts w:hint="eastAsia"/>
          <w:b/>
          <w:bCs/>
          <w:sz w:val="24"/>
        </w:rPr>
        <w:t>第十六条</w:t>
      </w:r>
    </w:p>
    <w:p>
      <w:pPr>
        <w:spacing w:line="360" w:lineRule="auto"/>
        <w:ind w:firstLine="480"/>
        <w:rPr>
          <w:sz w:val="24"/>
        </w:rPr>
      </w:pPr>
      <w:r>
        <w:rPr>
          <w:rFonts w:hint="eastAsia"/>
          <w:sz w:val="24"/>
        </w:rPr>
        <w:t>在列入保护名录的革命遗址遗迹建设控制地带内，禁止从事下列行为：</w:t>
      </w:r>
    </w:p>
    <w:p>
      <w:pPr>
        <w:numPr>
          <w:ilvl w:val="0"/>
          <w:numId w:val="3"/>
        </w:numPr>
        <w:spacing w:line="360" w:lineRule="auto"/>
        <w:ind w:firstLine="480"/>
        <w:rPr>
          <w:sz w:val="24"/>
        </w:rPr>
      </w:pPr>
      <w:r>
        <w:rPr>
          <w:rFonts w:hint="eastAsia"/>
          <w:sz w:val="24"/>
        </w:rPr>
        <w:t>建设污染革命遗址遗迹及其环境的设施；</w:t>
      </w:r>
    </w:p>
    <w:p>
      <w:pPr>
        <w:numPr>
          <w:ilvl w:val="0"/>
          <w:numId w:val="3"/>
        </w:numPr>
        <w:spacing w:line="360" w:lineRule="auto"/>
        <w:ind w:firstLine="480"/>
        <w:rPr>
          <w:sz w:val="24"/>
        </w:rPr>
      </w:pPr>
      <w:r>
        <w:rPr>
          <w:rFonts w:hint="eastAsia"/>
          <w:sz w:val="24"/>
        </w:rPr>
        <w:t>存放易燃、易爆、易腐蚀等危及革命遗址遗迹的物品；</w:t>
      </w:r>
    </w:p>
    <w:p>
      <w:pPr>
        <w:numPr>
          <w:ilvl w:val="0"/>
          <w:numId w:val="0"/>
        </w:numPr>
        <w:spacing w:line="360" w:lineRule="auto"/>
        <w:ind w:firstLine="480" w:firstLineChars="200"/>
        <w:rPr>
          <w:b/>
          <w:bCs/>
          <w:sz w:val="24"/>
        </w:rPr>
      </w:pPr>
      <w:r>
        <w:rPr>
          <w:rFonts w:hint="eastAsia"/>
          <w:sz w:val="24"/>
          <w:lang w:eastAsia="zh-CN"/>
        </w:rPr>
        <w:t>（</w:t>
      </w:r>
      <w:r>
        <w:rPr>
          <w:rFonts w:hint="eastAsia"/>
          <w:sz w:val="24"/>
          <w:lang w:val="en-US" w:eastAsia="zh-CN"/>
        </w:rPr>
        <w:t>三</w:t>
      </w:r>
      <w:r>
        <w:rPr>
          <w:rFonts w:hint="eastAsia"/>
          <w:sz w:val="24"/>
          <w:lang w:eastAsia="zh-CN"/>
        </w:rPr>
        <w:t>）</w:t>
      </w:r>
      <w:r>
        <w:rPr>
          <w:rFonts w:hint="eastAsia"/>
          <w:sz w:val="24"/>
        </w:rPr>
        <w:t>其他可能影响革命遗址遗迹安全及其环境的活动。</w:t>
      </w:r>
    </w:p>
    <w:p>
      <w:pPr>
        <w:spacing w:line="360" w:lineRule="auto"/>
        <w:rPr>
          <w:b/>
          <w:bCs/>
          <w:sz w:val="24"/>
        </w:rPr>
      </w:pPr>
      <w:r>
        <w:rPr>
          <w:rFonts w:hint="eastAsia"/>
          <w:b/>
          <w:bCs/>
          <w:sz w:val="24"/>
        </w:rPr>
        <w:t>第十七条</w:t>
      </w:r>
    </w:p>
    <w:p>
      <w:pPr>
        <w:spacing w:line="360" w:lineRule="auto"/>
        <w:rPr>
          <w:sz w:val="24"/>
        </w:rPr>
      </w:pPr>
      <w:r>
        <w:rPr>
          <w:b/>
          <w:bCs/>
          <w:sz w:val="24"/>
        </w:rPr>
        <w:t xml:space="preserve">    </w:t>
      </w:r>
      <w:r>
        <w:rPr>
          <w:rFonts w:hint="eastAsia"/>
          <w:sz w:val="24"/>
        </w:rPr>
        <w:t>在列入保护名录的革命遗址遗迹保护范围内，除禁止从事第十六条所列行为外，还禁止从事下列行为：</w:t>
      </w:r>
    </w:p>
    <w:p>
      <w:pPr>
        <w:numPr>
          <w:ilvl w:val="0"/>
          <w:numId w:val="4"/>
        </w:numPr>
        <w:spacing w:line="360" w:lineRule="auto"/>
        <w:rPr>
          <w:sz w:val="24"/>
        </w:rPr>
      </w:pPr>
      <w:r>
        <w:rPr>
          <w:rFonts w:hint="eastAsia"/>
          <w:sz w:val="24"/>
        </w:rPr>
        <w:t>刻划、涂污、损坏革命遗址遗迹；</w:t>
      </w:r>
    </w:p>
    <w:p>
      <w:pPr>
        <w:numPr>
          <w:ilvl w:val="0"/>
          <w:numId w:val="4"/>
        </w:numPr>
        <w:spacing w:line="360" w:lineRule="auto"/>
        <w:rPr>
          <w:sz w:val="24"/>
        </w:rPr>
      </w:pPr>
      <w:r>
        <w:rPr>
          <w:rFonts w:hint="eastAsia"/>
          <w:sz w:val="24"/>
        </w:rPr>
        <w:t>刻划、涂污、损毁或者擅自移动、拆除革命遗址遗迹保护标识；</w:t>
      </w:r>
    </w:p>
    <w:p>
      <w:pPr>
        <w:numPr>
          <w:ilvl w:val="0"/>
          <w:numId w:val="4"/>
        </w:numPr>
        <w:spacing w:line="360" w:lineRule="auto"/>
        <w:rPr>
          <w:sz w:val="24"/>
        </w:rPr>
      </w:pPr>
      <w:r>
        <w:rPr>
          <w:rFonts w:hint="eastAsia"/>
          <w:sz w:val="24"/>
        </w:rPr>
        <w:t>损坏革命遗址遗迹保护设施；</w:t>
      </w:r>
    </w:p>
    <w:p>
      <w:pPr>
        <w:numPr>
          <w:ilvl w:val="0"/>
          <w:numId w:val="4"/>
        </w:numPr>
        <w:spacing w:line="360" w:lineRule="auto"/>
        <w:rPr>
          <w:sz w:val="24"/>
        </w:rPr>
      </w:pPr>
      <w:r>
        <w:rPr>
          <w:rFonts w:hint="eastAsia"/>
          <w:sz w:val="24"/>
        </w:rPr>
        <w:t>毁林开荒、开挖沟渠、采石、取土；</w:t>
      </w:r>
    </w:p>
    <w:p>
      <w:pPr>
        <w:numPr>
          <w:ilvl w:val="0"/>
          <w:numId w:val="4"/>
        </w:numPr>
        <w:spacing w:line="360" w:lineRule="auto"/>
        <w:rPr>
          <w:sz w:val="24"/>
        </w:rPr>
      </w:pPr>
      <w:r>
        <w:rPr>
          <w:rFonts w:hint="eastAsia"/>
          <w:sz w:val="24"/>
        </w:rPr>
        <w:t>法律、法规禁止的其他行为。</w:t>
      </w:r>
    </w:p>
    <w:p>
      <w:pPr>
        <w:spacing w:line="360" w:lineRule="auto"/>
        <w:rPr>
          <w:b/>
          <w:bCs/>
          <w:sz w:val="24"/>
        </w:rPr>
      </w:pPr>
      <w:r>
        <w:rPr>
          <w:rFonts w:hint="eastAsia"/>
          <w:b/>
          <w:bCs/>
          <w:sz w:val="24"/>
        </w:rPr>
        <w:t>第十八条</w:t>
      </w:r>
    </w:p>
    <w:p>
      <w:pPr>
        <w:spacing w:line="360" w:lineRule="auto"/>
        <w:ind w:firstLine="480" w:firstLineChars="200"/>
        <w:rPr>
          <w:b/>
          <w:bCs/>
          <w:sz w:val="24"/>
        </w:rPr>
      </w:pPr>
      <w:r>
        <w:rPr>
          <w:rFonts w:hint="eastAsia"/>
          <w:sz w:val="24"/>
        </w:rPr>
        <w:t>列入保护名录的革命遗址遗迹存在坍塌、损毁、灭失等重大风险的，市、县（区）人民政府应当及时开展抢救性保护和修复。</w:t>
      </w:r>
    </w:p>
    <w:p>
      <w:pPr>
        <w:spacing w:line="360" w:lineRule="auto"/>
        <w:ind w:firstLine="480" w:firstLineChars="200"/>
        <w:rPr>
          <w:sz w:val="24"/>
        </w:rPr>
      </w:pPr>
      <w:r>
        <w:rPr>
          <w:rFonts w:hint="eastAsia"/>
          <w:sz w:val="24"/>
        </w:rPr>
        <w:t>对列入保护名录的革命遗址遗迹，国有的由使用人负责修缮、保养；非国有革命遗址遗迹由所有权人负责修缮、保养，非国有革命遗址遗迹有损毁危险，所有人不具备修缮能力的，可以向县（区）人民政府申请修缮资金，县（区）人民政府应当给予资助，或通过产权置换、购买等方式予以保护；对权属不清的革命遗址遗迹，由县（区）人民政府负责修缮、保养。</w:t>
      </w:r>
    </w:p>
    <w:p>
      <w:pPr>
        <w:spacing w:line="360" w:lineRule="auto"/>
        <w:ind w:firstLine="480" w:firstLineChars="200"/>
        <w:rPr>
          <w:sz w:val="24"/>
        </w:rPr>
      </w:pPr>
      <w:r>
        <w:rPr>
          <w:rFonts w:hint="eastAsia"/>
          <w:sz w:val="24"/>
        </w:rPr>
        <w:t>对革命遗址遗迹进行修缮时，应当将修缮方案书面报所在地县（区）文化旅游部门或退役军人事务部门批准。</w:t>
      </w:r>
    </w:p>
    <w:p>
      <w:pPr>
        <w:spacing w:line="360" w:lineRule="auto"/>
        <w:rPr>
          <w:b/>
          <w:bCs/>
          <w:sz w:val="24"/>
        </w:rPr>
      </w:pPr>
      <w:r>
        <w:rPr>
          <w:rFonts w:hint="eastAsia"/>
          <w:b/>
          <w:bCs/>
          <w:sz w:val="24"/>
        </w:rPr>
        <w:t>第十九条</w:t>
      </w:r>
    </w:p>
    <w:p>
      <w:pPr>
        <w:spacing w:line="360" w:lineRule="auto"/>
        <w:ind w:firstLine="480"/>
        <w:rPr>
          <w:sz w:val="24"/>
        </w:rPr>
      </w:pPr>
      <w:r>
        <w:rPr>
          <w:rFonts w:hint="eastAsia"/>
          <w:sz w:val="24"/>
        </w:rPr>
        <w:t>市、县（区）人民政府应当设立革命遗址遗迹保护专项资金。专项资金用于下列支出：</w:t>
      </w:r>
    </w:p>
    <w:p>
      <w:pPr>
        <w:numPr>
          <w:ilvl w:val="0"/>
          <w:numId w:val="5"/>
        </w:numPr>
        <w:spacing w:line="360" w:lineRule="auto"/>
        <w:ind w:firstLine="480"/>
        <w:rPr>
          <w:sz w:val="24"/>
        </w:rPr>
      </w:pPr>
      <w:r>
        <w:rPr>
          <w:rFonts w:hint="eastAsia"/>
          <w:sz w:val="24"/>
        </w:rPr>
        <w:t>革命遗址遗迹的修缮、保养和环境整治；</w:t>
      </w:r>
    </w:p>
    <w:p>
      <w:pPr>
        <w:numPr>
          <w:ilvl w:val="0"/>
          <w:numId w:val="5"/>
        </w:numPr>
        <w:spacing w:line="360" w:lineRule="auto"/>
        <w:ind w:firstLine="480"/>
        <w:rPr>
          <w:sz w:val="24"/>
        </w:rPr>
      </w:pPr>
      <w:r>
        <w:rPr>
          <w:rFonts w:hint="eastAsia"/>
          <w:sz w:val="24"/>
        </w:rPr>
        <w:t>革命遗址遗迹的布展及征收、征用和征集；</w:t>
      </w:r>
    </w:p>
    <w:p>
      <w:pPr>
        <w:numPr>
          <w:ilvl w:val="0"/>
          <w:numId w:val="5"/>
        </w:numPr>
        <w:spacing w:line="360" w:lineRule="auto"/>
        <w:ind w:firstLine="480"/>
        <w:rPr>
          <w:sz w:val="24"/>
        </w:rPr>
      </w:pPr>
      <w:r>
        <w:rPr>
          <w:rFonts w:hint="eastAsia"/>
          <w:sz w:val="24"/>
        </w:rPr>
        <w:t>革命遗址遗迹安防、消防和防雷设施建设；</w:t>
      </w:r>
    </w:p>
    <w:p>
      <w:pPr>
        <w:numPr>
          <w:ilvl w:val="0"/>
          <w:numId w:val="5"/>
        </w:numPr>
        <w:spacing w:line="360" w:lineRule="auto"/>
        <w:ind w:firstLine="480"/>
        <w:rPr>
          <w:sz w:val="24"/>
        </w:rPr>
      </w:pPr>
      <w:r>
        <w:rPr>
          <w:rFonts w:hint="eastAsia"/>
          <w:sz w:val="24"/>
        </w:rPr>
        <w:t>革命遗址遗迹保护规划编制和项目申报；</w:t>
      </w:r>
    </w:p>
    <w:p>
      <w:pPr>
        <w:numPr>
          <w:ilvl w:val="0"/>
          <w:numId w:val="5"/>
        </w:numPr>
        <w:spacing w:line="360" w:lineRule="auto"/>
        <w:ind w:firstLine="480"/>
        <w:rPr>
          <w:sz w:val="24"/>
        </w:rPr>
      </w:pPr>
      <w:r>
        <w:rPr>
          <w:rFonts w:hint="eastAsia"/>
          <w:sz w:val="24"/>
        </w:rPr>
        <w:t>聘请革命遗址遗迹保护管理人员的补助；</w:t>
      </w:r>
    </w:p>
    <w:p>
      <w:pPr>
        <w:numPr>
          <w:ilvl w:val="0"/>
          <w:numId w:val="5"/>
        </w:numPr>
        <w:spacing w:line="360" w:lineRule="auto"/>
        <w:ind w:firstLine="480"/>
        <w:rPr>
          <w:sz w:val="24"/>
        </w:rPr>
      </w:pPr>
      <w:r>
        <w:rPr>
          <w:rFonts w:hint="eastAsia"/>
          <w:sz w:val="24"/>
        </w:rPr>
        <w:t>其他支出。</w:t>
      </w:r>
    </w:p>
    <w:p>
      <w:pPr>
        <w:spacing w:line="360" w:lineRule="auto"/>
        <w:rPr>
          <w:b/>
          <w:bCs/>
          <w:sz w:val="24"/>
        </w:rPr>
      </w:pPr>
      <w:r>
        <w:rPr>
          <w:rFonts w:hint="eastAsia"/>
          <w:b/>
          <w:bCs/>
          <w:sz w:val="24"/>
        </w:rPr>
        <w:t>第二十条</w:t>
      </w:r>
    </w:p>
    <w:p>
      <w:pPr>
        <w:spacing w:line="360" w:lineRule="auto"/>
        <w:ind w:firstLine="480"/>
        <w:rPr>
          <w:sz w:val="24"/>
        </w:rPr>
      </w:pPr>
      <w:r>
        <w:rPr>
          <w:rFonts w:hint="eastAsia"/>
          <w:sz w:val="24"/>
        </w:rPr>
        <w:t>革命遗址遗迹实行保护责任人制度，并按照下列规定确定保护责任人：</w:t>
      </w:r>
    </w:p>
    <w:p>
      <w:pPr>
        <w:numPr>
          <w:ilvl w:val="0"/>
          <w:numId w:val="6"/>
        </w:numPr>
        <w:spacing w:line="360" w:lineRule="auto"/>
        <w:ind w:firstLine="480"/>
        <w:rPr>
          <w:sz w:val="24"/>
        </w:rPr>
      </w:pPr>
      <w:r>
        <w:rPr>
          <w:rFonts w:hint="eastAsia"/>
          <w:sz w:val="24"/>
        </w:rPr>
        <w:t>国家所有的，其使用人或管理人为保护责任人；</w:t>
      </w:r>
    </w:p>
    <w:p>
      <w:pPr>
        <w:numPr>
          <w:ilvl w:val="0"/>
          <w:numId w:val="6"/>
        </w:numPr>
        <w:spacing w:line="360" w:lineRule="auto"/>
        <w:ind w:firstLine="480"/>
        <w:rPr>
          <w:sz w:val="24"/>
        </w:rPr>
      </w:pPr>
      <w:r>
        <w:rPr>
          <w:rFonts w:hint="eastAsia"/>
          <w:sz w:val="24"/>
        </w:rPr>
        <w:t>集体所有的，该集体组织为保护责任人；</w:t>
      </w:r>
    </w:p>
    <w:p>
      <w:pPr>
        <w:numPr>
          <w:ilvl w:val="0"/>
          <w:numId w:val="6"/>
        </w:numPr>
        <w:spacing w:line="360" w:lineRule="auto"/>
        <w:ind w:firstLine="480"/>
        <w:rPr>
          <w:sz w:val="24"/>
        </w:rPr>
      </w:pPr>
      <w:r>
        <w:rPr>
          <w:rFonts w:hint="eastAsia"/>
          <w:sz w:val="24"/>
        </w:rPr>
        <w:t>个人所有的，其所有人或使用人为保护责任人；</w:t>
      </w:r>
    </w:p>
    <w:p>
      <w:pPr>
        <w:numPr>
          <w:ilvl w:val="0"/>
          <w:numId w:val="6"/>
        </w:numPr>
        <w:spacing w:line="360" w:lineRule="auto"/>
        <w:ind w:firstLine="480"/>
        <w:rPr>
          <w:sz w:val="24"/>
        </w:rPr>
      </w:pPr>
      <w:r>
        <w:rPr>
          <w:rFonts w:hint="eastAsia"/>
          <w:sz w:val="24"/>
        </w:rPr>
        <w:t>权属不明确的，所在地乡（镇）人民政府、街道办事处为保护责任人。</w:t>
      </w:r>
    </w:p>
    <w:p>
      <w:pPr>
        <w:spacing w:line="360" w:lineRule="auto"/>
        <w:rPr>
          <w:b/>
          <w:bCs/>
          <w:sz w:val="24"/>
        </w:rPr>
      </w:pPr>
      <w:r>
        <w:rPr>
          <w:rFonts w:hint="eastAsia"/>
          <w:b/>
          <w:bCs/>
          <w:sz w:val="24"/>
        </w:rPr>
        <w:t>第二十一条</w:t>
      </w:r>
    </w:p>
    <w:p>
      <w:pPr>
        <w:spacing w:line="360" w:lineRule="auto"/>
        <w:rPr>
          <w:sz w:val="24"/>
        </w:rPr>
      </w:pPr>
      <w:r>
        <w:rPr>
          <w:sz w:val="24"/>
        </w:rPr>
        <w:t xml:space="preserve">    </w:t>
      </w:r>
      <w:r>
        <w:rPr>
          <w:rFonts w:hint="eastAsia"/>
          <w:sz w:val="24"/>
        </w:rPr>
        <w:t>保护责任人有权依法合理使用革命遗址遗迹，享有获得指导、帮助、资助、培训等权利。保护责任人履行下列职责：</w:t>
      </w:r>
    </w:p>
    <w:p>
      <w:pPr>
        <w:spacing w:line="360" w:lineRule="auto"/>
        <w:ind w:firstLine="480" w:firstLineChars="200"/>
        <w:rPr>
          <w:sz w:val="24"/>
        </w:rPr>
      </w:pPr>
      <w:r>
        <w:rPr>
          <w:rFonts w:hint="eastAsia"/>
          <w:sz w:val="24"/>
        </w:rPr>
        <w:t>（一）学习宣传文物、革命英烈、革命遗址保护有关法律、法规；</w:t>
      </w:r>
    </w:p>
    <w:p>
      <w:pPr>
        <w:spacing w:line="360" w:lineRule="auto"/>
        <w:ind w:firstLine="480" w:firstLineChars="200"/>
        <w:rPr>
          <w:sz w:val="24"/>
        </w:rPr>
      </w:pPr>
      <w:r>
        <w:rPr>
          <w:rFonts w:hint="eastAsia"/>
          <w:sz w:val="24"/>
        </w:rPr>
        <w:t>（二）进行日常管理与维护；</w:t>
      </w:r>
    </w:p>
    <w:p>
      <w:pPr>
        <w:spacing w:line="360" w:lineRule="auto"/>
        <w:ind w:firstLine="480" w:firstLineChars="200"/>
        <w:rPr>
          <w:sz w:val="24"/>
        </w:rPr>
      </w:pPr>
      <w:r>
        <w:rPr>
          <w:rFonts w:hint="eastAsia"/>
          <w:sz w:val="24"/>
        </w:rPr>
        <w:t>（三）采取防火、防盗、防涝、防坍塌等安全措施，发现重大安全隐患，立即向有关部门报告并采取相应抢救保护措施；</w:t>
      </w:r>
    </w:p>
    <w:p>
      <w:pPr>
        <w:spacing w:line="360" w:lineRule="auto"/>
        <w:ind w:firstLine="480" w:firstLineChars="200"/>
        <w:rPr>
          <w:sz w:val="24"/>
        </w:rPr>
      </w:pPr>
      <w:r>
        <w:rPr>
          <w:rFonts w:hint="eastAsia"/>
          <w:sz w:val="24"/>
        </w:rPr>
        <w:t>（四）配合有关部门进行日常监测、监督检查等工作；</w:t>
      </w:r>
    </w:p>
    <w:p>
      <w:pPr>
        <w:spacing w:line="360" w:lineRule="auto"/>
        <w:ind w:firstLine="480" w:firstLineChars="200"/>
        <w:rPr>
          <w:sz w:val="24"/>
        </w:rPr>
      </w:pPr>
      <w:r>
        <w:rPr>
          <w:rFonts w:hint="eastAsia"/>
          <w:sz w:val="24"/>
        </w:rPr>
        <w:t>（五）法律、法规规定的其他保护责任。</w:t>
      </w:r>
    </w:p>
    <w:p>
      <w:pPr>
        <w:spacing w:line="360" w:lineRule="auto"/>
        <w:rPr>
          <w:b/>
          <w:bCs/>
          <w:sz w:val="24"/>
        </w:rPr>
      </w:pPr>
      <w:r>
        <w:rPr>
          <w:rFonts w:hint="eastAsia"/>
          <w:b/>
          <w:bCs/>
          <w:sz w:val="24"/>
        </w:rPr>
        <w:t>第二十二条</w:t>
      </w:r>
    </w:p>
    <w:p>
      <w:pPr>
        <w:spacing w:line="360" w:lineRule="auto"/>
        <w:rPr>
          <w:sz w:val="24"/>
        </w:rPr>
      </w:pPr>
      <w:r>
        <w:rPr>
          <w:b/>
          <w:bCs/>
          <w:sz w:val="24"/>
        </w:rPr>
        <w:t xml:space="preserve">    </w:t>
      </w:r>
      <w:r>
        <w:rPr>
          <w:rFonts w:hint="eastAsia"/>
          <w:sz w:val="24"/>
        </w:rPr>
        <w:t>县（区）人民政府负责本行政区域内革命遗址遗迹的公共安全防护设施建设，定期组织有关部门对革命遗址遗迹的用水、用电、用气、防火、防盗等管理情况开展检查。</w:t>
      </w:r>
    </w:p>
    <w:p>
      <w:pPr>
        <w:spacing w:line="360" w:lineRule="auto"/>
        <w:ind w:left="2730"/>
        <w:rPr>
          <w:b/>
          <w:bCs/>
          <w:sz w:val="28"/>
          <w:szCs w:val="28"/>
        </w:rPr>
      </w:pPr>
      <w:r>
        <w:rPr>
          <w:rFonts w:hint="eastAsia"/>
          <w:b/>
          <w:bCs/>
          <w:sz w:val="28"/>
          <w:szCs w:val="28"/>
        </w:rPr>
        <w:t>第四章</w:t>
      </w:r>
      <w:r>
        <w:rPr>
          <w:b/>
          <w:bCs/>
          <w:sz w:val="28"/>
          <w:szCs w:val="28"/>
        </w:rPr>
        <w:t xml:space="preserve"> </w:t>
      </w:r>
      <w:r>
        <w:rPr>
          <w:rFonts w:hint="eastAsia"/>
          <w:b/>
          <w:bCs/>
          <w:sz w:val="28"/>
          <w:szCs w:val="28"/>
        </w:rPr>
        <w:t>合理利用</w:t>
      </w:r>
    </w:p>
    <w:p>
      <w:pPr>
        <w:spacing w:line="360" w:lineRule="auto"/>
        <w:rPr>
          <w:b/>
          <w:bCs/>
          <w:sz w:val="24"/>
        </w:rPr>
      </w:pPr>
      <w:r>
        <w:rPr>
          <w:rFonts w:hint="eastAsia"/>
          <w:b/>
          <w:bCs/>
          <w:sz w:val="24"/>
        </w:rPr>
        <w:t>第二十三条</w:t>
      </w:r>
    </w:p>
    <w:p>
      <w:pPr>
        <w:spacing w:line="360" w:lineRule="auto"/>
        <w:ind w:firstLine="480"/>
        <w:rPr>
          <w:sz w:val="24"/>
        </w:rPr>
      </w:pPr>
      <w:r>
        <w:rPr>
          <w:rFonts w:hint="eastAsia"/>
          <w:sz w:val="24"/>
        </w:rPr>
        <w:t>市、县（区）人民政府应当在保证革命遗址遗迹安全和不破坏历史风貌的前提下，整合有条件的革命遗址遗迹资源，与教育培训、新闻传播、乡村振兴和旅游发展相结合，纳入相应发展规划，开展红色文化教育培训，开发、推广具有红色文化特色的旅游产品、旅游路线和旅游服务。</w:t>
      </w:r>
    </w:p>
    <w:p>
      <w:pPr>
        <w:spacing w:line="360" w:lineRule="auto"/>
        <w:rPr>
          <w:b/>
          <w:bCs/>
          <w:sz w:val="24"/>
        </w:rPr>
      </w:pPr>
      <w:r>
        <w:rPr>
          <w:rFonts w:hint="eastAsia"/>
          <w:b/>
          <w:bCs/>
          <w:sz w:val="24"/>
        </w:rPr>
        <w:t>第二十四条</w:t>
      </w:r>
    </w:p>
    <w:p>
      <w:pPr>
        <w:spacing w:line="360" w:lineRule="auto"/>
        <w:ind w:firstLine="480"/>
        <w:rPr>
          <w:sz w:val="24"/>
        </w:rPr>
      </w:pPr>
      <w:r>
        <w:rPr>
          <w:rFonts w:hint="eastAsia"/>
          <w:sz w:val="24"/>
        </w:rPr>
        <w:t>市、县（区）人民政府应当加强革命遗址遗迹理论和应用研究，组织开展相关革命史料的收集、研究、编纂和宣传工作，挖掘、展示革命遗址遗迹所承载的革命文化和历史价值，传承红色基因、弘扬革命精神，培育和践行社会主义核心价值观。</w:t>
      </w:r>
    </w:p>
    <w:p>
      <w:pPr>
        <w:spacing w:line="360" w:lineRule="auto"/>
        <w:ind w:firstLine="480"/>
        <w:rPr>
          <w:sz w:val="24"/>
        </w:rPr>
      </w:pPr>
      <w:r>
        <w:rPr>
          <w:rFonts w:hint="eastAsia"/>
          <w:sz w:val="24"/>
        </w:rPr>
        <w:t>鼓励学术研究机构以及社会组织和个人对革命遗址遗迹及其所承载的革命文化开展学术研究，进行文艺创作和交流传播。</w:t>
      </w:r>
    </w:p>
    <w:p>
      <w:pPr>
        <w:spacing w:line="360" w:lineRule="auto"/>
        <w:ind w:firstLine="480"/>
        <w:rPr>
          <w:sz w:val="24"/>
        </w:rPr>
      </w:pPr>
      <w:r>
        <w:rPr>
          <w:rFonts w:hint="eastAsia"/>
          <w:sz w:val="24"/>
        </w:rPr>
        <w:t>革命遗址遗迹展览展示的内容、史料以及讲解词应当报同级宣传部门、史志研究部门审核。</w:t>
      </w:r>
    </w:p>
    <w:p>
      <w:pPr>
        <w:spacing w:line="360" w:lineRule="auto"/>
        <w:rPr>
          <w:b/>
          <w:bCs/>
          <w:sz w:val="24"/>
        </w:rPr>
      </w:pPr>
      <w:r>
        <w:rPr>
          <w:rFonts w:hint="eastAsia"/>
          <w:b/>
          <w:bCs/>
          <w:sz w:val="24"/>
        </w:rPr>
        <w:t>第二十五条</w:t>
      </w:r>
    </w:p>
    <w:p>
      <w:pPr>
        <w:spacing w:line="360" w:lineRule="auto"/>
        <w:ind w:firstLine="480" w:firstLineChars="200"/>
        <w:rPr>
          <w:sz w:val="24"/>
        </w:rPr>
      </w:pPr>
      <w:r>
        <w:rPr>
          <w:rFonts w:hint="eastAsia"/>
          <w:sz w:val="24"/>
        </w:rPr>
        <w:t>广播、电视、报刊、网站等媒体应当坚持正确舆论导向，通过新闻报道、开设专栏、发布公益广告等形式，弘扬红色革命精神，并创新传播方式，扩展新媒体传播渠道。</w:t>
      </w:r>
    </w:p>
    <w:p>
      <w:pPr>
        <w:spacing w:line="360" w:lineRule="auto"/>
        <w:ind w:firstLine="480" w:firstLineChars="200"/>
        <w:rPr>
          <w:sz w:val="24"/>
        </w:rPr>
      </w:pPr>
      <w:r>
        <w:rPr>
          <w:rFonts w:hint="eastAsia"/>
          <w:sz w:val="24"/>
        </w:rPr>
        <w:t>宣传、文化旅游、教育等部门应当支持以革命遗址遗迹为依托的文艺作品创作和传播，通过文艺精品创作扶持等机制，加大扶持力度。</w:t>
      </w:r>
    </w:p>
    <w:p>
      <w:pPr>
        <w:spacing w:line="360" w:lineRule="auto"/>
        <w:ind w:firstLine="480"/>
        <w:rPr>
          <w:sz w:val="24"/>
        </w:rPr>
      </w:pPr>
      <w:r>
        <w:rPr>
          <w:rFonts w:hint="eastAsia"/>
          <w:sz w:val="24"/>
        </w:rPr>
        <w:t>具备开放条件的革命遗址遗迹，应当按照国家有关规定，免费向社会公众开放。</w:t>
      </w:r>
    </w:p>
    <w:p>
      <w:pPr>
        <w:spacing w:line="360" w:lineRule="auto"/>
        <w:rPr>
          <w:b/>
          <w:bCs/>
          <w:sz w:val="24"/>
        </w:rPr>
      </w:pPr>
      <w:r>
        <w:rPr>
          <w:rFonts w:hint="eastAsia"/>
          <w:b/>
          <w:bCs/>
          <w:sz w:val="24"/>
        </w:rPr>
        <w:t>第二十六条</w:t>
      </w:r>
    </w:p>
    <w:p>
      <w:pPr>
        <w:spacing w:line="360" w:lineRule="auto"/>
        <w:rPr>
          <w:sz w:val="24"/>
        </w:rPr>
      </w:pPr>
      <w:r>
        <w:rPr>
          <w:b/>
          <w:bCs/>
          <w:sz w:val="24"/>
        </w:rPr>
        <w:t xml:space="preserve">  </w:t>
      </w:r>
      <w:r>
        <w:rPr>
          <w:sz w:val="24"/>
        </w:rPr>
        <w:t xml:space="preserve">  </w:t>
      </w:r>
      <w:r>
        <w:rPr>
          <w:rFonts w:hint="eastAsia"/>
          <w:sz w:val="24"/>
        </w:rPr>
        <w:t>鼓励依托革命遗址遗迹创建爱国主义教育、党史教育、廉政教育、国防教育、青少年社会实践等基地，配备教育管理团队，发挥革命遗址遗迹的社会教育功能。</w:t>
      </w:r>
    </w:p>
    <w:p>
      <w:pPr>
        <w:spacing w:line="360" w:lineRule="auto"/>
        <w:rPr>
          <w:sz w:val="24"/>
        </w:rPr>
      </w:pPr>
      <w:r>
        <w:rPr>
          <w:sz w:val="24"/>
        </w:rPr>
        <w:t xml:space="preserve">    </w:t>
      </w:r>
      <w:r>
        <w:rPr>
          <w:rFonts w:hint="eastAsia"/>
          <w:sz w:val="24"/>
        </w:rPr>
        <w:t>鼓励革命遗址遗迹管理单位与国家机关、社会团体、企业事业单位和其他组织建立共建共享机制，为开展理想信念教育、公民传统教育和爱国主义教育等活动提供便利。</w:t>
      </w:r>
    </w:p>
    <w:p>
      <w:pPr>
        <w:spacing w:line="360" w:lineRule="auto"/>
        <w:rPr>
          <w:b/>
          <w:bCs/>
          <w:sz w:val="24"/>
        </w:rPr>
      </w:pPr>
      <w:r>
        <w:rPr>
          <w:rFonts w:hint="eastAsia"/>
          <w:b/>
          <w:bCs/>
          <w:sz w:val="24"/>
        </w:rPr>
        <w:t>第二十七条</w:t>
      </w:r>
    </w:p>
    <w:p>
      <w:pPr>
        <w:spacing w:line="360" w:lineRule="auto"/>
        <w:ind w:firstLine="480"/>
        <w:rPr>
          <w:sz w:val="24"/>
        </w:rPr>
      </w:pPr>
      <w:r>
        <w:rPr>
          <w:rFonts w:hint="eastAsia"/>
          <w:sz w:val="24"/>
        </w:rPr>
        <w:t>文化旅游部门应当指导开发革命遗址遗迹旅游线路，培育红色旅游品牌，深化红色旅游区域合作，提升红色旅游与乡村旅游、研学旅游等业态融合发展。</w:t>
      </w:r>
    </w:p>
    <w:p>
      <w:pPr>
        <w:spacing w:line="360" w:lineRule="auto"/>
        <w:ind w:firstLine="480" w:firstLineChars="200"/>
        <w:rPr>
          <w:sz w:val="24"/>
        </w:rPr>
      </w:pPr>
      <w:r>
        <w:rPr>
          <w:rFonts w:hint="eastAsia"/>
          <w:sz w:val="24"/>
        </w:rPr>
        <w:t>鼓励、支持单位和个人参与革命遗址遗迹旅游开发，合理利用革命遗址遗迹资源，提升红色旅游内涵和影响力。</w:t>
      </w:r>
    </w:p>
    <w:p>
      <w:pPr>
        <w:spacing w:line="360" w:lineRule="auto"/>
        <w:jc w:val="center"/>
        <w:rPr>
          <w:b/>
          <w:bCs/>
          <w:sz w:val="28"/>
          <w:szCs w:val="28"/>
        </w:rPr>
      </w:pPr>
      <w:r>
        <w:rPr>
          <w:rFonts w:hint="eastAsia"/>
          <w:b/>
          <w:bCs/>
          <w:sz w:val="28"/>
          <w:szCs w:val="28"/>
        </w:rPr>
        <w:t>第五章</w:t>
      </w:r>
      <w:r>
        <w:rPr>
          <w:b/>
          <w:bCs/>
          <w:sz w:val="28"/>
          <w:szCs w:val="28"/>
        </w:rPr>
        <w:t xml:space="preserve"> </w:t>
      </w:r>
      <w:r>
        <w:rPr>
          <w:rFonts w:hint="eastAsia"/>
          <w:b/>
          <w:bCs/>
          <w:sz w:val="28"/>
          <w:szCs w:val="28"/>
        </w:rPr>
        <w:t>法律责任</w:t>
      </w:r>
    </w:p>
    <w:p>
      <w:pPr>
        <w:spacing w:line="360" w:lineRule="auto"/>
        <w:rPr>
          <w:b/>
          <w:bCs/>
          <w:sz w:val="24"/>
        </w:rPr>
      </w:pPr>
      <w:r>
        <w:rPr>
          <w:rFonts w:hint="eastAsia"/>
          <w:b/>
          <w:bCs/>
          <w:sz w:val="24"/>
        </w:rPr>
        <w:t>第二十八条</w:t>
      </w:r>
    </w:p>
    <w:p>
      <w:pPr>
        <w:spacing w:line="360" w:lineRule="auto"/>
        <w:ind w:firstLine="480" w:firstLineChars="200"/>
        <w:rPr>
          <w:sz w:val="24"/>
        </w:rPr>
      </w:pPr>
      <w:r>
        <w:rPr>
          <w:rFonts w:hint="eastAsia"/>
          <w:sz w:val="24"/>
        </w:rPr>
        <w:t>违反本条例规定的行为，《中华人民共和国文物保护法》《中华人民共和国英雄烈士保护法》等法律、法规已有处理规定的，从其规定。</w:t>
      </w:r>
    </w:p>
    <w:p>
      <w:pPr>
        <w:spacing w:line="360" w:lineRule="auto"/>
        <w:rPr>
          <w:b/>
          <w:bCs/>
          <w:sz w:val="24"/>
        </w:rPr>
      </w:pPr>
      <w:r>
        <w:rPr>
          <w:rFonts w:hint="eastAsia"/>
          <w:b/>
          <w:bCs/>
          <w:sz w:val="24"/>
        </w:rPr>
        <w:t>第二十九条</w:t>
      </w:r>
    </w:p>
    <w:p>
      <w:pPr>
        <w:spacing w:line="360" w:lineRule="auto"/>
        <w:ind w:firstLine="480"/>
        <w:rPr>
          <w:sz w:val="24"/>
        </w:rPr>
      </w:pPr>
      <w:r>
        <w:rPr>
          <w:rFonts w:hint="eastAsia"/>
          <w:sz w:val="24"/>
        </w:rPr>
        <w:t>违反本条例规定，有下列行为之一，破坏保护名录内的革命遗址遗迹的，由市、县（区）人民政府退役军人事务部门责令改正，处五千元以上二万元以下的罚款；造成严重后果的，处五万元以上十万元以下罚款：</w:t>
      </w:r>
    </w:p>
    <w:p>
      <w:pPr>
        <w:numPr>
          <w:ilvl w:val="0"/>
          <w:numId w:val="7"/>
        </w:numPr>
        <w:spacing w:line="360" w:lineRule="auto"/>
        <w:ind w:firstLine="480"/>
        <w:rPr>
          <w:sz w:val="24"/>
        </w:rPr>
      </w:pPr>
      <w:r>
        <w:rPr>
          <w:rFonts w:hint="eastAsia"/>
          <w:sz w:val="24"/>
        </w:rPr>
        <w:t>擅自迁移、拆除或者损坏尚未公布为文物的革命遗址遗迹；</w:t>
      </w:r>
    </w:p>
    <w:p>
      <w:pPr>
        <w:numPr>
          <w:ilvl w:val="0"/>
          <w:numId w:val="7"/>
        </w:numPr>
        <w:spacing w:line="360" w:lineRule="auto"/>
        <w:ind w:firstLine="480"/>
        <w:rPr>
          <w:sz w:val="24"/>
        </w:rPr>
      </w:pPr>
      <w:r>
        <w:rPr>
          <w:rFonts w:hint="eastAsia"/>
          <w:sz w:val="24"/>
        </w:rPr>
        <w:t>擅自修缮尚未公布为文物的革命遗址遗迹，明显改变原状的；</w:t>
      </w:r>
    </w:p>
    <w:p>
      <w:pPr>
        <w:numPr>
          <w:ilvl w:val="0"/>
          <w:numId w:val="7"/>
        </w:numPr>
        <w:spacing w:line="360" w:lineRule="auto"/>
        <w:ind w:firstLine="480"/>
        <w:rPr>
          <w:sz w:val="24"/>
        </w:rPr>
      </w:pPr>
      <w:r>
        <w:rPr>
          <w:rFonts w:hint="eastAsia"/>
          <w:sz w:val="24"/>
        </w:rPr>
        <w:t>擅自在尚未核定为文物保护单位的革命遗址遗迹的保护范围内进行建设工程或者爆破、钻探、挖掘等作业的；</w:t>
      </w:r>
    </w:p>
    <w:p>
      <w:pPr>
        <w:spacing w:line="360" w:lineRule="auto"/>
        <w:ind w:left="-61" w:leftChars="-29" w:firstLine="480" w:firstLineChars="200"/>
        <w:rPr>
          <w:b/>
          <w:bCs/>
          <w:sz w:val="24"/>
        </w:rPr>
      </w:pPr>
      <w:r>
        <w:rPr>
          <w:rFonts w:hint="eastAsia"/>
          <w:sz w:val="24"/>
        </w:rPr>
        <w:t>（四）在尚未核定为文物保护单位的革命遗址遗迹的建设控制地带进行建设工程，其工程设计方案未经批准，对革命遗址遗迹的历史风貌造成破坏的</w:t>
      </w:r>
    </w:p>
    <w:p>
      <w:pPr>
        <w:spacing w:line="360" w:lineRule="auto"/>
        <w:rPr>
          <w:b/>
          <w:bCs/>
          <w:sz w:val="24"/>
        </w:rPr>
      </w:pPr>
      <w:r>
        <w:rPr>
          <w:rFonts w:hint="eastAsia"/>
          <w:b/>
          <w:bCs/>
          <w:sz w:val="24"/>
        </w:rPr>
        <w:t>第三十条</w:t>
      </w:r>
    </w:p>
    <w:p>
      <w:pPr>
        <w:spacing w:line="360" w:lineRule="auto"/>
        <w:ind w:firstLine="480" w:firstLineChars="200"/>
        <w:rPr>
          <w:sz w:val="24"/>
        </w:rPr>
      </w:pPr>
      <w:r>
        <w:rPr>
          <w:rFonts w:hint="eastAsia"/>
          <w:sz w:val="24"/>
        </w:rPr>
        <w:t>违反本条例规定，在革命遗址遗迹保护范围内，有下列行为之一，造成损坏尚不严重，由县（区）人民政府文化旅游部门或者公安机关给予警告或者两百元以下罚款；情节较重的，处两百元以上五百元以下罚款：</w:t>
      </w:r>
    </w:p>
    <w:p>
      <w:pPr>
        <w:numPr>
          <w:ilvl w:val="0"/>
          <w:numId w:val="8"/>
        </w:numPr>
        <w:spacing w:line="360" w:lineRule="auto"/>
        <w:ind w:firstLine="480"/>
        <w:rPr>
          <w:sz w:val="24"/>
        </w:rPr>
      </w:pPr>
      <w:r>
        <w:rPr>
          <w:rFonts w:hint="eastAsia"/>
          <w:sz w:val="24"/>
        </w:rPr>
        <w:t>刻划、涂污、损坏革命遗址遗迹的；</w:t>
      </w:r>
    </w:p>
    <w:p>
      <w:pPr>
        <w:numPr>
          <w:ilvl w:val="0"/>
          <w:numId w:val="8"/>
        </w:numPr>
        <w:spacing w:line="360" w:lineRule="auto"/>
        <w:ind w:firstLine="480"/>
        <w:rPr>
          <w:sz w:val="24"/>
        </w:rPr>
      </w:pPr>
      <w:r>
        <w:rPr>
          <w:rFonts w:hint="eastAsia"/>
          <w:sz w:val="24"/>
        </w:rPr>
        <w:t>刻划、涂污、损毁或者擅自移动、拆除革命遗址遗迹保护标识的；</w:t>
      </w:r>
    </w:p>
    <w:p>
      <w:pPr>
        <w:numPr>
          <w:ilvl w:val="0"/>
          <w:numId w:val="8"/>
        </w:numPr>
        <w:spacing w:line="360" w:lineRule="auto"/>
        <w:ind w:firstLine="480"/>
        <w:rPr>
          <w:sz w:val="24"/>
        </w:rPr>
      </w:pPr>
      <w:r>
        <w:rPr>
          <w:rFonts w:hint="eastAsia"/>
          <w:sz w:val="24"/>
        </w:rPr>
        <w:t>损坏革命遗址遗迹保护设施的；</w:t>
      </w:r>
    </w:p>
    <w:p>
      <w:pPr>
        <w:numPr>
          <w:ilvl w:val="0"/>
          <w:numId w:val="8"/>
        </w:numPr>
        <w:spacing w:line="360" w:lineRule="auto"/>
        <w:ind w:firstLine="480"/>
        <w:rPr>
          <w:sz w:val="24"/>
        </w:rPr>
      </w:pPr>
      <w:r>
        <w:rPr>
          <w:rFonts w:hint="eastAsia"/>
          <w:sz w:val="24"/>
        </w:rPr>
        <w:t>毁林开荒、开挖沟渠、采石、取土的。</w:t>
      </w:r>
    </w:p>
    <w:p>
      <w:pPr>
        <w:spacing w:line="360" w:lineRule="auto"/>
        <w:rPr>
          <w:b/>
          <w:bCs/>
          <w:sz w:val="24"/>
        </w:rPr>
      </w:pPr>
      <w:r>
        <w:rPr>
          <w:rFonts w:hint="eastAsia"/>
          <w:b/>
          <w:bCs/>
          <w:sz w:val="24"/>
        </w:rPr>
        <w:t>第三十一条</w:t>
      </w:r>
    </w:p>
    <w:p>
      <w:pPr>
        <w:spacing w:line="360" w:lineRule="auto"/>
        <w:rPr>
          <w:sz w:val="24"/>
        </w:rPr>
      </w:pPr>
      <w:r>
        <w:rPr>
          <w:b/>
          <w:bCs/>
          <w:sz w:val="24"/>
        </w:rPr>
        <w:t xml:space="preserve">  </w:t>
      </w:r>
      <w:r>
        <w:rPr>
          <w:sz w:val="24"/>
        </w:rPr>
        <w:t xml:space="preserve">  </w:t>
      </w:r>
      <w:r>
        <w:rPr>
          <w:rFonts w:hint="eastAsia"/>
          <w:sz w:val="24"/>
        </w:rPr>
        <w:t>违反本条例规定，在革命遗址遗迹保护范围或者建设控制地带内，建设污染革命遗址遗迹及其环境设施的，由生态环境主管部门依照有关法律、法规的规定给予处罚。</w:t>
      </w:r>
    </w:p>
    <w:p>
      <w:pPr>
        <w:spacing w:line="360" w:lineRule="auto"/>
        <w:ind w:firstLine="480"/>
        <w:rPr>
          <w:sz w:val="24"/>
        </w:rPr>
      </w:pPr>
      <w:r>
        <w:rPr>
          <w:rFonts w:hint="eastAsia"/>
          <w:sz w:val="24"/>
        </w:rPr>
        <w:t>违反本条例规定，在革命遗址遗迹保护范围或者建设控制地带内，存放易燃、易爆、易腐蚀等危及革命遗址遗迹安全的物品，由公安机关依照有关法律、法规的规定给予处罚。</w:t>
      </w:r>
    </w:p>
    <w:p>
      <w:pPr>
        <w:spacing w:line="360" w:lineRule="auto"/>
        <w:rPr>
          <w:sz w:val="24"/>
        </w:rPr>
      </w:pPr>
      <w:r>
        <w:rPr>
          <w:rFonts w:hint="eastAsia"/>
          <w:b/>
          <w:bCs/>
          <w:sz w:val="24"/>
        </w:rPr>
        <w:t>第三十二条</w:t>
      </w:r>
    </w:p>
    <w:p>
      <w:pPr>
        <w:spacing w:line="360" w:lineRule="auto"/>
        <w:ind w:firstLine="480" w:firstLineChars="200"/>
        <w:rPr>
          <w:sz w:val="24"/>
        </w:rPr>
      </w:pPr>
      <w:r>
        <w:rPr>
          <w:rFonts w:hint="eastAsia"/>
          <w:sz w:val="24"/>
        </w:rPr>
        <w:t>国家机关及其工作人员违反本条例规定，有下列行为之一的，对直接负责的主管人员和其他直接责任人员依法给予处分；构成犯罪的，依法追究刑事责任：</w:t>
      </w:r>
    </w:p>
    <w:p>
      <w:pPr>
        <w:spacing w:line="360" w:lineRule="auto"/>
        <w:ind w:firstLine="480"/>
        <w:rPr>
          <w:sz w:val="24"/>
        </w:rPr>
      </w:pPr>
      <w:r>
        <w:rPr>
          <w:rFonts w:hint="eastAsia"/>
          <w:sz w:val="24"/>
        </w:rPr>
        <w:t>违法决策或者滥用审批权限造成列入保护名录的革命遗址遗迹及其历史风貌损毁的；</w:t>
      </w:r>
    </w:p>
    <w:p>
      <w:pPr>
        <w:spacing w:line="360" w:lineRule="auto"/>
        <w:ind w:firstLine="480"/>
        <w:rPr>
          <w:sz w:val="24"/>
        </w:rPr>
      </w:pPr>
      <w:r>
        <w:rPr>
          <w:rFonts w:hint="eastAsia"/>
          <w:sz w:val="24"/>
        </w:rPr>
        <w:t>对发现的违法行为不及时查处或者有其他不依法履行职责行为，造成革命遗址遗迹损坏等严重后果的；</w:t>
      </w:r>
    </w:p>
    <w:p>
      <w:pPr>
        <w:spacing w:line="360" w:lineRule="auto"/>
        <w:ind w:firstLine="480"/>
        <w:rPr>
          <w:sz w:val="24"/>
        </w:rPr>
      </w:pPr>
      <w:r>
        <w:rPr>
          <w:rFonts w:hint="eastAsia"/>
          <w:sz w:val="24"/>
        </w:rPr>
        <w:t>违反法律、行政法规使用革命遗址遗迹保护资金的。</w:t>
      </w:r>
    </w:p>
    <w:p>
      <w:pPr>
        <w:spacing w:line="360" w:lineRule="auto"/>
        <w:ind w:left="2100" w:firstLine="843" w:firstLineChars="300"/>
        <w:rPr>
          <w:b/>
          <w:bCs/>
          <w:sz w:val="28"/>
          <w:szCs w:val="28"/>
        </w:rPr>
      </w:pPr>
      <w:r>
        <w:rPr>
          <w:rFonts w:hint="eastAsia"/>
          <w:b/>
          <w:bCs/>
          <w:sz w:val="28"/>
          <w:szCs w:val="28"/>
        </w:rPr>
        <w:t>第六章</w:t>
      </w:r>
      <w:r>
        <w:rPr>
          <w:b/>
          <w:bCs/>
          <w:sz w:val="28"/>
          <w:szCs w:val="28"/>
        </w:rPr>
        <w:t xml:space="preserve"> </w:t>
      </w:r>
      <w:r>
        <w:rPr>
          <w:rFonts w:hint="eastAsia"/>
          <w:b/>
          <w:bCs/>
          <w:sz w:val="28"/>
          <w:szCs w:val="28"/>
        </w:rPr>
        <w:t>附则</w:t>
      </w:r>
    </w:p>
    <w:p>
      <w:pPr>
        <w:spacing w:line="360" w:lineRule="auto"/>
        <w:rPr>
          <w:b/>
          <w:bCs/>
          <w:sz w:val="24"/>
        </w:rPr>
      </w:pPr>
      <w:r>
        <w:rPr>
          <w:rFonts w:hint="eastAsia"/>
          <w:b/>
          <w:bCs/>
          <w:sz w:val="24"/>
        </w:rPr>
        <w:t>第三十三条</w:t>
      </w:r>
    </w:p>
    <w:p>
      <w:pPr>
        <w:spacing w:line="360" w:lineRule="auto"/>
        <w:rPr>
          <w:sz w:val="24"/>
        </w:rPr>
      </w:pPr>
      <w:r>
        <w:rPr>
          <w:b/>
          <w:bCs/>
          <w:sz w:val="24"/>
        </w:rPr>
        <w:t xml:space="preserve">    </w:t>
      </w:r>
      <w:r>
        <w:rPr>
          <w:rFonts w:hint="eastAsia"/>
          <w:sz w:val="24"/>
        </w:rPr>
        <w:t>本条例自</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日起施行。</w:t>
      </w:r>
    </w:p>
    <w:p>
      <w:pPr>
        <w:spacing w:line="360" w:lineRule="auto"/>
        <w:rPr>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华文楷体">
    <w:altName w:val="方正楷体_GBK"/>
    <w:panose1 w:val="02010600040101010101"/>
    <w:charset w:val="00"/>
    <w:family w:val="auto"/>
    <w:pitch w:val="default"/>
    <w:sig w:usb0="00000000" w:usb1="00000000" w:usb2="00000010" w:usb3="00000000" w:csb0="0004009F"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47E420"/>
    <w:multiLevelType w:val="singleLevel"/>
    <w:tmpl w:val="8A47E420"/>
    <w:lvl w:ilvl="0" w:tentative="0">
      <w:start w:val="1"/>
      <w:numFmt w:val="chineseCounting"/>
      <w:suff w:val="nothing"/>
      <w:lvlText w:val="（%1）"/>
      <w:lvlJc w:val="left"/>
      <w:rPr>
        <w:rFonts w:hint="eastAsia" w:cs="Times New Roman"/>
      </w:rPr>
    </w:lvl>
  </w:abstractNum>
  <w:abstractNum w:abstractNumId="1">
    <w:nsid w:val="90E66FB1"/>
    <w:multiLevelType w:val="singleLevel"/>
    <w:tmpl w:val="90E66FB1"/>
    <w:lvl w:ilvl="0" w:tentative="0">
      <w:start w:val="1"/>
      <w:numFmt w:val="chineseCounting"/>
      <w:suff w:val="nothing"/>
      <w:lvlText w:val="（%1）"/>
      <w:lvlJc w:val="left"/>
      <w:pPr>
        <w:ind w:left="360"/>
      </w:pPr>
      <w:rPr>
        <w:rFonts w:hint="eastAsia" w:cs="Times New Roman"/>
      </w:rPr>
    </w:lvl>
  </w:abstractNum>
  <w:abstractNum w:abstractNumId="2">
    <w:nsid w:val="BFB68265"/>
    <w:multiLevelType w:val="singleLevel"/>
    <w:tmpl w:val="BFB68265"/>
    <w:lvl w:ilvl="0" w:tentative="0">
      <w:start w:val="1"/>
      <w:numFmt w:val="chineseCounting"/>
      <w:suff w:val="nothing"/>
      <w:lvlText w:val="（%1）"/>
      <w:lvlJc w:val="left"/>
      <w:pPr>
        <w:ind w:left="-60"/>
      </w:pPr>
      <w:rPr>
        <w:rFonts w:hint="eastAsia" w:cs="Times New Roman"/>
        <w:b w:val="0"/>
        <w:bCs w:val="0"/>
      </w:rPr>
    </w:lvl>
  </w:abstractNum>
  <w:abstractNum w:abstractNumId="3">
    <w:nsid w:val="CD643F2A"/>
    <w:multiLevelType w:val="singleLevel"/>
    <w:tmpl w:val="CD643F2A"/>
    <w:lvl w:ilvl="0" w:tentative="0">
      <w:start w:val="1"/>
      <w:numFmt w:val="chineseCounting"/>
      <w:suff w:val="nothing"/>
      <w:lvlText w:val="（%1）"/>
      <w:lvlJc w:val="left"/>
      <w:rPr>
        <w:rFonts w:hint="eastAsia" w:cs="Times New Roman"/>
      </w:rPr>
    </w:lvl>
  </w:abstractNum>
  <w:abstractNum w:abstractNumId="4">
    <w:nsid w:val="FE685CFC"/>
    <w:multiLevelType w:val="singleLevel"/>
    <w:tmpl w:val="FE685CFC"/>
    <w:lvl w:ilvl="0" w:tentative="0">
      <w:start w:val="1"/>
      <w:numFmt w:val="chineseCounting"/>
      <w:suff w:val="nothing"/>
      <w:lvlText w:val="（%1）"/>
      <w:lvlJc w:val="left"/>
      <w:rPr>
        <w:rFonts w:hint="eastAsia" w:cs="Times New Roman"/>
      </w:rPr>
    </w:lvl>
  </w:abstractNum>
  <w:abstractNum w:abstractNumId="5">
    <w:nsid w:val="13BD4EF2"/>
    <w:multiLevelType w:val="singleLevel"/>
    <w:tmpl w:val="13BD4EF2"/>
    <w:lvl w:ilvl="0" w:tentative="0">
      <w:start w:val="1"/>
      <w:numFmt w:val="chineseCounting"/>
      <w:suff w:val="nothing"/>
      <w:lvlText w:val="（%1）"/>
      <w:lvlJc w:val="left"/>
      <w:rPr>
        <w:rFonts w:hint="eastAsia" w:cs="Times New Roman"/>
      </w:rPr>
    </w:lvl>
  </w:abstractNum>
  <w:abstractNum w:abstractNumId="6">
    <w:nsid w:val="769271D3"/>
    <w:multiLevelType w:val="singleLevel"/>
    <w:tmpl w:val="769271D3"/>
    <w:lvl w:ilvl="0" w:tentative="0">
      <w:start w:val="3"/>
      <w:numFmt w:val="chineseCounting"/>
      <w:suff w:val="space"/>
      <w:lvlText w:val="第%1章"/>
      <w:lvlJc w:val="left"/>
      <w:pPr>
        <w:ind w:left="2250"/>
      </w:pPr>
      <w:rPr>
        <w:rFonts w:hint="eastAsia" w:cs="Times New Roman"/>
      </w:rPr>
    </w:lvl>
  </w:abstractNum>
  <w:abstractNum w:abstractNumId="7">
    <w:nsid w:val="7E53BCD3"/>
    <w:multiLevelType w:val="singleLevel"/>
    <w:tmpl w:val="7E53BCD3"/>
    <w:lvl w:ilvl="0" w:tentative="0">
      <w:start w:val="1"/>
      <w:numFmt w:val="chineseCounting"/>
      <w:suff w:val="space"/>
      <w:lvlText w:val="第%1章"/>
      <w:lvlJc w:val="left"/>
      <w:rPr>
        <w:rFonts w:hint="eastAsia" w:cs="Times New Roman"/>
      </w:rPr>
    </w:lvl>
  </w:abstractNum>
  <w:num w:numId="1">
    <w:abstractNumId w:val="7"/>
  </w:num>
  <w:num w:numId="2">
    <w:abstractNumId w:val="6"/>
  </w:num>
  <w:num w:numId="3">
    <w:abstractNumId w:val="0"/>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4A5917BE"/>
    <w:rsid w:val="00010D36"/>
    <w:rsid w:val="00011E50"/>
    <w:rsid w:val="00051598"/>
    <w:rsid w:val="0005224E"/>
    <w:rsid w:val="00054D3C"/>
    <w:rsid w:val="000816B6"/>
    <w:rsid w:val="000B01A3"/>
    <w:rsid w:val="000B76F8"/>
    <w:rsid w:val="000C55ED"/>
    <w:rsid w:val="00112FCD"/>
    <w:rsid w:val="001137A4"/>
    <w:rsid w:val="0012442B"/>
    <w:rsid w:val="00164A13"/>
    <w:rsid w:val="00220A65"/>
    <w:rsid w:val="00242296"/>
    <w:rsid w:val="002469DF"/>
    <w:rsid w:val="0024790B"/>
    <w:rsid w:val="0025056B"/>
    <w:rsid w:val="0026385D"/>
    <w:rsid w:val="002756E4"/>
    <w:rsid w:val="002B2643"/>
    <w:rsid w:val="002B2D78"/>
    <w:rsid w:val="002D12D7"/>
    <w:rsid w:val="002D4D7B"/>
    <w:rsid w:val="002D634E"/>
    <w:rsid w:val="00303406"/>
    <w:rsid w:val="003144C1"/>
    <w:rsid w:val="0035784C"/>
    <w:rsid w:val="00386503"/>
    <w:rsid w:val="003B2494"/>
    <w:rsid w:val="003C1F7C"/>
    <w:rsid w:val="004062EE"/>
    <w:rsid w:val="00407112"/>
    <w:rsid w:val="004077F9"/>
    <w:rsid w:val="00417042"/>
    <w:rsid w:val="004756BB"/>
    <w:rsid w:val="00495DEA"/>
    <w:rsid w:val="004A0532"/>
    <w:rsid w:val="005238A9"/>
    <w:rsid w:val="005306AE"/>
    <w:rsid w:val="00544447"/>
    <w:rsid w:val="005524ED"/>
    <w:rsid w:val="0056161E"/>
    <w:rsid w:val="0058184F"/>
    <w:rsid w:val="00582A59"/>
    <w:rsid w:val="005D11BA"/>
    <w:rsid w:val="00603EAB"/>
    <w:rsid w:val="00633EE5"/>
    <w:rsid w:val="006341AA"/>
    <w:rsid w:val="006560EC"/>
    <w:rsid w:val="00672E24"/>
    <w:rsid w:val="00673E1F"/>
    <w:rsid w:val="006748FE"/>
    <w:rsid w:val="007237F2"/>
    <w:rsid w:val="00775FF2"/>
    <w:rsid w:val="007829B9"/>
    <w:rsid w:val="00782C3C"/>
    <w:rsid w:val="00797703"/>
    <w:rsid w:val="007A62A1"/>
    <w:rsid w:val="007B0BAC"/>
    <w:rsid w:val="007D25E7"/>
    <w:rsid w:val="0087580A"/>
    <w:rsid w:val="008855B4"/>
    <w:rsid w:val="00887FB7"/>
    <w:rsid w:val="008E4FB1"/>
    <w:rsid w:val="008F2911"/>
    <w:rsid w:val="00920E4B"/>
    <w:rsid w:val="0094507C"/>
    <w:rsid w:val="00951D13"/>
    <w:rsid w:val="009609E0"/>
    <w:rsid w:val="009617B7"/>
    <w:rsid w:val="00972AAC"/>
    <w:rsid w:val="009D4862"/>
    <w:rsid w:val="00A01ABA"/>
    <w:rsid w:val="00A056CC"/>
    <w:rsid w:val="00A36D85"/>
    <w:rsid w:val="00A828CE"/>
    <w:rsid w:val="00AA6E18"/>
    <w:rsid w:val="00AC784F"/>
    <w:rsid w:val="00AE1EC7"/>
    <w:rsid w:val="00B108CF"/>
    <w:rsid w:val="00B11449"/>
    <w:rsid w:val="00B11EAB"/>
    <w:rsid w:val="00B1519A"/>
    <w:rsid w:val="00B54244"/>
    <w:rsid w:val="00B61B89"/>
    <w:rsid w:val="00B91713"/>
    <w:rsid w:val="00BB3E5D"/>
    <w:rsid w:val="00BB66E2"/>
    <w:rsid w:val="00BC3640"/>
    <w:rsid w:val="00C12324"/>
    <w:rsid w:val="00C242E1"/>
    <w:rsid w:val="00C626B9"/>
    <w:rsid w:val="00C65C16"/>
    <w:rsid w:val="00CA7CB0"/>
    <w:rsid w:val="00CC0349"/>
    <w:rsid w:val="00CD4B73"/>
    <w:rsid w:val="00CE06CB"/>
    <w:rsid w:val="00CE11B7"/>
    <w:rsid w:val="00D11711"/>
    <w:rsid w:val="00D4020C"/>
    <w:rsid w:val="00D568A9"/>
    <w:rsid w:val="00D6643F"/>
    <w:rsid w:val="00D87309"/>
    <w:rsid w:val="00D923CC"/>
    <w:rsid w:val="00DD68B2"/>
    <w:rsid w:val="00E376C5"/>
    <w:rsid w:val="00E559BD"/>
    <w:rsid w:val="00E76464"/>
    <w:rsid w:val="00EC4AF1"/>
    <w:rsid w:val="00EE25FA"/>
    <w:rsid w:val="00EE5FBE"/>
    <w:rsid w:val="00EF49B6"/>
    <w:rsid w:val="00F27281"/>
    <w:rsid w:val="00F35B95"/>
    <w:rsid w:val="00F43337"/>
    <w:rsid w:val="00F93BBC"/>
    <w:rsid w:val="00FB023A"/>
    <w:rsid w:val="00FB5A44"/>
    <w:rsid w:val="00FD6B91"/>
    <w:rsid w:val="00FF4939"/>
    <w:rsid w:val="01042E02"/>
    <w:rsid w:val="010831BB"/>
    <w:rsid w:val="01096D34"/>
    <w:rsid w:val="011B194E"/>
    <w:rsid w:val="011E4464"/>
    <w:rsid w:val="012851C6"/>
    <w:rsid w:val="01446E7F"/>
    <w:rsid w:val="01861EE9"/>
    <w:rsid w:val="01A21225"/>
    <w:rsid w:val="01A5725D"/>
    <w:rsid w:val="01AF003C"/>
    <w:rsid w:val="01B41501"/>
    <w:rsid w:val="01CE5F4E"/>
    <w:rsid w:val="01DB7527"/>
    <w:rsid w:val="01F41E3F"/>
    <w:rsid w:val="01F86B2D"/>
    <w:rsid w:val="01FC5510"/>
    <w:rsid w:val="023C6E50"/>
    <w:rsid w:val="02706764"/>
    <w:rsid w:val="02904A1A"/>
    <w:rsid w:val="02934654"/>
    <w:rsid w:val="02B2120F"/>
    <w:rsid w:val="02B76300"/>
    <w:rsid w:val="02BF1048"/>
    <w:rsid w:val="02C372F9"/>
    <w:rsid w:val="02D131E3"/>
    <w:rsid w:val="0313740E"/>
    <w:rsid w:val="034C7121"/>
    <w:rsid w:val="036D26F7"/>
    <w:rsid w:val="03982841"/>
    <w:rsid w:val="03E60D69"/>
    <w:rsid w:val="03F1454E"/>
    <w:rsid w:val="03F42955"/>
    <w:rsid w:val="04007C02"/>
    <w:rsid w:val="040B3CD8"/>
    <w:rsid w:val="041C6644"/>
    <w:rsid w:val="04471B07"/>
    <w:rsid w:val="0466250A"/>
    <w:rsid w:val="051B56E9"/>
    <w:rsid w:val="05236BED"/>
    <w:rsid w:val="053B4F69"/>
    <w:rsid w:val="056A4541"/>
    <w:rsid w:val="056A71A7"/>
    <w:rsid w:val="057A20FA"/>
    <w:rsid w:val="0588385F"/>
    <w:rsid w:val="058F7AAB"/>
    <w:rsid w:val="05AB0132"/>
    <w:rsid w:val="05C02D8C"/>
    <w:rsid w:val="05F549FF"/>
    <w:rsid w:val="062D578B"/>
    <w:rsid w:val="06317ABD"/>
    <w:rsid w:val="063218AA"/>
    <w:rsid w:val="06403C3E"/>
    <w:rsid w:val="06DD78DF"/>
    <w:rsid w:val="0719605C"/>
    <w:rsid w:val="07677ED8"/>
    <w:rsid w:val="079F464F"/>
    <w:rsid w:val="07C1464B"/>
    <w:rsid w:val="07C160EF"/>
    <w:rsid w:val="07ED3E63"/>
    <w:rsid w:val="07FD67BC"/>
    <w:rsid w:val="08116E53"/>
    <w:rsid w:val="08321733"/>
    <w:rsid w:val="08464C92"/>
    <w:rsid w:val="086C4B12"/>
    <w:rsid w:val="086D3481"/>
    <w:rsid w:val="08783B15"/>
    <w:rsid w:val="08790724"/>
    <w:rsid w:val="08931672"/>
    <w:rsid w:val="08B1388B"/>
    <w:rsid w:val="08B76161"/>
    <w:rsid w:val="08FF7194"/>
    <w:rsid w:val="091367AF"/>
    <w:rsid w:val="092A75A3"/>
    <w:rsid w:val="096B04C4"/>
    <w:rsid w:val="096F2F3A"/>
    <w:rsid w:val="098C78CE"/>
    <w:rsid w:val="09B276A8"/>
    <w:rsid w:val="09CC4F99"/>
    <w:rsid w:val="09EB39A8"/>
    <w:rsid w:val="0A1A0DF2"/>
    <w:rsid w:val="0A343753"/>
    <w:rsid w:val="0A575CB0"/>
    <w:rsid w:val="0AD35D64"/>
    <w:rsid w:val="0AD96A49"/>
    <w:rsid w:val="0AEC4FD5"/>
    <w:rsid w:val="0AEF36C6"/>
    <w:rsid w:val="0B1612D0"/>
    <w:rsid w:val="0B5B1396"/>
    <w:rsid w:val="0B623463"/>
    <w:rsid w:val="0B807B68"/>
    <w:rsid w:val="0B8B15E6"/>
    <w:rsid w:val="0BB97304"/>
    <w:rsid w:val="0BC41F92"/>
    <w:rsid w:val="0BC75C5F"/>
    <w:rsid w:val="0BCF2675"/>
    <w:rsid w:val="0BE12597"/>
    <w:rsid w:val="0C32524E"/>
    <w:rsid w:val="0C821224"/>
    <w:rsid w:val="0CA80CA2"/>
    <w:rsid w:val="0CE03FB5"/>
    <w:rsid w:val="0CF97596"/>
    <w:rsid w:val="0D143649"/>
    <w:rsid w:val="0D1F3B86"/>
    <w:rsid w:val="0D3516AA"/>
    <w:rsid w:val="0D37782E"/>
    <w:rsid w:val="0D6C0B7B"/>
    <w:rsid w:val="0D7C6827"/>
    <w:rsid w:val="0D863288"/>
    <w:rsid w:val="0D9D1BBD"/>
    <w:rsid w:val="0DA2527D"/>
    <w:rsid w:val="0DA67FCD"/>
    <w:rsid w:val="0DA9766D"/>
    <w:rsid w:val="0E1A271A"/>
    <w:rsid w:val="0E370F8C"/>
    <w:rsid w:val="0E6034A7"/>
    <w:rsid w:val="0E696605"/>
    <w:rsid w:val="0E6C1DAF"/>
    <w:rsid w:val="0E820537"/>
    <w:rsid w:val="0EC071BB"/>
    <w:rsid w:val="0F1937FB"/>
    <w:rsid w:val="0F2D105B"/>
    <w:rsid w:val="0F33043E"/>
    <w:rsid w:val="0F812717"/>
    <w:rsid w:val="0F86561E"/>
    <w:rsid w:val="0FAF35FA"/>
    <w:rsid w:val="0FD36093"/>
    <w:rsid w:val="0FE63183"/>
    <w:rsid w:val="0FEC561B"/>
    <w:rsid w:val="10336073"/>
    <w:rsid w:val="103D1360"/>
    <w:rsid w:val="103F5797"/>
    <w:rsid w:val="10EB39D5"/>
    <w:rsid w:val="11101140"/>
    <w:rsid w:val="11524ABB"/>
    <w:rsid w:val="11634A1C"/>
    <w:rsid w:val="116A278D"/>
    <w:rsid w:val="116A6D52"/>
    <w:rsid w:val="11806504"/>
    <w:rsid w:val="118B3EB7"/>
    <w:rsid w:val="11B94A47"/>
    <w:rsid w:val="11BE3447"/>
    <w:rsid w:val="11C7003A"/>
    <w:rsid w:val="11D5588E"/>
    <w:rsid w:val="11E132E0"/>
    <w:rsid w:val="11E403AB"/>
    <w:rsid w:val="1205679F"/>
    <w:rsid w:val="12294266"/>
    <w:rsid w:val="123039B2"/>
    <w:rsid w:val="12542D9C"/>
    <w:rsid w:val="125C376A"/>
    <w:rsid w:val="128B3AF4"/>
    <w:rsid w:val="12B40A02"/>
    <w:rsid w:val="12E019C1"/>
    <w:rsid w:val="12E045B9"/>
    <w:rsid w:val="12F52448"/>
    <w:rsid w:val="13021203"/>
    <w:rsid w:val="13043FE4"/>
    <w:rsid w:val="13106BC8"/>
    <w:rsid w:val="13447591"/>
    <w:rsid w:val="134F2F27"/>
    <w:rsid w:val="13535BAE"/>
    <w:rsid w:val="139A7F16"/>
    <w:rsid w:val="13AD3691"/>
    <w:rsid w:val="13B0694F"/>
    <w:rsid w:val="13B406AA"/>
    <w:rsid w:val="13B41A24"/>
    <w:rsid w:val="13CB6070"/>
    <w:rsid w:val="13F471AF"/>
    <w:rsid w:val="145C3750"/>
    <w:rsid w:val="14601F1A"/>
    <w:rsid w:val="148749B6"/>
    <w:rsid w:val="149453C5"/>
    <w:rsid w:val="14997F51"/>
    <w:rsid w:val="14B65C06"/>
    <w:rsid w:val="14B759E1"/>
    <w:rsid w:val="14C7619B"/>
    <w:rsid w:val="14C8027C"/>
    <w:rsid w:val="14D25F04"/>
    <w:rsid w:val="14F7549B"/>
    <w:rsid w:val="151E2E43"/>
    <w:rsid w:val="157862AB"/>
    <w:rsid w:val="1588568F"/>
    <w:rsid w:val="159C4976"/>
    <w:rsid w:val="15A91788"/>
    <w:rsid w:val="15C26582"/>
    <w:rsid w:val="15CB53BE"/>
    <w:rsid w:val="15E157C6"/>
    <w:rsid w:val="15E1726D"/>
    <w:rsid w:val="16012D4D"/>
    <w:rsid w:val="162E4950"/>
    <w:rsid w:val="162E7326"/>
    <w:rsid w:val="1651732D"/>
    <w:rsid w:val="16600981"/>
    <w:rsid w:val="167A157C"/>
    <w:rsid w:val="16802951"/>
    <w:rsid w:val="16876437"/>
    <w:rsid w:val="16A60471"/>
    <w:rsid w:val="16AC43EE"/>
    <w:rsid w:val="16B963E4"/>
    <w:rsid w:val="16BE009B"/>
    <w:rsid w:val="16DC5E29"/>
    <w:rsid w:val="17357F9E"/>
    <w:rsid w:val="173E4766"/>
    <w:rsid w:val="17723D0C"/>
    <w:rsid w:val="17734FFD"/>
    <w:rsid w:val="1782009F"/>
    <w:rsid w:val="178D3637"/>
    <w:rsid w:val="17A02861"/>
    <w:rsid w:val="17C70113"/>
    <w:rsid w:val="17CC423E"/>
    <w:rsid w:val="17DB4720"/>
    <w:rsid w:val="17DF3912"/>
    <w:rsid w:val="17EF02CD"/>
    <w:rsid w:val="18082ECC"/>
    <w:rsid w:val="18191975"/>
    <w:rsid w:val="182E2B8F"/>
    <w:rsid w:val="183716B9"/>
    <w:rsid w:val="18531202"/>
    <w:rsid w:val="18694C7F"/>
    <w:rsid w:val="18993FE0"/>
    <w:rsid w:val="18F5011C"/>
    <w:rsid w:val="18FF674D"/>
    <w:rsid w:val="19326FA1"/>
    <w:rsid w:val="193B6DFE"/>
    <w:rsid w:val="19487003"/>
    <w:rsid w:val="19813C2A"/>
    <w:rsid w:val="19A02616"/>
    <w:rsid w:val="19CF66F8"/>
    <w:rsid w:val="1A032692"/>
    <w:rsid w:val="1A071B22"/>
    <w:rsid w:val="1A3969D1"/>
    <w:rsid w:val="1A3D7112"/>
    <w:rsid w:val="1A4906F2"/>
    <w:rsid w:val="1A542616"/>
    <w:rsid w:val="1A6A49A3"/>
    <w:rsid w:val="1A717E70"/>
    <w:rsid w:val="1A9F67AA"/>
    <w:rsid w:val="1AC9402B"/>
    <w:rsid w:val="1B06610A"/>
    <w:rsid w:val="1B1B21D3"/>
    <w:rsid w:val="1B2631DF"/>
    <w:rsid w:val="1B425376"/>
    <w:rsid w:val="1B597230"/>
    <w:rsid w:val="1B606A44"/>
    <w:rsid w:val="1B6108A9"/>
    <w:rsid w:val="1B9C47DB"/>
    <w:rsid w:val="1BB74CCA"/>
    <w:rsid w:val="1BC47016"/>
    <w:rsid w:val="1BD856F1"/>
    <w:rsid w:val="1BE8727B"/>
    <w:rsid w:val="1BFD7A67"/>
    <w:rsid w:val="1C0433D5"/>
    <w:rsid w:val="1C465EB1"/>
    <w:rsid w:val="1C7C1DFC"/>
    <w:rsid w:val="1C8A13D5"/>
    <w:rsid w:val="1C987BE1"/>
    <w:rsid w:val="1CAF101E"/>
    <w:rsid w:val="1CDA4125"/>
    <w:rsid w:val="1CDF40D6"/>
    <w:rsid w:val="1CFF2A5E"/>
    <w:rsid w:val="1D164CEA"/>
    <w:rsid w:val="1D1A3C8E"/>
    <w:rsid w:val="1D6565C3"/>
    <w:rsid w:val="1D8B504C"/>
    <w:rsid w:val="1DE13C38"/>
    <w:rsid w:val="1E0B372B"/>
    <w:rsid w:val="1E13792D"/>
    <w:rsid w:val="1E2E6348"/>
    <w:rsid w:val="1E693339"/>
    <w:rsid w:val="1E936D96"/>
    <w:rsid w:val="1E9928B8"/>
    <w:rsid w:val="1EC42CCC"/>
    <w:rsid w:val="1F347DBB"/>
    <w:rsid w:val="1F43677C"/>
    <w:rsid w:val="1F5129C4"/>
    <w:rsid w:val="1F631058"/>
    <w:rsid w:val="1F801360"/>
    <w:rsid w:val="1F9626B9"/>
    <w:rsid w:val="1FC85245"/>
    <w:rsid w:val="1FF45AA2"/>
    <w:rsid w:val="20092745"/>
    <w:rsid w:val="20120B8D"/>
    <w:rsid w:val="20512D6F"/>
    <w:rsid w:val="206024E8"/>
    <w:rsid w:val="207D344C"/>
    <w:rsid w:val="209C2E33"/>
    <w:rsid w:val="20B80C0D"/>
    <w:rsid w:val="21322C59"/>
    <w:rsid w:val="21457780"/>
    <w:rsid w:val="214E6AAE"/>
    <w:rsid w:val="215639D9"/>
    <w:rsid w:val="21762E59"/>
    <w:rsid w:val="21DE20F7"/>
    <w:rsid w:val="21FC47FE"/>
    <w:rsid w:val="22274E6F"/>
    <w:rsid w:val="22452332"/>
    <w:rsid w:val="225B2C0A"/>
    <w:rsid w:val="227369A0"/>
    <w:rsid w:val="22980A83"/>
    <w:rsid w:val="229C1377"/>
    <w:rsid w:val="22B46E3F"/>
    <w:rsid w:val="22D032B7"/>
    <w:rsid w:val="22D436B3"/>
    <w:rsid w:val="23181980"/>
    <w:rsid w:val="23363DC7"/>
    <w:rsid w:val="23406DBE"/>
    <w:rsid w:val="234610BD"/>
    <w:rsid w:val="235477AD"/>
    <w:rsid w:val="23736B0A"/>
    <w:rsid w:val="2386487C"/>
    <w:rsid w:val="23B101D2"/>
    <w:rsid w:val="23B54377"/>
    <w:rsid w:val="23BD39A0"/>
    <w:rsid w:val="23CA2C9E"/>
    <w:rsid w:val="23EB12FB"/>
    <w:rsid w:val="23FF690A"/>
    <w:rsid w:val="241711A7"/>
    <w:rsid w:val="242C784F"/>
    <w:rsid w:val="24592FFF"/>
    <w:rsid w:val="245B0DC3"/>
    <w:rsid w:val="24713FEC"/>
    <w:rsid w:val="249F03F5"/>
    <w:rsid w:val="25352688"/>
    <w:rsid w:val="253A6BDD"/>
    <w:rsid w:val="254C53A1"/>
    <w:rsid w:val="256C4488"/>
    <w:rsid w:val="256E7573"/>
    <w:rsid w:val="25A30AAC"/>
    <w:rsid w:val="25BB61FD"/>
    <w:rsid w:val="25D9330C"/>
    <w:rsid w:val="25EC3921"/>
    <w:rsid w:val="25F33C95"/>
    <w:rsid w:val="26332AA8"/>
    <w:rsid w:val="268549F5"/>
    <w:rsid w:val="26A8067D"/>
    <w:rsid w:val="26B24D18"/>
    <w:rsid w:val="26B47996"/>
    <w:rsid w:val="26DB3C21"/>
    <w:rsid w:val="26F54FB1"/>
    <w:rsid w:val="2710219C"/>
    <w:rsid w:val="27107D49"/>
    <w:rsid w:val="271F1D77"/>
    <w:rsid w:val="27266A04"/>
    <w:rsid w:val="275E5AA1"/>
    <w:rsid w:val="27684152"/>
    <w:rsid w:val="27720A50"/>
    <w:rsid w:val="277C738A"/>
    <w:rsid w:val="278D084C"/>
    <w:rsid w:val="27CE550E"/>
    <w:rsid w:val="281E2DC7"/>
    <w:rsid w:val="28285933"/>
    <w:rsid w:val="282A4BDB"/>
    <w:rsid w:val="28463D9F"/>
    <w:rsid w:val="28493B6A"/>
    <w:rsid w:val="28887DFB"/>
    <w:rsid w:val="28AB24EB"/>
    <w:rsid w:val="28BB2F33"/>
    <w:rsid w:val="28DD6896"/>
    <w:rsid w:val="29153BAF"/>
    <w:rsid w:val="2936793E"/>
    <w:rsid w:val="294E2A7E"/>
    <w:rsid w:val="2970312F"/>
    <w:rsid w:val="29C544D9"/>
    <w:rsid w:val="29F170D9"/>
    <w:rsid w:val="2A0630C0"/>
    <w:rsid w:val="2A234B40"/>
    <w:rsid w:val="2A8034AE"/>
    <w:rsid w:val="2AA12E15"/>
    <w:rsid w:val="2AAE7095"/>
    <w:rsid w:val="2ACA1354"/>
    <w:rsid w:val="2ACB723B"/>
    <w:rsid w:val="2B056209"/>
    <w:rsid w:val="2B0C4D8F"/>
    <w:rsid w:val="2B160319"/>
    <w:rsid w:val="2B164315"/>
    <w:rsid w:val="2B327BE8"/>
    <w:rsid w:val="2B4066EE"/>
    <w:rsid w:val="2B584E70"/>
    <w:rsid w:val="2B593CF8"/>
    <w:rsid w:val="2B735D88"/>
    <w:rsid w:val="2B792D12"/>
    <w:rsid w:val="2B9B402D"/>
    <w:rsid w:val="2BAB4B12"/>
    <w:rsid w:val="2BAC5783"/>
    <w:rsid w:val="2C0D369D"/>
    <w:rsid w:val="2C0F1BC9"/>
    <w:rsid w:val="2C1C3503"/>
    <w:rsid w:val="2C212CF5"/>
    <w:rsid w:val="2C566944"/>
    <w:rsid w:val="2C600F69"/>
    <w:rsid w:val="2CE67480"/>
    <w:rsid w:val="2D082740"/>
    <w:rsid w:val="2D0C08D0"/>
    <w:rsid w:val="2D172ED8"/>
    <w:rsid w:val="2D77392B"/>
    <w:rsid w:val="2D7925D2"/>
    <w:rsid w:val="2D803921"/>
    <w:rsid w:val="2D83714F"/>
    <w:rsid w:val="2DB047DA"/>
    <w:rsid w:val="2DCF66D7"/>
    <w:rsid w:val="2E313463"/>
    <w:rsid w:val="2E964D58"/>
    <w:rsid w:val="2ED15FDE"/>
    <w:rsid w:val="2EDA3868"/>
    <w:rsid w:val="2EEA3599"/>
    <w:rsid w:val="2F177D29"/>
    <w:rsid w:val="2F306F29"/>
    <w:rsid w:val="2F46330A"/>
    <w:rsid w:val="2F763360"/>
    <w:rsid w:val="2FA5132C"/>
    <w:rsid w:val="2FA75E5B"/>
    <w:rsid w:val="3010519F"/>
    <w:rsid w:val="301463CE"/>
    <w:rsid w:val="30542A7D"/>
    <w:rsid w:val="307062EA"/>
    <w:rsid w:val="30740555"/>
    <w:rsid w:val="30797015"/>
    <w:rsid w:val="307F139A"/>
    <w:rsid w:val="309E7AE8"/>
    <w:rsid w:val="30A27660"/>
    <w:rsid w:val="31233277"/>
    <w:rsid w:val="31282166"/>
    <w:rsid w:val="312D432D"/>
    <w:rsid w:val="313F6B9A"/>
    <w:rsid w:val="3166602E"/>
    <w:rsid w:val="316C00D6"/>
    <w:rsid w:val="31A60631"/>
    <w:rsid w:val="31E0458D"/>
    <w:rsid w:val="31F16AE2"/>
    <w:rsid w:val="321D0476"/>
    <w:rsid w:val="32957891"/>
    <w:rsid w:val="32BD16DA"/>
    <w:rsid w:val="32C47381"/>
    <w:rsid w:val="32CF3C76"/>
    <w:rsid w:val="332740F8"/>
    <w:rsid w:val="333527D8"/>
    <w:rsid w:val="33551A74"/>
    <w:rsid w:val="339F3111"/>
    <w:rsid w:val="33B31B78"/>
    <w:rsid w:val="33D112F9"/>
    <w:rsid w:val="33D67E0C"/>
    <w:rsid w:val="33DB4091"/>
    <w:rsid w:val="33F61EB9"/>
    <w:rsid w:val="33FA3B57"/>
    <w:rsid w:val="340D09EE"/>
    <w:rsid w:val="341C623B"/>
    <w:rsid w:val="342446B4"/>
    <w:rsid w:val="3438536C"/>
    <w:rsid w:val="34445552"/>
    <w:rsid w:val="345B3CC4"/>
    <w:rsid w:val="3489760E"/>
    <w:rsid w:val="349543F4"/>
    <w:rsid w:val="34CE6AE3"/>
    <w:rsid w:val="34D1659D"/>
    <w:rsid w:val="350D2CB9"/>
    <w:rsid w:val="351845F6"/>
    <w:rsid w:val="35215C07"/>
    <w:rsid w:val="356F1F4D"/>
    <w:rsid w:val="35764B29"/>
    <w:rsid w:val="358132E8"/>
    <w:rsid w:val="35CB0898"/>
    <w:rsid w:val="35F61DCA"/>
    <w:rsid w:val="35FC0DFF"/>
    <w:rsid w:val="3602395E"/>
    <w:rsid w:val="36174412"/>
    <w:rsid w:val="36347F2C"/>
    <w:rsid w:val="367C06DF"/>
    <w:rsid w:val="369659C6"/>
    <w:rsid w:val="36AE3A41"/>
    <w:rsid w:val="36B0065E"/>
    <w:rsid w:val="371E2DB4"/>
    <w:rsid w:val="375B1C24"/>
    <w:rsid w:val="3762285C"/>
    <w:rsid w:val="37682FD9"/>
    <w:rsid w:val="37941B28"/>
    <w:rsid w:val="37A638FC"/>
    <w:rsid w:val="37D81337"/>
    <w:rsid w:val="37F256F9"/>
    <w:rsid w:val="37FD5934"/>
    <w:rsid w:val="3815338C"/>
    <w:rsid w:val="38704BA9"/>
    <w:rsid w:val="38AA5222"/>
    <w:rsid w:val="38C7421A"/>
    <w:rsid w:val="38D12571"/>
    <w:rsid w:val="38DB206D"/>
    <w:rsid w:val="38E707D7"/>
    <w:rsid w:val="392632DB"/>
    <w:rsid w:val="39297C6C"/>
    <w:rsid w:val="394B3F62"/>
    <w:rsid w:val="395C5166"/>
    <w:rsid w:val="39791490"/>
    <w:rsid w:val="39B61CB0"/>
    <w:rsid w:val="39C90DAA"/>
    <w:rsid w:val="39EB345E"/>
    <w:rsid w:val="3A062A8C"/>
    <w:rsid w:val="3A12481B"/>
    <w:rsid w:val="3A344584"/>
    <w:rsid w:val="3A48421A"/>
    <w:rsid w:val="3A5B7855"/>
    <w:rsid w:val="3A5C3C22"/>
    <w:rsid w:val="3A920868"/>
    <w:rsid w:val="3AA05CB9"/>
    <w:rsid w:val="3AA360A1"/>
    <w:rsid w:val="3AC774D2"/>
    <w:rsid w:val="3AE25B8B"/>
    <w:rsid w:val="3AEA0690"/>
    <w:rsid w:val="3AEE7A4C"/>
    <w:rsid w:val="3AEF65DA"/>
    <w:rsid w:val="3B476F1E"/>
    <w:rsid w:val="3B5661CD"/>
    <w:rsid w:val="3B670C30"/>
    <w:rsid w:val="3B675589"/>
    <w:rsid w:val="3B973F39"/>
    <w:rsid w:val="3BB972CA"/>
    <w:rsid w:val="3BDC2279"/>
    <w:rsid w:val="3C065516"/>
    <w:rsid w:val="3C080FEF"/>
    <w:rsid w:val="3C0D38C3"/>
    <w:rsid w:val="3C125130"/>
    <w:rsid w:val="3C4F018C"/>
    <w:rsid w:val="3C990C56"/>
    <w:rsid w:val="3CAA3BEE"/>
    <w:rsid w:val="3D0C239C"/>
    <w:rsid w:val="3D466AD6"/>
    <w:rsid w:val="3D4902CD"/>
    <w:rsid w:val="3D4B32C4"/>
    <w:rsid w:val="3D4E1329"/>
    <w:rsid w:val="3D680082"/>
    <w:rsid w:val="3D7A058B"/>
    <w:rsid w:val="3D8376D7"/>
    <w:rsid w:val="3DB1617B"/>
    <w:rsid w:val="3DB85702"/>
    <w:rsid w:val="3DB976E0"/>
    <w:rsid w:val="3DC9198D"/>
    <w:rsid w:val="3DF536BD"/>
    <w:rsid w:val="3DFF0051"/>
    <w:rsid w:val="3E077359"/>
    <w:rsid w:val="3E1040B8"/>
    <w:rsid w:val="3E14706B"/>
    <w:rsid w:val="3E1C0D4C"/>
    <w:rsid w:val="3E487544"/>
    <w:rsid w:val="3EA94864"/>
    <w:rsid w:val="3ED66FE8"/>
    <w:rsid w:val="3F03148F"/>
    <w:rsid w:val="3F1E3FE7"/>
    <w:rsid w:val="3F6C5FFD"/>
    <w:rsid w:val="3F8A143A"/>
    <w:rsid w:val="3FB778AD"/>
    <w:rsid w:val="3FE31990"/>
    <w:rsid w:val="3FF83657"/>
    <w:rsid w:val="4024190F"/>
    <w:rsid w:val="403861C3"/>
    <w:rsid w:val="403A209A"/>
    <w:rsid w:val="40405522"/>
    <w:rsid w:val="40563BDB"/>
    <w:rsid w:val="40567FED"/>
    <w:rsid w:val="405A0BA6"/>
    <w:rsid w:val="40E0314F"/>
    <w:rsid w:val="411D5055"/>
    <w:rsid w:val="41283A70"/>
    <w:rsid w:val="41380B46"/>
    <w:rsid w:val="414907F2"/>
    <w:rsid w:val="414B5100"/>
    <w:rsid w:val="41553672"/>
    <w:rsid w:val="41585DD2"/>
    <w:rsid w:val="41592F95"/>
    <w:rsid w:val="41B20150"/>
    <w:rsid w:val="42035BC4"/>
    <w:rsid w:val="420D181E"/>
    <w:rsid w:val="42102399"/>
    <w:rsid w:val="423143D6"/>
    <w:rsid w:val="4239759A"/>
    <w:rsid w:val="42740208"/>
    <w:rsid w:val="428474D5"/>
    <w:rsid w:val="429B0574"/>
    <w:rsid w:val="42AD6E17"/>
    <w:rsid w:val="42EA0E69"/>
    <w:rsid w:val="431A08B0"/>
    <w:rsid w:val="431A654D"/>
    <w:rsid w:val="4331243C"/>
    <w:rsid w:val="436C09FF"/>
    <w:rsid w:val="437D439B"/>
    <w:rsid w:val="4384243D"/>
    <w:rsid w:val="43D96797"/>
    <w:rsid w:val="43DD7F8C"/>
    <w:rsid w:val="4434445A"/>
    <w:rsid w:val="443A0074"/>
    <w:rsid w:val="444D7AFF"/>
    <w:rsid w:val="44633E9D"/>
    <w:rsid w:val="447E6F8B"/>
    <w:rsid w:val="44932745"/>
    <w:rsid w:val="44B04C06"/>
    <w:rsid w:val="44C84366"/>
    <w:rsid w:val="44F14FA4"/>
    <w:rsid w:val="450612A1"/>
    <w:rsid w:val="451A15DF"/>
    <w:rsid w:val="452F6BCD"/>
    <w:rsid w:val="45584551"/>
    <w:rsid w:val="456C0B67"/>
    <w:rsid w:val="459C5749"/>
    <w:rsid w:val="45D448DD"/>
    <w:rsid w:val="45E01003"/>
    <w:rsid w:val="45ED17DE"/>
    <w:rsid w:val="46075017"/>
    <w:rsid w:val="462071F0"/>
    <w:rsid w:val="468C282B"/>
    <w:rsid w:val="46934E67"/>
    <w:rsid w:val="46B379CA"/>
    <w:rsid w:val="46DF3ACF"/>
    <w:rsid w:val="46EE4CB9"/>
    <w:rsid w:val="46F07225"/>
    <w:rsid w:val="470009D6"/>
    <w:rsid w:val="47036EA3"/>
    <w:rsid w:val="471169A2"/>
    <w:rsid w:val="472A6F78"/>
    <w:rsid w:val="475F3799"/>
    <w:rsid w:val="47803537"/>
    <w:rsid w:val="47CF2BE7"/>
    <w:rsid w:val="47EA50AA"/>
    <w:rsid w:val="47F54389"/>
    <w:rsid w:val="4825708B"/>
    <w:rsid w:val="483049B9"/>
    <w:rsid w:val="48316E99"/>
    <w:rsid w:val="48637DA6"/>
    <w:rsid w:val="48BE2250"/>
    <w:rsid w:val="48C2181B"/>
    <w:rsid w:val="48D5452B"/>
    <w:rsid w:val="48FA43E4"/>
    <w:rsid w:val="491A5694"/>
    <w:rsid w:val="494828A8"/>
    <w:rsid w:val="495B2390"/>
    <w:rsid w:val="49673AEB"/>
    <w:rsid w:val="498769B2"/>
    <w:rsid w:val="4995598D"/>
    <w:rsid w:val="49AF1DBA"/>
    <w:rsid w:val="49CD7A0A"/>
    <w:rsid w:val="49D07594"/>
    <w:rsid w:val="4A1555C4"/>
    <w:rsid w:val="4A1D7669"/>
    <w:rsid w:val="4A27468B"/>
    <w:rsid w:val="4A4B372A"/>
    <w:rsid w:val="4A5072A9"/>
    <w:rsid w:val="4A5917BE"/>
    <w:rsid w:val="4A806EED"/>
    <w:rsid w:val="4A8A1EB5"/>
    <w:rsid w:val="4AB00D33"/>
    <w:rsid w:val="4AC46015"/>
    <w:rsid w:val="4ADA0EAA"/>
    <w:rsid w:val="4B0B2669"/>
    <w:rsid w:val="4B3E31F4"/>
    <w:rsid w:val="4B937977"/>
    <w:rsid w:val="4B9E74DA"/>
    <w:rsid w:val="4BCC55BE"/>
    <w:rsid w:val="4BE5543B"/>
    <w:rsid w:val="4BE851D5"/>
    <w:rsid w:val="4C123DCC"/>
    <w:rsid w:val="4C2503E1"/>
    <w:rsid w:val="4C4270F1"/>
    <w:rsid w:val="4C8D2DE8"/>
    <w:rsid w:val="4CCA74E2"/>
    <w:rsid w:val="4CCF0F75"/>
    <w:rsid w:val="4CE92899"/>
    <w:rsid w:val="4D030D92"/>
    <w:rsid w:val="4D5070F2"/>
    <w:rsid w:val="4D5767CB"/>
    <w:rsid w:val="4D7E06F1"/>
    <w:rsid w:val="4DA544EF"/>
    <w:rsid w:val="4DC5747F"/>
    <w:rsid w:val="4DCE1194"/>
    <w:rsid w:val="4DE019E9"/>
    <w:rsid w:val="4E1A18A8"/>
    <w:rsid w:val="4E302968"/>
    <w:rsid w:val="4E3B295C"/>
    <w:rsid w:val="4E614149"/>
    <w:rsid w:val="4E690D47"/>
    <w:rsid w:val="4EA91FAC"/>
    <w:rsid w:val="4EAB1131"/>
    <w:rsid w:val="4EC465D8"/>
    <w:rsid w:val="4ED13D9A"/>
    <w:rsid w:val="4EDE6CC4"/>
    <w:rsid w:val="4EFE3DC8"/>
    <w:rsid w:val="4F201E91"/>
    <w:rsid w:val="4F301F51"/>
    <w:rsid w:val="4FAD2516"/>
    <w:rsid w:val="4FB86838"/>
    <w:rsid w:val="4FF842CF"/>
    <w:rsid w:val="4FFF213E"/>
    <w:rsid w:val="5000695E"/>
    <w:rsid w:val="5007393D"/>
    <w:rsid w:val="50482EDF"/>
    <w:rsid w:val="506A03B1"/>
    <w:rsid w:val="506E30CE"/>
    <w:rsid w:val="50AC04F0"/>
    <w:rsid w:val="50CA75BD"/>
    <w:rsid w:val="50CD6DDE"/>
    <w:rsid w:val="510D1F8C"/>
    <w:rsid w:val="511A140B"/>
    <w:rsid w:val="515773C2"/>
    <w:rsid w:val="519D0C24"/>
    <w:rsid w:val="51AB75D8"/>
    <w:rsid w:val="51AF531D"/>
    <w:rsid w:val="51B81780"/>
    <w:rsid w:val="51DF7519"/>
    <w:rsid w:val="51E90BD7"/>
    <w:rsid w:val="52104F33"/>
    <w:rsid w:val="522C601F"/>
    <w:rsid w:val="524D157E"/>
    <w:rsid w:val="524F0E37"/>
    <w:rsid w:val="524F5781"/>
    <w:rsid w:val="52515450"/>
    <w:rsid w:val="52A55107"/>
    <w:rsid w:val="52AC4ED9"/>
    <w:rsid w:val="52BC1003"/>
    <w:rsid w:val="52BC5376"/>
    <w:rsid w:val="52C1185C"/>
    <w:rsid w:val="530E6422"/>
    <w:rsid w:val="533559A1"/>
    <w:rsid w:val="53575FEB"/>
    <w:rsid w:val="537A5A17"/>
    <w:rsid w:val="53B7480B"/>
    <w:rsid w:val="53DB71AA"/>
    <w:rsid w:val="53DD55CB"/>
    <w:rsid w:val="540C4E86"/>
    <w:rsid w:val="541E7E11"/>
    <w:rsid w:val="545058EA"/>
    <w:rsid w:val="54515898"/>
    <w:rsid w:val="545A48E5"/>
    <w:rsid w:val="547E331A"/>
    <w:rsid w:val="54811834"/>
    <w:rsid w:val="54904658"/>
    <w:rsid w:val="54B47FF1"/>
    <w:rsid w:val="54D84DCE"/>
    <w:rsid w:val="54DA6604"/>
    <w:rsid w:val="54EE3B7D"/>
    <w:rsid w:val="55020A47"/>
    <w:rsid w:val="550E1729"/>
    <w:rsid w:val="554515AF"/>
    <w:rsid w:val="555F2F15"/>
    <w:rsid w:val="55B04C42"/>
    <w:rsid w:val="55EA5DE0"/>
    <w:rsid w:val="55F636F1"/>
    <w:rsid w:val="560E63C6"/>
    <w:rsid w:val="563E28A1"/>
    <w:rsid w:val="564A2B8A"/>
    <w:rsid w:val="564F1340"/>
    <w:rsid w:val="56D2290E"/>
    <w:rsid w:val="56E94633"/>
    <w:rsid w:val="56ED6C70"/>
    <w:rsid w:val="56FC16DE"/>
    <w:rsid w:val="57055D75"/>
    <w:rsid w:val="574C6852"/>
    <w:rsid w:val="574F0E1A"/>
    <w:rsid w:val="576740DE"/>
    <w:rsid w:val="577E068F"/>
    <w:rsid w:val="57837CF9"/>
    <w:rsid w:val="57A82C0A"/>
    <w:rsid w:val="57D6663F"/>
    <w:rsid w:val="57E14755"/>
    <w:rsid w:val="58061A0F"/>
    <w:rsid w:val="580C5868"/>
    <w:rsid w:val="582B2602"/>
    <w:rsid w:val="587451E6"/>
    <w:rsid w:val="589B6563"/>
    <w:rsid w:val="589D379A"/>
    <w:rsid w:val="58C85637"/>
    <w:rsid w:val="58D76E54"/>
    <w:rsid w:val="58EE59E9"/>
    <w:rsid w:val="59103B27"/>
    <w:rsid w:val="591B4EA5"/>
    <w:rsid w:val="591C75B4"/>
    <w:rsid w:val="593762A3"/>
    <w:rsid w:val="59453555"/>
    <w:rsid w:val="59463FD4"/>
    <w:rsid w:val="594937FC"/>
    <w:rsid w:val="598053E9"/>
    <w:rsid w:val="59912137"/>
    <w:rsid w:val="5A2A6851"/>
    <w:rsid w:val="5A593857"/>
    <w:rsid w:val="5ACC729E"/>
    <w:rsid w:val="5ACD42D7"/>
    <w:rsid w:val="5AD54910"/>
    <w:rsid w:val="5B0D3219"/>
    <w:rsid w:val="5B337752"/>
    <w:rsid w:val="5B4A685D"/>
    <w:rsid w:val="5B610236"/>
    <w:rsid w:val="5B881BD2"/>
    <w:rsid w:val="5BC43E48"/>
    <w:rsid w:val="5BD87012"/>
    <w:rsid w:val="5BF1017E"/>
    <w:rsid w:val="5C2475C9"/>
    <w:rsid w:val="5C502724"/>
    <w:rsid w:val="5C506089"/>
    <w:rsid w:val="5C5E40B5"/>
    <w:rsid w:val="5C9A42E6"/>
    <w:rsid w:val="5CA648A4"/>
    <w:rsid w:val="5CB103F7"/>
    <w:rsid w:val="5CC801A7"/>
    <w:rsid w:val="5D4820BD"/>
    <w:rsid w:val="5D63280F"/>
    <w:rsid w:val="5D9B05D0"/>
    <w:rsid w:val="5DAB6D74"/>
    <w:rsid w:val="5DC0014D"/>
    <w:rsid w:val="5E043710"/>
    <w:rsid w:val="5E1A4846"/>
    <w:rsid w:val="5E354773"/>
    <w:rsid w:val="5E356A0C"/>
    <w:rsid w:val="5E4C6974"/>
    <w:rsid w:val="5E6F5E52"/>
    <w:rsid w:val="5ED2703C"/>
    <w:rsid w:val="5EF37116"/>
    <w:rsid w:val="5F637505"/>
    <w:rsid w:val="5F6A2ED0"/>
    <w:rsid w:val="5F753FC0"/>
    <w:rsid w:val="5FB27E29"/>
    <w:rsid w:val="5FBB31E7"/>
    <w:rsid w:val="5FC76DB9"/>
    <w:rsid w:val="5FF0491A"/>
    <w:rsid w:val="5FF41E76"/>
    <w:rsid w:val="600A7D64"/>
    <w:rsid w:val="602C4135"/>
    <w:rsid w:val="6033427E"/>
    <w:rsid w:val="60352574"/>
    <w:rsid w:val="6036314F"/>
    <w:rsid w:val="60501D00"/>
    <w:rsid w:val="60813E57"/>
    <w:rsid w:val="60E029AF"/>
    <w:rsid w:val="60F272BD"/>
    <w:rsid w:val="611A0A28"/>
    <w:rsid w:val="61263E58"/>
    <w:rsid w:val="61707563"/>
    <w:rsid w:val="61866E49"/>
    <w:rsid w:val="618A4997"/>
    <w:rsid w:val="61CA33B4"/>
    <w:rsid w:val="62805ADF"/>
    <w:rsid w:val="62D64F19"/>
    <w:rsid w:val="62EB0500"/>
    <w:rsid w:val="62F901EC"/>
    <w:rsid w:val="63434470"/>
    <w:rsid w:val="63451167"/>
    <w:rsid w:val="6352770E"/>
    <w:rsid w:val="63AA4BC0"/>
    <w:rsid w:val="63B15C85"/>
    <w:rsid w:val="63C76441"/>
    <w:rsid w:val="63EE6165"/>
    <w:rsid w:val="63F8356E"/>
    <w:rsid w:val="64042645"/>
    <w:rsid w:val="641E2E4F"/>
    <w:rsid w:val="64453651"/>
    <w:rsid w:val="64861462"/>
    <w:rsid w:val="649F5A7F"/>
    <w:rsid w:val="64A175A5"/>
    <w:rsid w:val="64B633D4"/>
    <w:rsid w:val="64EE1F2A"/>
    <w:rsid w:val="65073F11"/>
    <w:rsid w:val="65075946"/>
    <w:rsid w:val="6518242A"/>
    <w:rsid w:val="653A4C14"/>
    <w:rsid w:val="654450D6"/>
    <w:rsid w:val="65833287"/>
    <w:rsid w:val="659566C8"/>
    <w:rsid w:val="65A616FB"/>
    <w:rsid w:val="65B97EF8"/>
    <w:rsid w:val="65BB2E32"/>
    <w:rsid w:val="65D0182C"/>
    <w:rsid w:val="65E80EC6"/>
    <w:rsid w:val="65E82DD8"/>
    <w:rsid w:val="662914A3"/>
    <w:rsid w:val="6639119B"/>
    <w:rsid w:val="66561590"/>
    <w:rsid w:val="668508A4"/>
    <w:rsid w:val="66AC01FE"/>
    <w:rsid w:val="66C0588F"/>
    <w:rsid w:val="66FD71F9"/>
    <w:rsid w:val="67037205"/>
    <w:rsid w:val="67080C09"/>
    <w:rsid w:val="67267E45"/>
    <w:rsid w:val="67700DAD"/>
    <w:rsid w:val="678F70BC"/>
    <w:rsid w:val="67CB2B6B"/>
    <w:rsid w:val="68A35A72"/>
    <w:rsid w:val="68AE5540"/>
    <w:rsid w:val="68D76CBA"/>
    <w:rsid w:val="68E87AC6"/>
    <w:rsid w:val="68ED598F"/>
    <w:rsid w:val="68F55880"/>
    <w:rsid w:val="691A6AA4"/>
    <w:rsid w:val="694F723C"/>
    <w:rsid w:val="69605B9D"/>
    <w:rsid w:val="698B7ED2"/>
    <w:rsid w:val="69BB0D50"/>
    <w:rsid w:val="69CE304A"/>
    <w:rsid w:val="69E26921"/>
    <w:rsid w:val="6A014079"/>
    <w:rsid w:val="6A20422F"/>
    <w:rsid w:val="6A2C600F"/>
    <w:rsid w:val="6A9C3B07"/>
    <w:rsid w:val="6AB26E9B"/>
    <w:rsid w:val="6ABE5E2E"/>
    <w:rsid w:val="6ACB3AEB"/>
    <w:rsid w:val="6AD72F89"/>
    <w:rsid w:val="6ADB2B73"/>
    <w:rsid w:val="6AE00470"/>
    <w:rsid w:val="6AFD1C16"/>
    <w:rsid w:val="6B14459C"/>
    <w:rsid w:val="6B4F0683"/>
    <w:rsid w:val="6B8A3BC9"/>
    <w:rsid w:val="6B993F19"/>
    <w:rsid w:val="6BA4134E"/>
    <w:rsid w:val="6BA66877"/>
    <w:rsid w:val="6BC1425D"/>
    <w:rsid w:val="6BC34E59"/>
    <w:rsid w:val="6BC35C52"/>
    <w:rsid w:val="6BE83A1B"/>
    <w:rsid w:val="6BFF4BF5"/>
    <w:rsid w:val="6C1709EF"/>
    <w:rsid w:val="6C3C0100"/>
    <w:rsid w:val="6C3C376F"/>
    <w:rsid w:val="6C463E2C"/>
    <w:rsid w:val="6C4A01F5"/>
    <w:rsid w:val="6C4B3792"/>
    <w:rsid w:val="6C4F24F7"/>
    <w:rsid w:val="6C6B09C5"/>
    <w:rsid w:val="6C7A7E1B"/>
    <w:rsid w:val="6C9A7610"/>
    <w:rsid w:val="6CA5139F"/>
    <w:rsid w:val="6CA514C3"/>
    <w:rsid w:val="6CB113A6"/>
    <w:rsid w:val="6CBA76EE"/>
    <w:rsid w:val="6D071273"/>
    <w:rsid w:val="6D1D4465"/>
    <w:rsid w:val="6D4C18F0"/>
    <w:rsid w:val="6D631278"/>
    <w:rsid w:val="6D8521D6"/>
    <w:rsid w:val="6D9931AB"/>
    <w:rsid w:val="6D9E799D"/>
    <w:rsid w:val="6DBB40D1"/>
    <w:rsid w:val="6DBD137E"/>
    <w:rsid w:val="6DF43BA2"/>
    <w:rsid w:val="6E072301"/>
    <w:rsid w:val="6E2D501E"/>
    <w:rsid w:val="6E6D62F8"/>
    <w:rsid w:val="6E704D80"/>
    <w:rsid w:val="6E922594"/>
    <w:rsid w:val="6EA278F2"/>
    <w:rsid w:val="6EE03E42"/>
    <w:rsid w:val="6F2F0136"/>
    <w:rsid w:val="6F393F51"/>
    <w:rsid w:val="6F495962"/>
    <w:rsid w:val="6F5405FC"/>
    <w:rsid w:val="6F5C14F9"/>
    <w:rsid w:val="6F5D0E95"/>
    <w:rsid w:val="6F6508DA"/>
    <w:rsid w:val="6F9B5E96"/>
    <w:rsid w:val="6FBD5608"/>
    <w:rsid w:val="6FC60583"/>
    <w:rsid w:val="6FD42348"/>
    <w:rsid w:val="6FD97863"/>
    <w:rsid w:val="6FF9094D"/>
    <w:rsid w:val="700C2607"/>
    <w:rsid w:val="70150C31"/>
    <w:rsid w:val="701D1AFF"/>
    <w:rsid w:val="701E4D33"/>
    <w:rsid w:val="70217E86"/>
    <w:rsid w:val="704D78DF"/>
    <w:rsid w:val="706931FC"/>
    <w:rsid w:val="7101495F"/>
    <w:rsid w:val="7110714D"/>
    <w:rsid w:val="712F7AED"/>
    <w:rsid w:val="713402A5"/>
    <w:rsid w:val="71511164"/>
    <w:rsid w:val="71906EAB"/>
    <w:rsid w:val="71BF454A"/>
    <w:rsid w:val="71C231A2"/>
    <w:rsid w:val="71C6603F"/>
    <w:rsid w:val="72084860"/>
    <w:rsid w:val="72093F2B"/>
    <w:rsid w:val="72126EB6"/>
    <w:rsid w:val="722A66B6"/>
    <w:rsid w:val="723D3F6A"/>
    <w:rsid w:val="724309ED"/>
    <w:rsid w:val="727E161F"/>
    <w:rsid w:val="72B066F3"/>
    <w:rsid w:val="72ED5A2B"/>
    <w:rsid w:val="72EF5934"/>
    <w:rsid w:val="73545067"/>
    <w:rsid w:val="7376312B"/>
    <w:rsid w:val="739557A6"/>
    <w:rsid w:val="73BC51A4"/>
    <w:rsid w:val="73C867E0"/>
    <w:rsid w:val="73F26450"/>
    <w:rsid w:val="7406402D"/>
    <w:rsid w:val="743F5F51"/>
    <w:rsid w:val="744C3539"/>
    <w:rsid w:val="744E1F43"/>
    <w:rsid w:val="745F7F99"/>
    <w:rsid w:val="746C7F35"/>
    <w:rsid w:val="749B5C8D"/>
    <w:rsid w:val="74CD78C4"/>
    <w:rsid w:val="74E96ADF"/>
    <w:rsid w:val="75183ECD"/>
    <w:rsid w:val="753B35DB"/>
    <w:rsid w:val="75434A77"/>
    <w:rsid w:val="756564FE"/>
    <w:rsid w:val="758C6285"/>
    <w:rsid w:val="75931B63"/>
    <w:rsid w:val="75983A5E"/>
    <w:rsid w:val="75BE6904"/>
    <w:rsid w:val="75DA713F"/>
    <w:rsid w:val="75E15BE9"/>
    <w:rsid w:val="75EA6181"/>
    <w:rsid w:val="75F43836"/>
    <w:rsid w:val="75F603FE"/>
    <w:rsid w:val="75FC4BC1"/>
    <w:rsid w:val="76293E01"/>
    <w:rsid w:val="765C30A4"/>
    <w:rsid w:val="766520CE"/>
    <w:rsid w:val="76727912"/>
    <w:rsid w:val="76771B61"/>
    <w:rsid w:val="76816E83"/>
    <w:rsid w:val="768C7109"/>
    <w:rsid w:val="76986E94"/>
    <w:rsid w:val="769D53FE"/>
    <w:rsid w:val="76A83D98"/>
    <w:rsid w:val="76B47B28"/>
    <w:rsid w:val="76B82B6A"/>
    <w:rsid w:val="76D345EE"/>
    <w:rsid w:val="76DB492B"/>
    <w:rsid w:val="77002D02"/>
    <w:rsid w:val="7740272C"/>
    <w:rsid w:val="77617FAE"/>
    <w:rsid w:val="778833E8"/>
    <w:rsid w:val="77B4031F"/>
    <w:rsid w:val="77D254AD"/>
    <w:rsid w:val="77F02B11"/>
    <w:rsid w:val="78031EF9"/>
    <w:rsid w:val="785379C7"/>
    <w:rsid w:val="785976FE"/>
    <w:rsid w:val="785D6FA8"/>
    <w:rsid w:val="78772F2D"/>
    <w:rsid w:val="78836D19"/>
    <w:rsid w:val="788C06C8"/>
    <w:rsid w:val="78B32F8C"/>
    <w:rsid w:val="78D539C8"/>
    <w:rsid w:val="78D62B39"/>
    <w:rsid w:val="78E078DD"/>
    <w:rsid w:val="78FC1025"/>
    <w:rsid w:val="792230AF"/>
    <w:rsid w:val="792D01B9"/>
    <w:rsid w:val="79307625"/>
    <w:rsid w:val="794D61C5"/>
    <w:rsid w:val="79FE20EC"/>
    <w:rsid w:val="7A0074C2"/>
    <w:rsid w:val="7A041B87"/>
    <w:rsid w:val="7AA8144D"/>
    <w:rsid w:val="7ACF3685"/>
    <w:rsid w:val="7AE56859"/>
    <w:rsid w:val="7AF22D68"/>
    <w:rsid w:val="7B1167C0"/>
    <w:rsid w:val="7B324C4C"/>
    <w:rsid w:val="7B550502"/>
    <w:rsid w:val="7B852230"/>
    <w:rsid w:val="7BA66D58"/>
    <w:rsid w:val="7BC764ED"/>
    <w:rsid w:val="7BDA257E"/>
    <w:rsid w:val="7BE77A97"/>
    <w:rsid w:val="7BF952BB"/>
    <w:rsid w:val="7C01287F"/>
    <w:rsid w:val="7C217E55"/>
    <w:rsid w:val="7C38609C"/>
    <w:rsid w:val="7C5829E0"/>
    <w:rsid w:val="7C71799C"/>
    <w:rsid w:val="7C767B68"/>
    <w:rsid w:val="7C824419"/>
    <w:rsid w:val="7C861C33"/>
    <w:rsid w:val="7CA761BD"/>
    <w:rsid w:val="7CB551E4"/>
    <w:rsid w:val="7CCD68B7"/>
    <w:rsid w:val="7CF51BD6"/>
    <w:rsid w:val="7D490F68"/>
    <w:rsid w:val="7D5176FF"/>
    <w:rsid w:val="7D7F3ED8"/>
    <w:rsid w:val="7D810F88"/>
    <w:rsid w:val="7DDC4A6B"/>
    <w:rsid w:val="7DE30610"/>
    <w:rsid w:val="7DE51636"/>
    <w:rsid w:val="7DF62EB6"/>
    <w:rsid w:val="7DF957DA"/>
    <w:rsid w:val="7E0845C7"/>
    <w:rsid w:val="7E0C060D"/>
    <w:rsid w:val="7E1D1691"/>
    <w:rsid w:val="7E1E6188"/>
    <w:rsid w:val="7E44770A"/>
    <w:rsid w:val="7E4A252D"/>
    <w:rsid w:val="7E4E5A60"/>
    <w:rsid w:val="7E595A3D"/>
    <w:rsid w:val="7E682F6E"/>
    <w:rsid w:val="7E952586"/>
    <w:rsid w:val="7E9628E1"/>
    <w:rsid w:val="7EAD01B5"/>
    <w:rsid w:val="7EB36A7E"/>
    <w:rsid w:val="7EDB7C06"/>
    <w:rsid w:val="7EFB73CC"/>
    <w:rsid w:val="7F3F6220"/>
    <w:rsid w:val="7F964487"/>
    <w:rsid w:val="7F983132"/>
    <w:rsid w:val="7FA467D5"/>
    <w:rsid w:val="7FCA553C"/>
    <w:rsid w:val="7FD05D8B"/>
    <w:rsid w:val="7FDF353A"/>
    <w:rsid w:val="7FE73AA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locked/>
    <w:uiPriority w:val="99"/>
    <w:pPr>
      <w:widowControl/>
      <w:spacing w:before="100" w:beforeAutospacing="1" w:after="100" w:afterAutospacing="1"/>
      <w:jc w:val="left"/>
      <w:outlineLvl w:val="0"/>
    </w:pPr>
    <w:rPr>
      <w:rFonts w:ascii="宋体" w:hAnsi="宋体" w:cs="宋体"/>
      <w:b/>
      <w:bCs/>
      <w:kern w:val="36"/>
      <w:sz w:val="48"/>
      <w:szCs w:val="48"/>
      <w:lang w:bidi="mr-IN"/>
    </w:rPr>
  </w:style>
  <w:style w:type="character" w:default="1" w:styleId="7">
    <w:name w:val="Default Paragraph Font"/>
    <w:semiHidden/>
    <w:qFormat/>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kern w:val="0"/>
      <w:sz w:val="24"/>
    </w:rPr>
  </w:style>
  <w:style w:type="character" w:styleId="8">
    <w:name w:val="Hyperlink"/>
    <w:basedOn w:val="7"/>
    <w:qFormat/>
    <w:uiPriority w:val="99"/>
    <w:rPr>
      <w:rFonts w:cs="Times New Roman"/>
      <w:color w:val="0000FF"/>
      <w:u w:val="single"/>
    </w:rPr>
  </w:style>
  <w:style w:type="character" w:customStyle="1" w:styleId="10">
    <w:name w:val="Heading 1 Char"/>
    <w:basedOn w:val="7"/>
    <w:link w:val="2"/>
    <w:qFormat/>
    <w:locked/>
    <w:uiPriority w:val="99"/>
    <w:rPr>
      <w:rFonts w:ascii="Calibri" w:hAnsi="Calibri" w:cs="Times New Roman"/>
      <w:b/>
      <w:bCs/>
      <w:kern w:val="44"/>
      <w:sz w:val="44"/>
      <w:szCs w:val="44"/>
    </w:rPr>
  </w:style>
  <w:style w:type="character" w:customStyle="1" w:styleId="11">
    <w:name w:val="Balloon Text Char"/>
    <w:basedOn w:val="7"/>
    <w:link w:val="3"/>
    <w:qFormat/>
    <w:locked/>
    <w:uiPriority w:val="99"/>
    <w:rPr>
      <w:rFonts w:ascii="Calibri" w:hAnsi="Calibri" w:eastAsia="宋体" w:cs="Times New Roman"/>
      <w:kern w:val="2"/>
      <w:sz w:val="18"/>
      <w:szCs w:val="18"/>
    </w:rPr>
  </w:style>
  <w:style w:type="character" w:customStyle="1" w:styleId="12">
    <w:name w:val="Footer Char"/>
    <w:basedOn w:val="7"/>
    <w:link w:val="4"/>
    <w:semiHidden/>
    <w:qFormat/>
    <w:locked/>
    <w:uiPriority w:val="99"/>
    <w:rPr>
      <w:rFonts w:ascii="Calibri" w:hAnsi="Calibri" w:cs="Times New Roman"/>
      <w:sz w:val="18"/>
      <w:szCs w:val="18"/>
    </w:rPr>
  </w:style>
  <w:style w:type="character" w:customStyle="1" w:styleId="13">
    <w:name w:val="Header Char"/>
    <w:basedOn w:val="7"/>
    <w:link w:val="5"/>
    <w:semiHidden/>
    <w:qFormat/>
    <w:locked/>
    <w:uiPriority w:val="99"/>
    <w:rPr>
      <w:rFonts w:ascii="Calibri" w:hAnsi="Calibri" w:cs="Times New Roman"/>
      <w:sz w:val="18"/>
      <w:szCs w:val="18"/>
    </w:rPr>
  </w:style>
  <w:style w:type="character" w:customStyle="1" w:styleId="14">
    <w:name w:val="标题1"/>
    <w:basedOn w:val="7"/>
    <w:qFormat/>
    <w:uiPriority w:val="99"/>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9</Pages>
  <Words>857</Words>
  <Characters>4891</Characters>
  <Lines>0</Lines>
  <Paragraphs>0</Paragraphs>
  <TotalTime>0</TotalTime>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2021-04-21T05:18:00Z</dcterms:created>
  <dc:creator>Administrator</dc:creator>
  <cp:lastModifiedBy>未知</cp:lastModifiedBy>
  <cp:lastPrinted>2021-08-03T06:55:00Z</cp:lastPrinted>
  <dcterms:modified xsi:type="dcterms:W3CDTF">2021-09-07T07:55:16Z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A859B89514B941B0940E9439C496D6C8</vt:lpwstr>
  </property>
</Properties>
</file>