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rPr>
          <w:rFonts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六安</w:t>
      </w:r>
      <w:r>
        <w:rPr>
          <w:rFonts w:hint="eastAsia" w:ascii="方正小标宋简体" w:hAnsi="方正小标宋简体" w:eastAsia="方正小标宋简体" w:cs="方正小标宋简体"/>
          <w:sz w:val="44"/>
          <w:szCs w:val="44"/>
          <w:lang w:eastAsia="zh-CN"/>
        </w:rPr>
        <w:t>市饮用水水源地保护攻坚战实施方案</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rPr>
          <w:rFonts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为全面贯彻落实《安徽省人民政府办公厅关于印发安徽省饮用水水源地保护攻坚战实施方案的通知》（皖政办秘〔2019〕24号）精神，加快解决我市饮用水水源地突出环境问题，保障群众饮用水安全，制定本方案。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outlineLvl w:val="9"/>
        <w:rPr>
          <w:rFonts w:hint="eastAsia" w:ascii="仿宋_GB2312" w:hAnsi="宋体" w:eastAsia="仿宋_GB2312" w:cs="宋体"/>
          <w:b/>
          <w:kern w:val="0"/>
          <w:sz w:val="32"/>
          <w:szCs w:val="32"/>
          <w:lang w:val="en-US" w:eastAsia="zh-CN" w:bidi="ar-SA"/>
        </w:rPr>
      </w:pPr>
      <w:r>
        <w:rPr>
          <w:rFonts w:hint="eastAsia" w:ascii="仿宋_GB2312" w:hAnsi="宋体" w:eastAsia="仿宋_GB2312" w:cs="宋体"/>
          <w:b/>
          <w:kern w:val="0"/>
          <w:sz w:val="32"/>
          <w:szCs w:val="32"/>
          <w:lang w:val="en-US" w:eastAsia="zh-CN" w:bidi="ar-SA"/>
        </w:rPr>
        <w:t>一、总体要求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以习近</w:t>
      </w:r>
      <w:r>
        <w:rPr>
          <w:rFonts w:hint="default" w:ascii="Times New Roman" w:hAnsi="Times New Roman" w:eastAsia="仿宋_GB2312" w:cs="Times New Roman"/>
          <w:color w:val="auto"/>
          <w:sz w:val="32"/>
          <w:szCs w:val="32"/>
          <w:highlight w:val="none"/>
          <w:lang w:eastAsia="zh-CN"/>
        </w:rPr>
        <w:t>平生态文明思想为指导，践行绿水青山就是金山银山的理念，坚定不移走生态优先绿色发展新道路。紧紧围绕打好污染防治攻坚战的总体要求，</w:t>
      </w:r>
      <w:r>
        <w:rPr>
          <w:rFonts w:hint="eastAsia" w:ascii="Times New Roman" w:hAnsi="Times New Roman" w:eastAsia="仿宋_GB2312" w:cs="Times New Roman"/>
          <w:color w:val="auto"/>
          <w:sz w:val="32"/>
          <w:szCs w:val="32"/>
          <w:highlight w:val="none"/>
          <w:lang w:eastAsia="zh-CN"/>
        </w:rPr>
        <w:t>坚持</w:t>
      </w:r>
      <w:r>
        <w:rPr>
          <w:rFonts w:hint="default" w:ascii="Times New Roman" w:hAnsi="Times New Roman" w:eastAsia="仿宋_GB2312" w:cs="Times New Roman"/>
          <w:color w:val="auto"/>
          <w:sz w:val="32"/>
          <w:szCs w:val="32"/>
          <w:highlight w:val="none"/>
          <w:lang w:eastAsia="zh-CN"/>
        </w:rPr>
        <w:t>以保障饮用水水源地水质安全为核心，</w:t>
      </w:r>
      <w:r>
        <w:rPr>
          <w:rFonts w:hint="eastAsia" w:ascii="Times New Roman" w:hAnsi="Times New Roman" w:eastAsia="仿宋_GB2312" w:cs="Times New Roman"/>
          <w:color w:val="auto"/>
          <w:sz w:val="32"/>
          <w:szCs w:val="32"/>
          <w:highlight w:val="none"/>
          <w:lang w:eastAsia="zh-CN"/>
        </w:rPr>
        <w:t>坚持以人为本，保护优先的工作原则，</w:t>
      </w:r>
      <w:r>
        <w:rPr>
          <w:rFonts w:hint="default" w:ascii="Times New Roman" w:hAnsi="Times New Roman" w:eastAsia="仿宋_GB2312" w:cs="Times New Roman"/>
          <w:color w:val="auto"/>
          <w:sz w:val="32"/>
          <w:szCs w:val="32"/>
          <w:highlight w:val="none"/>
          <w:lang w:eastAsia="zh-CN"/>
        </w:rPr>
        <w:t>不断完善饮用水水源地保护区制度，显著提升饮用水水源地规范化建设水平，全面整治饮用水水源保护区内环境问题，明显提高饮用水水源风险防控和应急能力，持</w:t>
      </w:r>
      <w:r>
        <w:rPr>
          <w:rFonts w:hint="default" w:ascii="Times New Roman" w:hAnsi="Times New Roman" w:eastAsia="仿宋_GB2312" w:cs="Times New Roman"/>
          <w:sz w:val="32"/>
          <w:szCs w:val="32"/>
          <w:lang w:eastAsia="zh-CN"/>
        </w:rPr>
        <w:t>续改善饮用水水源地环境质量，让人民群众喝上干净水、放心水。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outlineLvl w:val="9"/>
        <w:rPr>
          <w:rFonts w:ascii="黑体" w:hAnsi="黑体" w:eastAsia="黑体" w:cs="黑体"/>
          <w:sz w:val="32"/>
          <w:szCs w:val="32"/>
        </w:rPr>
      </w:pPr>
      <w:r>
        <w:rPr>
          <w:rFonts w:hint="eastAsia" w:ascii="仿宋_GB2312" w:hAnsi="宋体" w:eastAsia="仿宋_GB2312" w:cs="宋体"/>
          <w:b/>
          <w:kern w:val="0"/>
          <w:sz w:val="32"/>
          <w:szCs w:val="32"/>
          <w:lang w:val="en-US" w:eastAsia="zh-CN" w:bidi="ar-SA"/>
        </w:rPr>
        <w:t>二、工作目标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到2019年底，完成县级地表水型饮用水水源地规范化建设（</w:t>
      </w:r>
      <w:r>
        <w:rPr>
          <w:rFonts w:hint="default" w:ascii="Times New Roman" w:hAnsi="Times New Roman" w:eastAsia="仿宋_GB2312" w:cs="Times New Roman"/>
          <w:color w:val="auto"/>
          <w:sz w:val="32"/>
          <w:szCs w:val="32"/>
          <w:highlight w:val="none"/>
          <w:lang w:val="en-US" w:eastAsia="zh-CN"/>
        </w:rPr>
        <w:t>包括备用水源</w:t>
      </w:r>
      <w:r>
        <w:rPr>
          <w:rFonts w:hint="default" w:ascii="Times New Roman" w:hAnsi="Times New Roman" w:eastAsia="仿宋_GB2312" w:cs="Times New Roman"/>
          <w:color w:val="auto"/>
          <w:sz w:val="32"/>
          <w:szCs w:val="32"/>
          <w:highlight w:val="none"/>
          <w:lang w:eastAsia="zh-CN"/>
        </w:rPr>
        <w:t>）；完成供水人口10000人或日供水1000吨以上的</w:t>
      </w:r>
      <w:r>
        <w:rPr>
          <w:rFonts w:hint="eastAsia"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lang w:eastAsia="zh-CN"/>
        </w:rPr>
        <w:t>所有饮用水水源地（包括地下水型饮用水水源地）信息摸底及问题排查工作。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到2020年底，完成供水人口10000人或日供水1000吨以上的其他所有饮用水水源地（包括地下水型饮用水水源地）保护区划定、边界标志设立及环境违法问题整治工作；供水人口10000人或日供水1000吨以上饮用水水源地建立水质监测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outlineLvl w:val="9"/>
        <w:rPr>
          <w:rFonts w:hint="eastAsia" w:ascii="仿宋_GB2312" w:hAnsi="宋体" w:eastAsia="仿宋_GB2312" w:cs="宋体"/>
          <w:b/>
          <w:kern w:val="0"/>
          <w:sz w:val="32"/>
          <w:szCs w:val="32"/>
          <w:lang w:val="en-US" w:eastAsia="zh-CN" w:bidi="ar-SA"/>
        </w:rPr>
      </w:pPr>
      <w:r>
        <w:rPr>
          <w:rFonts w:hint="eastAsia" w:ascii="仿宋_GB2312" w:hAnsi="宋体" w:eastAsia="仿宋_GB2312" w:cs="宋体"/>
          <w:b/>
          <w:kern w:val="0"/>
          <w:sz w:val="32"/>
          <w:szCs w:val="32"/>
          <w:lang w:val="en-US" w:eastAsia="zh-CN" w:bidi="ar-SA"/>
        </w:rPr>
        <w:t>三、主要任务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（一）合理规划布局农村水源地。</w:t>
      </w:r>
      <w:r>
        <w:rPr>
          <w:rFonts w:hint="eastAsia" w:ascii="Times New Roman" w:hAnsi="Times New Roman" w:eastAsia="仿宋_GB2312" w:cs="Times New Roman"/>
          <w:b w:val="0"/>
          <w:bCs w:val="0"/>
          <w:color w:val="auto"/>
          <w:sz w:val="32"/>
          <w:szCs w:val="32"/>
          <w:lang w:val="en-US" w:eastAsia="zh-CN"/>
        </w:rPr>
        <w:t>县级以上地方人民政府应综合考虑自然禀赋、地形地貌、用水需求、污染源分布、技术经济条件等因素，科学布局农村水源地，减少潜在的环境隐患，合理论证取水口选址；有条件的地区可以采取城镇供水管网延伸或者建设跨村、跨乡镇联片集中供水工程等方式，发展规模集中供水、县级以上有审批权的水行政主管部门负责本行政区内农村饮水安全工程建设、管理、维护以及取水许可。</w:t>
      </w:r>
      <w:r>
        <w:rPr>
          <w:rFonts w:hint="default" w:ascii="Times New Roman" w:hAnsi="Times New Roman" w:eastAsia="仿宋_GB2312" w:cs="Times New Roman"/>
          <w:b w:val="0"/>
          <w:bCs w:val="0"/>
          <w:color w:val="auto"/>
          <w:sz w:val="32"/>
          <w:szCs w:val="32"/>
          <w:lang w:val="en-US" w:eastAsia="zh-CN"/>
        </w:rPr>
        <w:t>（市生态环境局牵头，各县、区政府落实）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严格水源地设置，新水源地的设置要符合水源保护区管理的相关要求，在充分论证的基础上，科学选址，确保新水源地水量保障、水质安全、无安全隐患。新设水源地要在正式投入使用前完成保护区划定工作。（市生态环境局、市水利局、市住建局按职能分工负责，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楷体" w:hAnsi="楷体" w:eastAsia="楷体" w:cs="楷体"/>
          <w:b w:val="0"/>
          <w:bCs w:val="0"/>
          <w:sz w:val="32"/>
          <w:szCs w:val="32"/>
          <w:lang w:val="en-US" w:eastAsia="zh-CN"/>
        </w:rPr>
        <w:t>（二）划定饮用水水源保护区。</w:t>
      </w:r>
      <w:r>
        <w:rPr>
          <w:rFonts w:hint="default" w:ascii="Times New Roman" w:hAnsi="Times New Roman" w:eastAsia="仿宋_GB2312" w:cs="Times New Roman"/>
          <w:b w:val="0"/>
          <w:bCs w:val="0"/>
          <w:sz w:val="32"/>
          <w:szCs w:val="32"/>
          <w:lang w:val="en-US" w:eastAsia="zh-CN"/>
        </w:rPr>
        <w:t>全市县级及以上地表水型饮用水水源地、供水人口10000人或日供水1000吨以上的其他饮用水水源地应按照《饮用水水源保护区划分技术规范》（HJ338－2018）划定饮用水水源地保护区。其中，县级及以上城市饮用水水源地保护区划定方案由市人民政府报省人民政府批准；县级以下饮用水水源保护区划定方案由所在地乡镇人民政府报县级人民政府批准；划定保护区的饮用水水源地应编制集中式饮用水水源编码，建档立册，归集管理。（市生态环境局牵头，各县、区政府落实</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三</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规范</w:t>
      </w:r>
      <w:r>
        <w:rPr>
          <w:rFonts w:hint="default" w:ascii="楷体" w:hAnsi="楷体" w:eastAsia="楷体" w:cs="楷体"/>
          <w:b w:val="0"/>
          <w:bCs w:val="0"/>
          <w:color w:val="auto"/>
          <w:sz w:val="32"/>
          <w:szCs w:val="32"/>
          <w:highlight w:val="none"/>
          <w:lang w:val="en-US" w:eastAsia="zh-CN"/>
        </w:rPr>
        <w:t>设立</w:t>
      </w:r>
      <w:r>
        <w:rPr>
          <w:rFonts w:hint="eastAsia" w:ascii="楷体" w:hAnsi="楷体" w:eastAsia="楷体" w:cs="楷体"/>
          <w:b w:val="0"/>
          <w:bCs w:val="0"/>
          <w:color w:val="auto"/>
          <w:sz w:val="32"/>
          <w:szCs w:val="32"/>
          <w:highlight w:val="none"/>
          <w:lang w:val="en-US" w:eastAsia="zh-CN"/>
        </w:rPr>
        <w:t>饮用水水源</w:t>
      </w:r>
      <w:r>
        <w:rPr>
          <w:rFonts w:hint="default" w:ascii="楷体" w:hAnsi="楷体" w:eastAsia="楷体" w:cs="楷体"/>
          <w:b w:val="0"/>
          <w:bCs w:val="0"/>
          <w:color w:val="auto"/>
          <w:sz w:val="32"/>
          <w:szCs w:val="32"/>
          <w:highlight w:val="none"/>
          <w:lang w:val="en-US" w:eastAsia="zh-CN"/>
        </w:rPr>
        <w:t>保护区</w:t>
      </w:r>
      <w:r>
        <w:rPr>
          <w:rFonts w:hint="eastAsia" w:ascii="楷体" w:hAnsi="楷体" w:eastAsia="楷体" w:cs="楷体"/>
          <w:b w:val="0"/>
          <w:bCs w:val="0"/>
          <w:color w:val="auto"/>
          <w:sz w:val="32"/>
          <w:szCs w:val="32"/>
          <w:highlight w:val="none"/>
          <w:lang w:val="en-US" w:eastAsia="zh-CN"/>
        </w:rPr>
        <w:t>边界</w:t>
      </w:r>
      <w:r>
        <w:rPr>
          <w:rFonts w:hint="default" w:ascii="楷体" w:hAnsi="楷体" w:eastAsia="楷体" w:cs="楷体"/>
          <w:b w:val="0"/>
          <w:bCs w:val="0"/>
          <w:color w:val="auto"/>
          <w:sz w:val="32"/>
          <w:szCs w:val="32"/>
          <w:highlight w:val="none"/>
          <w:lang w:val="en-US" w:eastAsia="zh-CN"/>
        </w:rPr>
        <w:t>标志。</w:t>
      </w:r>
      <w:r>
        <w:rPr>
          <w:rFonts w:hint="default" w:ascii="Times New Roman" w:hAnsi="Times New Roman" w:eastAsia="仿宋_GB2312" w:cs="Times New Roman"/>
          <w:b w:val="0"/>
          <w:bCs w:val="0"/>
          <w:color w:val="auto"/>
          <w:sz w:val="32"/>
          <w:szCs w:val="32"/>
          <w:highlight w:val="none"/>
          <w:lang w:val="en-US" w:eastAsia="zh-CN"/>
        </w:rPr>
        <w:t>按照《饮用水水源保护区标志技术要求》（HJ/T433－2008）规定，在保护区界线顶点、重要拐点、陆域水域交界点设立明</w:t>
      </w:r>
      <w:r>
        <w:rPr>
          <w:rFonts w:hint="default" w:ascii="Times New Roman" w:hAnsi="Times New Roman" w:eastAsia="仿宋_GB2312" w:cs="Times New Roman"/>
          <w:b w:val="0"/>
          <w:bCs w:val="0"/>
          <w:sz w:val="32"/>
          <w:szCs w:val="32"/>
          <w:lang w:val="en-US" w:eastAsia="zh-CN"/>
        </w:rPr>
        <w:t>显界牌、界碑；在穿越保护区的公路、航道等交通路线进入点和驶出点设置警示标识；一级保护区周边人类活动频繁的区域，二级保护区</w:t>
      </w:r>
      <w:r>
        <w:rPr>
          <w:rFonts w:hint="default" w:ascii="Times New Roman" w:hAnsi="Times New Roman" w:eastAsia="仿宋_GB2312" w:cs="Times New Roman"/>
          <w:sz w:val="32"/>
          <w:szCs w:val="32"/>
        </w:rPr>
        <w:t>内县级及以上道路和景观步行道应设置隔离防护设施。2019年底前，县级及以上饮用水水源地完成保护区边界标志及隔离设置。2020年底前，供水人口10000人或日供水1000吨以上的其他所有饮用水水源地（包括地下水型饮用水水源地和县级以下地表水型饮用水水源地）完成保护区标志及隔离设置。今后新设水源地要在保护区批准后3个月内完成标志设置。（市生态环境局、市交通局、市水利局按职能分工负责，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四</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稳步推进饮用水水源保护区</w:t>
      </w:r>
      <w:r>
        <w:rPr>
          <w:rFonts w:hint="default" w:ascii="楷体" w:hAnsi="楷体" w:eastAsia="楷体" w:cs="楷体"/>
          <w:b w:val="0"/>
          <w:bCs w:val="0"/>
          <w:color w:val="auto"/>
          <w:sz w:val="32"/>
          <w:szCs w:val="32"/>
          <w:highlight w:val="none"/>
          <w:lang w:val="en-US" w:eastAsia="zh-CN"/>
        </w:rPr>
        <w:t>各类环境问题整治。</w:t>
      </w:r>
      <w:r>
        <w:rPr>
          <w:rFonts w:hint="default" w:ascii="Times New Roman" w:hAnsi="Times New Roman" w:eastAsia="仿宋_GB2312" w:cs="Times New Roman"/>
          <w:color w:val="auto"/>
          <w:sz w:val="32"/>
          <w:szCs w:val="32"/>
          <w:highlight w:val="none"/>
          <w:lang w:val="en-US" w:eastAsia="zh-CN"/>
        </w:rPr>
        <w:t>2019年底前，拆除或关闭饮用水水源地一级保护区内与供水设施和保护水源无关的建设项目，落实原住居民住宅污染防治措施</w:t>
      </w:r>
      <w:r>
        <w:rPr>
          <w:rFonts w:hint="eastAsia" w:ascii="Times New Roman" w:hAnsi="Times New Roman" w:eastAsia="仿宋_GB2312" w:cs="Times New Roman"/>
          <w:color w:val="auto"/>
          <w:sz w:val="32"/>
          <w:szCs w:val="32"/>
          <w:highlight w:val="none"/>
          <w:lang w:val="en-US" w:eastAsia="zh-CN"/>
        </w:rPr>
        <w:t>（保护区内的村庄，应优先开展农村人居环境综合整治工作。保护区划定前已存在的复核“一户一宅”政策和标准的自建房，以及二级保护区内原住居民利用自建房开办的农家乐，其产生的生活污水应因地制宜采用化粪池、氧化塘、湿地等措施进行处理处置；二级保护区内已建成的集镇、其产生的生活污水应收集后，通过集中式或分散式污水处理设施进行处理。水源保护区内生活垃圾应全部收集外运）</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eastAsia="仿宋_GB2312" w:cs="Times New Roman"/>
          <w:sz w:val="32"/>
          <w:szCs w:val="32"/>
          <w:lang w:val="en-US" w:eastAsia="zh-CN"/>
        </w:rPr>
        <w:t>0年6月底前，拆除或关闭二级保护区内排放污染物的建设项目和从事危险化学品、煤炭、矿砂、水泥装卸作业的货运码头，落实其他类型码头及建设项目污染防治措施，否则应予拆除或关闭。2020年底前，全面关闭或拆除饮用水水源地保护区内排污口。（市生态环境局、市交通局、市住建局按职能分工负责</w:t>
      </w:r>
      <w:r>
        <w:rPr>
          <w:rFonts w:hint="default" w:ascii="Times New Roman" w:hAnsi="Times New Roman" w:eastAsia="仿宋_GB2312" w:cs="Times New Roman"/>
          <w:sz w:val="32"/>
          <w:szCs w:val="32"/>
        </w:rPr>
        <w:t>，各县、区政府落实）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饮用水水源地一级保护区禁止从事施用化肥农药的农业种植、畜禽养殖、网箱养殖、坑塘养殖和水面围网养殖，2019年年底前拆除或取缔已有项目。二级保护区禁止建设有污染物排放的养殖场（畜禽粪便、养殖废水、沼渣、沼液等经过无害化处理用作肥料还田，以及其他符合法律法规和国家、地方相关标准要求不造成环境污染的，不属于排放污染物）；2020年6月底前落实农业种植、网箱养殖、坑塘养殖、水面围网养殖污染防治措施，否则，应予拆除或取缔。（市生态环境局、市农业农村局按职能分工负责，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019年底前，全面拆除或关闭一级保护区内加油站、加气站，完成二级保护区内加油站双层罐体改造。2020年底前，完成保护区内城市雨水排口、排涝口雨污分流改造。（市生态环境局、市城管执法局、市商务局、市文化和旅游局、市市场监管局按职能分工负责，各县、区政府落实）</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持续</w:t>
      </w:r>
      <w:r>
        <w:rPr>
          <w:rFonts w:hint="default" w:ascii="楷体" w:hAnsi="楷体" w:eastAsia="楷体" w:cs="楷体"/>
          <w:b w:val="0"/>
          <w:bCs w:val="0"/>
          <w:color w:val="auto"/>
          <w:sz w:val="32"/>
          <w:szCs w:val="32"/>
          <w:highlight w:val="none"/>
          <w:lang w:val="en-US" w:eastAsia="zh-CN"/>
        </w:rPr>
        <w:t>提升</w:t>
      </w:r>
      <w:r>
        <w:rPr>
          <w:rFonts w:hint="eastAsia" w:ascii="楷体" w:hAnsi="楷体" w:eastAsia="楷体" w:cs="楷体"/>
          <w:b w:val="0"/>
          <w:bCs w:val="0"/>
          <w:color w:val="auto"/>
          <w:sz w:val="32"/>
          <w:szCs w:val="32"/>
          <w:highlight w:val="none"/>
          <w:lang w:val="en-US" w:eastAsia="zh-CN"/>
        </w:rPr>
        <w:t>农村饮水安全保障水平</w:t>
      </w:r>
      <w:r>
        <w:rPr>
          <w:rFonts w:hint="default" w:ascii="楷体" w:hAnsi="楷体" w:eastAsia="楷体" w:cs="楷体"/>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提升水源水质监测能力。各地应统筹生态环境、水利、卫生健康等部门的监测力量，建立监测数据共享机制，并可根据本地实际情况，筛选出适合于现阶段监测能力的常规监测指标，必要时增加特征指标，统一布点、统一监测、统一标准、统一评价，按相关要求定期开展水源水质监测。</w:t>
      </w:r>
      <w:r>
        <w:rPr>
          <w:rFonts w:hint="default" w:ascii="Times New Roman" w:hAnsi="Times New Roman" w:eastAsia="仿宋_GB2312" w:cs="Times New Roman"/>
          <w:sz w:val="32"/>
          <w:szCs w:val="32"/>
          <w:lang w:val="en-US" w:eastAsia="zh-CN"/>
        </w:rPr>
        <w:t>落实饮用水水源水、出厂水、管网水、末梢水全过</w:t>
      </w:r>
      <w:r>
        <w:rPr>
          <w:rFonts w:hint="default" w:ascii="Times New Roman" w:hAnsi="Times New Roman" w:eastAsia="仿宋_GB2312" w:cs="Times New Roman"/>
          <w:sz w:val="32"/>
          <w:szCs w:val="32"/>
        </w:rPr>
        <w:t>程管理要求。县级城市按现行措施定期开展饮用水水源、供水单位、用户水龙头出水水质监测，以及饮用水水源全指标监测，并定期公布信息；加强预警监测能力建设，根据水源地水</w:t>
      </w:r>
      <w:bookmarkStart w:id="0" w:name="_GoBack"/>
      <w:r>
        <w:rPr>
          <w:rFonts w:hint="default" w:ascii="Times New Roman" w:hAnsi="Times New Roman" w:eastAsia="仿宋_GB2312" w:cs="Times New Roman"/>
          <w:sz w:val="32"/>
          <w:szCs w:val="32"/>
        </w:rPr>
        <w:t>质特征布设在线监测设施，动态掌握水质和风险状况。县级以下供水人口10000人或日供水1000吨以上的其他所有饮用水水源地，</w:t>
      </w:r>
      <w:r>
        <w:rPr>
          <w:rFonts w:hint="eastAsia"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年建立水质监测机制，明确水源水、出厂水、管网水、末梢水监测指标</w:t>
      </w:r>
      <w:bookmarkEnd w:id="0"/>
      <w:r>
        <w:rPr>
          <w:rFonts w:hint="default" w:ascii="Times New Roman" w:hAnsi="Times New Roman" w:eastAsia="仿宋_GB2312" w:cs="Times New Roman"/>
          <w:sz w:val="32"/>
          <w:szCs w:val="32"/>
        </w:rPr>
        <w:t>、监测频次及信息公开要求</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开展水源地环境状况调查评估，基本掌握农村水源数量、水质状况、保护区建设和管理状况等，并动态更新。对水质不达标的水源，采取水源更换、集中供水、污染治理等措施，确保农村饮水安全。</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（市生态环境局、市住建局、市卫生健康委按职能分工负责，各县、区政府落实）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lang w:val="en-US" w:eastAsia="zh-CN"/>
        </w:rPr>
      </w:pPr>
      <w:r>
        <w:rPr>
          <w:rFonts w:hint="default"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eastAsia="zh-CN"/>
        </w:rPr>
        <w:t>六</w:t>
      </w:r>
      <w:r>
        <w:rPr>
          <w:rFonts w:hint="default" w:ascii="楷体" w:hAnsi="楷体" w:eastAsia="楷体" w:cs="楷体"/>
          <w:b w:val="0"/>
          <w:bCs w:val="0"/>
          <w:sz w:val="32"/>
          <w:szCs w:val="32"/>
          <w:lang w:val="en-US" w:eastAsia="zh-CN"/>
        </w:rPr>
        <w:t>）推进水源地周边综合整治。</w:t>
      </w:r>
      <w:r>
        <w:rPr>
          <w:rFonts w:hint="default" w:ascii="Times New Roman" w:hAnsi="Times New Roman" w:eastAsia="仿宋_GB2312" w:cs="Times New Roman"/>
          <w:sz w:val="32"/>
          <w:szCs w:val="32"/>
          <w:lang w:val="en-US" w:eastAsia="zh-CN"/>
        </w:rPr>
        <w:t>开展饮用水水源地周边环境安全隐患排查，建立风险源名录，强化属地管理，完善网格化管理体系，对可能影响水源地水质的违法行为，做到及时发现、立即制止、快速查处。加快调整优化保护范围周边及上游产业结构和布局，严</w:t>
      </w:r>
      <w:r>
        <w:rPr>
          <w:rFonts w:hint="default" w:ascii="Times New Roman" w:hAnsi="Times New Roman" w:eastAsia="仿宋_GB2312" w:cs="Times New Roman"/>
          <w:color w:val="auto"/>
          <w:sz w:val="32"/>
          <w:szCs w:val="32"/>
          <w:highlight w:val="none"/>
          <w:lang w:val="en-US" w:eastAsia="zh-CN"/>
        </w:rPr>
        <w:t>控制药、化工、制革、印染、染料、炼焦、炼硫、炼砷、炼油、电镀、农药等对水体污染严重的建设项目，着力消除水源污染风险。</w:t>
      </w:r>
      <w:r>
        <w:rPr>
          <w:rFonts w:hint="eastAsia" w:ascii="Times New Roman" w:hAnsi="Times New Roman" w:eastAsia="仿宋_GB2312" w:cs="Times New Roman"/>
          <w:color w:val="auto"/>
          <w:sz w:val="32"/>
          <w:szCs w:val="32"/>
          <w:highlight w:val="none"/>
          <w:lang w:val="en-US" w:eastAsia="zh-CN"/>
        </w:rPr>
        <w:t>参照《集中式地表饮用水水源地环境应急管理工作指南（试行）》，以县级行政区域为基本单元，编制农村饮用水水源突发环境事件应急预案，应急处置措施要切合实际，简单易行，具有可操作性；一旦发生污染事件，立即启动应急方案，采取有效措施保障群众饮水安全。</w:t>
      </w:r>
      <w:r>
        <w:rPr>
          <w:rFonts w:hint="default" w:ascii="Times New Roman" w:hAnsi="Times New Roman" w:eastAsia="仿宋_GB2312" w:cs="Times New Roman"/>
          <w:color w:val="auto"/>
          <w:sz w:val="32"/>
          <w:szCs w:val="32"/>
          <w:highlight w:val="none"/>
          <w:lang w:val="en-US" w:eastAsia="zh-CN"/>
        </w:rPr>
        <w:t>（市生态</w:t>
      </w:r>
      <w:r>
        <w:rPr>
          <w:rFonts w:hint="default" w:ascii="Times New Roman" w:hAnsi="Times New Roman" w:eastAsia="仿宋_GB2312" w:cs="Times New Roman"/>
          <w:sz w:val="32"/>
          <w:szCs w:val="32"/>
          <w:lang w:val="en-US" w:eastAsia="zh-CN"/>
        </w:rPr>
        <w:t>环境局、市发展改革委、市经信局按职能分工负责，各县、区政府落实）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outlineLvl w:val="9"/>
        <w:rPr>
          <w:rFonts w:hint="default" w:ascii="Times New Roman" w:hAnsi="Times New Roman" w:eastAsia="仿宋_GB2312" w:cs="Times New Roman"/>
          <w:b/>
          <w:kern w:val="0"/>
          <w:sz w:val="32"/>
          <w:szCs w:val="32"/>
          <w:lang w:val="en-US" w:eastAsia="zh-CN" w:bidi="ar-SA"/>
        </w:rPr>
      </w:pPr>
      <w:r>
        <w:rPr>
          <w:rFonts w:hint="default" w:ascii="Times New Roman" w:hAnsi="Times New Roman" w:eastAsia="仿宋_GB2312" w:cs="Times New Roman"/>
          <w:b/>
          <w:kern w:val="0"/>
          <w:sz w:val="32"/>
          <w:szCs w:val="32"/>
          <w:lang w:val="en-US" w:eastAsia="zh-CN" w:bidi="ar-SA"/>
        </w:rPr>
        <w:t>四、时间步骤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（一）认真开展“回头看”。在2018年整治工作基础上，对地级饮用水水源地、县级地表水型饮用水水源地开展“回头看”，对死灰复燃或整治不到位、不彻底问题，于2019年</w:t>
      </w:r>
      <w:r>
        <w:rPr>
          <w:rFonts w:hint="default" w:ascii="Times New Roman" w:hAnsi="Times New Roman" w:eastAsia="仿宋_GB2312" w:cs="Times New Roman"/>
          <w:sz w:val="32"/>
          <w:szCs w:val="32"/>
          <w:lang w:val="en-US" w:eastAsia="zh-CN"/>
        </w:rPr>
        <w:t>全部</w:t>
      </w:r>
      <w:r>
        <w:rPr>
          <w:rFonts w:hint="default" w:ascii="Times New Roman" w:hAnsi="Times New Roman" w:eastAsia="仿宋_GB2312" w:cs="Times New Roman"/>
          <w:sz w:val="32"/>
          <w:szCs w:val="32"/>
        </w:rPr>
        <w:t>清理完毕。除城市发展需要外，不再频繁调整县级及以上饮用水水源地保护区，稳步推进保护区规范化建设。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持续深入整治。2019年6月底前，完成供水人口10000人或日供水1000吨以上的其他所有饮用水水源地（包括地下水型饮用水水源地和县级以下地表水型饮用水水源地）基础信息、保护区划定和环境违法违规问题排查，建立工作台账。鼓励实施县级以下饮用水水源地取水口、保护区整合，优化城乡供水网络，提升管理效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整体巩固提升。2020年底前，县级及以上饮用水水源地完成规范化建设；县级以下供水人口10000人或日供水1000吨以上的饮用水水源地完成环境违法违规问题整治，建立水质监测机制。市、县级集中式饮用水水源水质达到或优于Ⅲ类比例达100%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outlineLvl w:val="9"/>
        <w:rPr>
          <w:rFonts w:hint="default" w:ascii="Times New Roman" w:hAnsi="Times New Roman" w:eastAsia="仿宋_GB2312" w:cs="Times New Roman"/>
          <w:b/>
          <w:kern w:val="0"/>
          <w:sz w:val="32"/>
          <w:szCs w:val="32"/>
          <w:lang w:val="en-US" w:eastAsia="zh-CN" w:bidi="ar-SA"/>
        </w:rPr>
      </w:pPr>
      <w:r>
        <w:rPr>
          <w:rFonts w:hint="default" w:ascii="Times New Roman" w:hAnsi="Times New Roman" w:eastAsia="仿宋_GB2312" w:cs="Times New Roman"/>
          <w:b/>
          <w:kern w:val="0"/>
          <w:sz w:val="32"/>
          <w:szCs w:val="32"/>
          <w:lang w:val="en-US" w:eastAsia="zh-CN" w:bidi="ar-SA"/>
        </w:rPr>
        <w:t>五、保障措施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（一）明确工作责任。各县、市、区人民政府对本地饮用水安全负总责。各乡镇、街道按要求履行好属地管理责任。市直有关部门要按照职责分工，加强对市级饮用水源监管，并督促指导地方开展相关整治工作。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强监督考核。各县、市、区饮用水水源地保护攻坚任务完成情况，纳入全市水污染防治目标考核和最严格水资源管理考核，由市生态环境局、市水利局组织评估，报市政府审定。市直有关部门要定期对各地攻坚战实施进展情况进行监督检查，指导饮用水水源安全及全过程水质保障工作。（市生态环境局、市水利局、市住建局等按职能分工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（三）强化风险防控。按照《集中式饮用水水源地规范化建设环境保护技术要求》（HJ 773－2015）规定，开展饮用水水源地周边环境安全隐患排查及饮用水水源地环境风险评估，制定风险防控方案和突发环境事件专项应急预案，在规定地点设置预警监控断面，安装视频监控。穿越保护区范围的路桥、输油、输气管道及饮用水水源地周边高风险区域应设置防撞护栏、事故导流槽、事故应急池、应急物资（装备）储备库等防护工程，上游连接水体设置节制闸、拦污坝、导流渠、调水沟渠等防护工程设施。有毒有害物质、危险化学品运输应采取限重限类限行等管控措施，并加强定位监控。穿越饮用水水源保护区的船只，应配置防止污染物散落、溢流、渗漏设备。（市生态环境局、市住建局</w:t>
      </w:r>
      <w:r>
        <w:rPr>
          <w:rFonts w:hint="default" w:ascii="Times New Roman" w:hAnsi="Times New Roman" w:eastAsia="仿宋_GB2312" w:cs="Times New Roman"/>
          <w:sz w:val="32"/>
          <w:szCs w:val="32"/>
        </w:rPr>
        <w:t>、市交通局、市水利局按职能分工负责，各县、区政府落实）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_GB2312" w:eastAsia="仿宋_GB2312"/>
          <w:sz w:val="32"/>
          <w:szCs w:val="32"/>
        </w:rPr>
      </w:pPr>
      <w:r>
        <w:rPr>
          <w:rFonts w:hint="default" w:ascii="Times New Roman" w:hAnsi="Times New Roman" w:eastAsia="仿宋_GB2312" w:cs="Times New Roman"/>
          <w:sz w:val="32"/>
          <w:szCs w:val="32"/>
        </w:rPr>
        <w:t>（四）推进信息公开。发挥新闻媒介的舆论监督和导向作用，通过地方主要媒体和政府门户网站，积极宣传水源地保护攻坚战工作成效，及时公开整治行动问题清单及相关进展，以公开推动监督，以监督保障落实。市、县（市、区）每季度向社会公开饮用水水源、供水单位供水和用户水龙头出水等水质饮水安全状况信息。加强公众参与意识，提高公共饮水安全风险防范意识，推动饮用水水源地保护工作成为社会参与、共同监督的全民行动。（市生态环境局、市住建局、市卫生健康委按职能分工负责，各县、区政府落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outlineLvl w:val="9"/>
        <w:rPr>
          <w:rFonts w:hint="eastAsia" w:ascii="方正小标宋简体" w:hAnsi="方正小标宋简体" w:eastAsia="方正小标宋简体" w:cs="方正小标宋简体"/>
          <w:sz w:val="32"/>
          <w:szCs w:val="32"/>
          <w:lang w:val="en-US" w:eastAsia="zh-CN"/>
        </w:rPr>
      </w:pPr>
      <w:r>
        <w:rPr>
          <w:rFonts w:hint="eastAsia" w:ascii="仿宋_GB2312" w:eastAsia="仿宋_GB2312"/>
          <w:sz w:val="32"/>
          <w:szCs w:val="32"/>
          <w:lang w:val="en-US" w:eastAsia="zh-CN"/>
        </w:rPr>
        <w:t xml:space="preserve">附件       </w:t>
      </w:r>
      <w:r>
        <w:rPr>
          <w:rFonts w:hint="eastAsia" w:ascii="方正小标宋简体" w:hAnsi="方正小标宋简体" w:eastAsia="方正小标宋简体" w:cs="方正小标宋简体"/>
          <w:sz w:val="32"/>
          <w:szCs w:val="32"/>
          <w:lang w:val="en-US" w:eastAsia="zh-CN"/>
        </w:rPr>
        <w:t>六安市万人千吨水源清单（2019年）</w:t>
      </w:r>
    </w:p>
    <w:tbl>
      <w:tblPr>
        <w:tblStyle w:val="8"/>
        <w:tblW w:w="96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9"/>
        <w:gridCol w:w="994"/>
        <w:gridCol w:w="1200"/>
        <w:gridCol w:w="2145"/>
        <w:gridCol w:w="1050"/>
        <w:gridCol w:w="960"/>
        <w:gridCol w:w="1147"/>
        <w:gridCol w:w="1043"/>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序号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水源类型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服务人口(人)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kern w:val="0"/>
                <w:sz w:val="18"/>
                <w:szCs w:val="18"/>
                <w:u w:val="none"/>
                <w:lang w:val="en-US" w:eastAsia="zh-CN" w:bidi="ar"/>
              </w:rPr>
            </w:pPr>
            <w:r>
              <w:rPr>
                <w:rFonts w:hint="eastAsia" w:ascii="微软雅黑" w:hAnsi="微软雅黑" w:eastAsia="微软雅黑" w:cs="微软雅黑"/>
                <w:b/>
                <w:i w:val="0"/>
                <w:color w:val="auto"/>
                <w:kern w:val="0"/>
                <w:sz w:val="18"/>
                <w:szCs w:val="18"/>
                <w:u w:val="none"/>
                <w:lang w:val="en-US" w:eastAsia="zh-CN" w:bidi="ar"/>
              </w:rPr>
              <w:t>日供水能力</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(吨/天)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实际取水量(万吨/年)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是否划定保护区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临水镇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三郢村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51.1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临淮岗乡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双砖井村1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地下水型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900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32.85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邵岗乡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邵岗村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地下水型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700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25.55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岔路镇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天堂村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6000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周集镇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闸口村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12.78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潘集镇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潘北村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湖泊型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17000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87.6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三流乡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马南园村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湖泊型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1699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62.01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冯瓴乡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龚岗村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39000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夏店镇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砖洪村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39000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54.75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sz w:val="18"/>
                <w:szCs w:val="18"/>
                <w:u w:val="none"/>
                <w:lang w:val="en-US"/>
              </w:rPr>
            </w:pPr>
            <w:r>
              <w:rPr>
                <w:rFonts w:hint="eastAsia" w:ascii="微软雅黑" w:hAnsi="微软雅黑" w:eastAsia="微软雅黑" w:cs="微软雅黑"/>
                <w:i w:val="0"/>
                <w:color w:val="auto"/>
                <w:kern w:val="0"/>
                <w:sz w:val="18"/>
                <w:szCs w:val="18"/>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龙潭镇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龙潭湖村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146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河口镇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河口街道永安社区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地下水型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14.6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众兴集镇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唐老庄村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16000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1600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58.4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临淮岗乡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双砖井村2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地下水型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900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32.85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彭塔乡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赵圩村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27000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54.75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曹庙镇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六安市裕安区固镇关堰村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9.13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霍邱县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高塘镇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渠东村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50000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3013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109.97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金寨县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天堂寨镇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前畈村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109.5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金寨县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南溪镇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吴湾村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29.2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金寨县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斑竹园镇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斑竹园村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36.5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金寨县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桃岭乡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桐岗村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21.9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金寨县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燕子河镇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燕子河街道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700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25.55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金寨县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吴家店镇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吴家店村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14.6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霍山县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下符桥镇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下符桥镇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15800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1140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41.61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霍山县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与儿街镇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与儿街镇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19520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44.79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霍山县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黑石渡镇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黑石渡镇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19000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87.6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南港镇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公义村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1150.7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城关镇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幸福村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4986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181.99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汤池镇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鲁畈村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汤池镇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刘河村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桃溪镇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红光村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493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17.99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张母桥镇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庙冲村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33000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4931.51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杭埠镇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薛泊村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95000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4498.63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164.2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河棚镇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河棚村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18.25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棠树乡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三拐村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杭埠镇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三蕊村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1512.4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55.2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五显镇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五显村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548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柏林乡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跃进村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73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百神庙镇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元棚村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36.5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阙店乡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乔畈村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2274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万佛湖镇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梅岭村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87.6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舒茶镇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茶园村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54.75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高峰乡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明花村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16.43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干汊河镇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九龙塘村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73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百神庙镇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林波村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17000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54.75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千人桥镇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千人桥村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1164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42.49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舒城县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汤池镇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石牌村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28000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109.5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先生店乡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镇中心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21500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1726.02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毛坦厂镇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46000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5753.42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三十铺镇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6575.34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240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城北乡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城北村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127.75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张店镇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1232.87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金安区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双河镇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许楼村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821.91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固镇镇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裕安区固镇镇街道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16000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73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苏埠镇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裕安区苏埠镇横排头村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146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狮子岗乡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狮子岗乡南岳庙村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127.75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韩摆渡镇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裕安区韩摆渡镇马家庵居委会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29.2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韩摆渡镇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裕安区韩摆渡居委会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18700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54.75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石板冲乡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裕安区石板冲乡前场村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水库型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15600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单王乡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裕安区单王乡街道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地下水型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24900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36.5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独山镇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裕安区独山镇街道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22900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73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丁集镇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裕安区丁集镇街道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36400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73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徐集镇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裕安区徐集镇黄巷村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2600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94.9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西河口乡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西河口乡官塘村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城南镇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裕安区经济开发区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96000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547.5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分路口镇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裕安区分路口镇街道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47500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80.3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罗集乡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裕安区罗集乡栗树村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36800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73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固镇镇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裕安区固镇胡桥村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15200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青山乡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裕安区青山乡杨湾村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36.5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69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裕安区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青山乡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青山乡土门店村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河流型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35000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4000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146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是</w:t>
            </w:r>
          </w:p>
        </w:tc>
      </w:tr>
    </w:tbl>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outlineLvl w:val="9"/>
        <w:rPr>
          <w:rFonts w:hint="eastAsia" w:ascii="方正小标宋简体" w:eastAsia="方正小标宋简体"/>
          <w:sz w:val="44"/>
          <w:szCs w:val="44"/>
        </w:rPr>
      </w:pP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outlineLvl w:val="9"/>
        <w:rPr>
          <w:sz w:val="27"/>
          <w:szCs w:val="27"/>
        </w:rPr>
      </w:pP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outlineLvl w:val="9"/>
        <w:rPr>
          <w:sz w:val="27"/>
          <w:szCs w:val="27"/>
        </w:rPr>
      </w:pP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outlineLvl w:val="9"/>
        <w:rPr>
          <w:sz w:val="27"/>
          <w:szCs w:val="27"/>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outlineLvl w:val="9"/>
        <w:rPr>
          <w:rFonts w:ascii="仿宋_GB2312" w:hAnsi="仿宋" w:eastAsia="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9562"/>
    </w:sdtPr>
    <w:sdtContent>
      <w:p>
        <w:pPr>
          <w:pStyle w:val="3"/>
        </w:pPr>
        <w:r>
          <w:ptab w:relativeTo="margin" w:alignment="center" w:leader="none"/>
        </w:r>
        <w:r>
          <w:fldChar w:fldCharType="begin"/>
        </w:r>
        <w:r>
          <w:instrText xml:space="preserve"> PAGE   \* MERGEFORMAT </w:instrText>
        </w:r>
        <w:r>
          <w:fldChar w:fldCharType="separate"/>
        </w:r>
        <w:r>
          <w:rPr>
            <w:lang w:val="zh-CN"/>
          </w:rPr>
          <w:t>20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3E25"/>
    <w:multiLevelType w:val="singleLevel"/>
    <w:tmpl w:val="5D2D3E2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58F0"/>
    <w:rsid w:val="00001411"/>
    <w:rsid w:val="00002EA5"/>
    <w:rsid w:val="00007BBB"/>
    <w:rsid w:val="0003434A"/>
    <w:rsid w:val="00035284"/>
    <w:rsid w:val="00050D9C"/>
    <w:rsid w:val="00057A54"/>
    <w:rsid w:val="00061EC1"/>
    <w:rsid w:val="00064EE2"/>
    <w:rsid w:val="00065405"/>
    <w:rsid w:val="00085D9B"/>
    <w:rsid w:val="00087EC8"/>
    <w:rsid w:val="00090EC4"/>
    <w:rsid w:val="00095302"/>
    <w:rsid w:val="000A729D"/>
    <w:rsid w:val="000B1631"/>
    <w:rsid w:val="000B3ACB"/>
    <w:rsid w:val="000D342A"/>
    <w:rsid w:val="000E606C"/>
    <w:rsid w:val="000F7553"/>
    <w:rsid w:val="000F772E"/>
    <w:rsid w:val="00101F40"/>
    <w:rsid w:val="00106FA5"/>
    <w:rsid w:val="0012075F"/>
    <w:rsid w:val="00124DF3"/>
    <w:rsid w:val="00140AED"/>
    <w:rsid w:val="00162707"/>
    <w:rsid w:val="00165224"/>
    <w:rsid w:val="001761C1"/>
    <w:rsid w:val="0017682B"/>
    <w:rsid w:val="001A0C06"/>
    <w:rsid w:val="001A44DE"/>
    <w:rsid w:val="001A583B"/>
    <w:rsid w:val="001B2946"/>
    <w:rsid w:val="001B49B8"/>
    <w:rsid w:val="001C23E5"/>
    <w:rsid w:val="001C2F52"/>
    <w:rsid w:val="001C6494"/>
    <w:rsid w:val="001C72A6"/>
    <w:rsid w:val="001E5B5E"/>
    <w:rsid w:val="001E797F"/>
    <w:rsid w:val="001F0E2C"/>
    <w:rsid w:val="001F1506"/>
    <w:rsid w:val="001F1D1D"/>
    <w:rsid w:val="00205FFD"/>
    <w:rsid w:val="00225084"/>
    <w:rsid w:val="00247320"/>
    <w:rsid w:val="00250B43"/>
    <w:rsid w:val="0025281A"/>
    <w:rsid w:val="00254F76"/>
    <w:rsid w:val="00262104"/>
    <w:rsid w:val="00267CB6"/>
    <w:rsid w:val="00273CC8"/>
    <w:rsid w:val="00281008"/>
    <w:rsid w:val="0029047E"/>
    <w:rsid w:val="00293F75"/>
    <w:rsid w:val="00297B02"/>
    <w:rsid w:val="002A1BB8"/>
    <w:rsid w:val="002A6959"/>
    <w:rsid w:val="002C62CB"/>
    <w:rsid w:val="002D089E"/>
    <w:rsid w:val="002E1482"/>
    <w:rsid w:val="002F0DF3"/>
    <w:rsid w:val="002F5A03"/>
    <w:rsid w:val="00312616"/>
    <w:rsid w:val="003255BF"/>
    <w:rsid w:val="00326F3E"/>
    <w:rsid w:val="00335CD7"/>
    <w:rsid w:val="0034774D"/>
    <w:rsid w:val="00352E46"/>
    <w:rsid w:val="00357E92"/>
    <w:rsid w:val="00362CDA"/>
    <w:rsid w:val="003750C4"/>
    <w:rsid w:val="00376920"/>
    <w:rsid w:val="0039712B"/>
    <w:rsid w:val="00397A30"/>
    <w:rsid w:val="003A2EAB"/>
    <w:rsid w:val="003D6137"/>
    <w:rsid w:val="003E50B5"/>
    <w:rsid w:val="003E6B2B"/>
    <w:rsid w:val="0040093A"/>
    <w:rsid w:val="00400F50"/>
    <w:rsid w:val="004226D8"/>
    <w:rsid w:val="0042575C"/>
    <w:rsid w:val="0042673B"/>
    <w:rsid w:val="00433BEF"/>
    <w:rsid w:val="0044595A"/>
    <w:rsid w:val="00460BFD"/>
    <w:rsid w:val="00467091"/>
    <w:rsid w:val="004720A7"/>
    <w:rsid w:val="00480812"/>
    <w:rsid w:val="00495C8B"/>
    <w:rsid w:val="00497AC6"/>
    <w:rsid w:val="004C3CE5"/>
    <w:rsid w:val="004E2B58"/>
    <w:rsid w:val="004E3366"/>
    <w:rsid w:val="004E4455"/>
    <w:rsid w:val="004E64F3"/>
    <w:rsid w:val="004E76AB"/>
    <w:rsid w:val="004F2468"/>
    <w:rsid w:val="004F4876"/>
    <w:rsid w:val="00525CB7"/>
    <w:rsid w:val="0052754B"/>
    <w:rsid w:val="00531469"/>
    <w:rsid w:val="005352DC"/>
    <w:rsid w:val="00577729"/>
    <w:rsid w:val="005802AD"/>
    <w:rsid w:val="00585F7A"/>
    <w:rsid w:val="00590B8F"/>
    <w:rsid w:val="00593F97"/>
    <w:rsid w:val="005A79F7"/>
    <w:rsid w:val="005B3512"/>
    <w:rsid w:val="005B4D1E"/>
    <w:rsid w:val="005C371A"/>
    <w:rsid w:val="005E1C0E"/>
    <w:rsid w:val="005E2C02"/>
    <w:rsid w:val="005E40BC"/>
    <w:rsid w:val="005E4F7A"/>
    <w:rsid w:val="005E5D02"/>
    <w:rsid w:val="005F467A"/>
    <w:rsid w:val="00600C3B"/>
    <w:rsid w:val="00604909"/>
    <w:rsid w:val="00604CB8"/>
    <w:rsid w:val="00614773"/>
    <w:rsid w:val="006252A0"/>
    <w:rsid w:val="00630846"/>
    <w:rsid w:val="00633064"/>
    <w:rsid w:val="0065434C"/>
    <w:rsid w:val="00661842"/>
    <w:rsid w:val="00677028"/>
    <w:rsid w:val="00677DEC"/>
    <w:rsid w:val="006828B4"/>
    <w:rsid w:val="00682B71"/>
    <w:rsid w:val="006B2F4D"/>
    <w:rsid w:val="006C6260"/>
    <w:rsid w:val="006D105D"/>
    <w:rsid w:val="006D2DCE"/>
    <w:rsid w:val="006E453C"/>
    <w:rsid w:val="006E717A"/>
    <w:rsid w:val="006E7FB9"/>
    <w:rsid w:val="006F09F8"/>
    <w:rsid w:val="006F1AE0"/>
    <w:rsid w:val="00704243"/>
    <w:rsid w:val="007057A4"/>
    <w:rsid w:val="00712ABD"/>
    <w:rsid w:val="00716BD0"/>
    <w:rsid w:val="007200F4"/>
    <w:rsid w:val="0072393C"/>
    <w:rsid w:val="00731B8D"/>
    <w:rsid w:val="00735CEF"/>
    <w:rsid w:val="007362D2"/>
    <w:rsid w:val="007400D7"/>
    <w:rsid w:val="00751B8D"/>
    <w:rsid w:val="00756738"/>
    <w:rsid w:val="0076798A"/>
    <w:rsid w:val="007779DC"/>
    <w:rsid w:val="00784B09"/>
    <w:rsid w:val="0078689D"/>
    <w:rsid w:val="0079372C"/>
    <w:rsid w:val="007B50B3"/>
    <w:rsid w:val="007D0735"/>
    <w:rsid w:val="007D3DC9"/>
    <w:rsid w:val="007D6EB7"/>
    <w:rsid w:val="007D72A9"/>
    <w:rsid w:val="007D7BC9"/>
    <w:rsid w:val="007E461B"/>
    <w:rsid w:val="007E65C1"/>
    <w:rsid w:val="007F58F6"/>
    <w:rsid w:val="007F7C50"/>
    <w:rsid w:val="00827AAE"/>
    <w:rsid w:val="00833B33"/>
    <w:rsid w:val="0083469B"/>
    <w:rsid w:val="0083711C"/>
    <w:rsid w:val="0084296C"/>
    <w:rsid w:val="0084411D"/>
    <w:rsid w:val="00871FBA"/>
    <w:rsid w:val="00873CAC"/>
    <w:rsid w:val="00877053"/>
    <w:rsid w:val="0088427C"/>
    <w:rsid w:val="00885466"/>
    <w:rsid w:val="0089412C"/>
    <w:rsid w:val="008A08F1"/>
    <w:rsid w:val="008A1715"/>
    <w:rsid w:val="008B1968"/>
    <w:rsid w:val="008B4A0E"/>
    <w:rsid w:val="008B6F9E"/>
    <w:rsid w:val="008B7BAB"/>
    <w:rsid w:val="008C1284"/>
    <w:rsid w:val="008D41FB"/>
    <w:rsid w:val="008D7A5D"/>
    <w:rsid w:val="008F4803"/>
    <w:rsid w:val="00917CF0"/>
    <w:rsid w:val="009257BB"/>
    <w:rsid w:val="00931C27"/>
    <w:rsid w:val="00944AC3"/>
    <w:rsid w:val="009460F9"/>
    <w:rsid w:val="0096578C"/>
    <w:rsid w:val="009879E6"/>
    <w:rsid w:val="009B106E"/>
    <w:rsid w:val="009B5B42"/>
    <w:rsid w:val="009D09ED"/>
    <w:rsid w:val="009D1829"/>
    <w:rsid w:val="009D66D4"/>
    <w:rsid w:val="009D7942"/>
    <w:rsid w:val="00A029A1"/>
    <w:rsid w:val="00A16832"/>
    <w:rsid w:val="00A173B9"/>
    <w:rsid w:val="00A33BAF"/>
    <w:rsid w:val="00A514A4"/>
    <w:rsid w:val="00A52D1D"/>
    <w:rsid w:val="00A53F16"/>
    <w:rsid w:val="00A72547"/>
    <w:rsid w:val="00A72585"/>
    <w:rsid w:val="00A7388F"/>
    <w:rsid w:val="00A879D4"/>
    <w:rsid w:val="00A94BB1"/>
    <w:rsid w:val="00AA2558"/>
    <w:rsid w:val="00AA350D"/>
    <w:rsid w:val="00AA678D"/>
    <w:rsid w:val="00AC506E"/>
    <w:rsid w:val="00AD11B5"/>
    <w:rsid w:val="00AD3955"/>
    <w:rsid w:val="00AD6A2D"/>
    <w:rsid w:val="00AD6F5A"/>
    <w:rsid w:val="00AE4C30"/>
    <w:rsid w:val="00B11E2F"/>
    <w:rsid w:val="00B158F0"/>
    <w:rsid w:val="00B2344C"/>
    <w:rsid w:val="00B27F35"/>
    <w:rsid w:val="00B308D8"/>
    <w:rsid w:val="00B32D12"/>
    <w:rsid w:val="00B47829"/>
    <w:rsid w:val="00B834A6"/>
    <w:rsid w:val="00B84414"/>
    <w:rsid w:val="00B84440"/>
    <w:rsid w:val="00B855BC"/>
    <w:rsid w:val="00B9216C"/>
    <w:rsid w:val="00BA1C1F"/>
    <w:rsid w:val="00BC2C9D"/>
    <w:rsid w:val="00BE66B1"/>
    <w:rsid w:val="00BE70CA"/>
    <w:rsid w:val="00BE76E8"/>
    <w:rsid w:val="00BF2CD6"/>
    <w:rsid w:val="00BF68C8"/>
    <w:rsid w:val="00C02A98"/>
    <w:rsid w:val="00C071C3"/>
    <w:rsid w:val="00C10AB7"/>
    <w:rsid w:val="00C147AE"/>
    <w:rsid w:val="00C351FD"/>
    <w:rsid w:val="00C3763E"/>
    <w:rsid w:val="00C66249"/>
    <w:rsid w:val="00C73693"/>
    <w:rsid w:val="00C76665"/>
    <w:rsid w:val="00C873D1"/>
    <w:rsid w:val="00C9142A"/>
    <w:rsid w:val="00C9349A"/>
    <w:rsid w:val="00CA508B"/>
    <w:rsid w:val="00CC749D"/>
    <w:rsid w:val="00CD42DF"/>
    <w:rsid w:val="00CD62D5"/>
    <w:rsid w:val="00CE4FEF"/>
    <w:rsid w:val="00D06CE4"/>
    <w:rsid w:val="00D07690"/>
    <w:rsid w:val="00D36C9A"/>
    <w:rsid w:val="00D4077D"/>
    <w:rsid w:val="00D52EE9"/>
    <w:rsid w:val="00D56655"/>
    <w:rsid w:val="00D628C7"/>
    <w:rsid w:val="00D73478"/>
    <w:rsid w:val="00D770FE"/>
    <w:rsid w:val="00DA0633"/>
    <w:rsid w:val="00DB6EAB"/>
    <w:rsid w:val="00DC43AA"/>
    <w:rsid w:val="00DD1AC6"/>
    <w:rsid w:val="00DD3071"/>
    <w:rsid w:val="00DE5649"/>
    <w:rsid w:val="00E06A0A"/>
    <w:rsid w:val="00E41EB3"/>
    <w:rsid w:val="00E4453E"/>
    <w:rsid w:val="00E47DDB"/>
    <w:rsid w:val="00E566C9"/>
    <w:rsid w:val="00E64BC8"/>
    <w:rsid w:val="00E67329"/>
    <w:rsid w:val="00E76185"/>
    <w:rsid w:val="00E76F41"/>
    <w:rsid w:val="00E8788C"/>
    <w:rsid w:val="00E966A7"/>
    <w:rsid w:val="00EA36A1"/>
    <w:rsid w:val="00EB38E4"/>
    <w:rsid w:val="00ED4A96"/>
    <w:rsid w:val="00EE1823"/>
    <w:rsid w:val="00EE5B6F"/>
    <w:rsid w:val="00EF58DE"/>
    <w:rsid w:val="00F2045D"/>
    <w:rsid w:val="00F20E21"/>
    <w:rsid w:val="00F27929"/>
    <w:rsid w:val="00F31D50"/>
    <w:rsid w:val="00F31EFE"/>
    <w:rsid w:val="00F42C18"/>
    <w:rsid w:val="00F44712"/>
    <w:rsid w:val="00F478E6"/>
    <w:rsid w:val="00F47E3A"/>
    <w:rsid w:val="00F712FB"/>
    <w:rsid w:val="00F71C09"/>
    <w:rsid w:val="00F8205E"/>
    <w:rsid w:val="00F84C18"/>
    <w:rsid w:val="00F937B5"/>
    <w:rsid w:val="00F94E16"/>
    <w:rsid w:val="00FA2708"/>
    <w:rsid w:val="00FB7654"/>
    <w:rsid w:val="00FC2544"/>
    <w:rsid w:val="00FC35A9"/>
    <w:rsid w:val="00FC655C"/>
    <w:rsid w:val="00FD34E6"/>
    <w:rsid w:val="00FD6127"/>
    <w:rsid w:val="00FE39D0"/>
    <w:rsid w:val="00FE4D24"/>
    <w:rsid w:val="00FF3A25"/>
    <w:rsid w:val="00FF5C38"/>
    <w:rsid w:val="06632E84"/>
    <w:rsid w:val="079F1AE3"/>
    <w:rsid w:val="07F44D86"/>
    <w:rsid w:val="083F2EE0"/>
    <w:rsid w:val="09081789"/>
    <w:rsid w:val="177C0709"/>
    <w:rsid w:val="18101F8E"/>
    <w:rsid w:val="189B56F8"/>
    <w:rsid w:val="199913F6"/>
    <w:rsid w:val="1D8322C8"/>
    <w:rsid w:val="1E4C0E35"/>
    <w:rsid w:val="1F4F0784"/>
    <w:rsid w:val="21EE6CB3"/>
    <w:rsid w:val="28C07306"/>
    <w:rsid w:val="2AAC5208"/>
    <w:rsid w:val="2B6E6D49"/>
    <w:rsid w:val="34F8077A"/>
    <w:rsid w:val="35655EA5"/>
    <w:rsid w:val="3B9F08B7"/>
    <w:rsid w:val="3C2C6ADF"/>
    <w:rsid w:val="3EAC114E"/>
    <w:rsid w:val="45BF4E5A"/>
    <w:rsid w:val="4A0D1351"/>
    <w:rsid w:val="4A5A0320"/>
    <w:rsid w:val="50FB2262"/>
    <w:rsid w:val="54096C42"/>
    <w:rsid w:val="55532BAB"/>
    <w:rsid w:val="55BA5A58"/>
    <w:rsid w:val="58830F9F"/>
    <w:rsid w:val="5A953D03"/>
    <w:rsid w:val="5C4D3EF5"/>
    <w:rsid w:val="5E04676E"/>
    <w:rsid w:val="5E0E5324"/>
    <w:rsid w:val="5F4E6E2C"/>
    <w:rsid w:val="5F6D3EF8"/>
    <w:rsid w:val="65F22F08"/>
    <w:rsid w:val="669B5AC1"/>
    <w:rsid w:val="680B529E"/>
    <w:rsid w:val="6A6820D4"/>
    <w:rsid w:val="6C6A3F55"/>
    <w:rsid w:val="6F4A0C07"/>
    <w:rsid w:val="723365EF"/>
    <w:rsid w:val="72DE144D"/>
    <w:rsid w:val="73524538"/>
    <w:rsid w:val="78C45B5A"/>
    <w:rsid w:val="79871BD1"/>
    <w:rsid w:val="7B595760"/>
    <w:rsid w:val="7BEC2196"/>
    <w:rsid w:val="7D7C4490"/>
    <w:rsid w:val="7E29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kern w:val="2"/>
      <w:sz w:val="18"/>
      <w:szCs w:val="18"/>
    </w:rPr>
  </w:style>
  <w:style w:type="character" w:customStyle="1" w:styleId="14">
    <w:name w:val="apple-converted-space"/>
    <w:basedOn w:val="6"/>
    <w:qFormat/>
    <w:uiPriority w:val="0"/>
  </w:style>
  <w:style w:type="paragraph" w:customStyle="1" w:styleId="15">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15"/>
    <w:basedOn w:val="6"/>
    <w:qFormat/>
    <w:uiPriority w:val="0"/>
    <w:rPr>
      <w:rFonts w:hint="default"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489DB-1571-48FB-9298-A4136858DD8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1269</Words>
  <Characters>7235</Characters>
  <Lines>60</Lines>
  <Paragraphs>16</Paragraphs>
  <ScaleCrop>false</ScaleCrop>
  <LinksUpToDate>false</LinksUpToDate>
  <CharactersWithSpaces>8488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2018-09-19T12:38:00Z</dcterms:created>
  <dc:creator>gyb1</dc:creator>
  <cp:lastModifiedBy>童强</cp:lastModifiedBy>
  <cp:lastPrinted>2018-11-02T00:09:00Z</cp:lastPrinted>
  <dcterms:modified xsi:type="dcterms:W3CDTF">2019-08-08T08:58:37Z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