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wordWrap w:val="0"/>
        <w:spacing w:beforeAutospacing="0" w:afterAutospacing="0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6"/>
        <w:widowControl/>
        <w:wordWrap w:val="0"/>
        <w:spacing w:beforeAutospacing="0" w:afterAutospacing="0"/>
        <w:ind w:firstLine="643" w:firstLineChars="200"/>
        <w:rPr>
          <w:rFonts w:asci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一、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氰戊菊酯和</w:t>
      </w:r>
      <w:r>
        <w:rPr>
          <w:rFonts w:ascii="宋体" w:hAnsi="宋体" w:cs="宋体"/>
          <w:b/>
          <w:bCs/>
          <w:kern w:val="2"/>
          <w:sz w:val="32"/>
          <w:szCs w:val="32"/>
        </w:rPr>
        <w:t xml:space="preserve"> S-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氰戊菊酯</w:t>
      </w:r>
    </w:p>
    <w:p>
      <w:pPr>
        <w:pStyle w:val="6"/>
        <w:widowControl/>
        <w:wordWrap w:val="0"/>
        <w:spacing w:beforeAutospacing="0" w:afterAutospacing="0"/>
        <w:ind w:firstLine="640" w:firstLineChars="200"/>
        <w:rPr>
          <w:rFonts w:ascii="宋体" w:cs="宋体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氰戊菊酯是一种广谱高效拟除虫菊酯杀虫剂，对害虫具触杀、胃毒作用，适用于多种作物的害虫防治。长期饮用氰戊菊酯和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氰戊菊酯超标的茶叶，虽然不会导致急性中毒，但对人体健康造成一定的影响。《食品安全国家标准</w:t>
      </w:r>
      <w:r>
        <w:rPr>
          <w:rFonts w:ascii="仿宋" w:hAnsi="仿宋" w:eastAsia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食品中农药最大残留限量》（</w:t>
      </w:r>
      <w:r>
        <w:rPr>
          <w:rFonts w:ascii="仿宋" w:hAnsi="仿宋" w:eastAsia="仿宋" w:cs="仿宋"/>
          <w:sz w:val="32"/>
          <w:szCs w:val="32"/>
        </w:rPr>
        <w:t>GB 2763-2019</w:t>
      </w:r>
      <w:r>
        <w:rPr>
          <w:rFonts w:hint="eastAsia" w:ascii="仿宋" w:hAnsi="仿宋" w:eastAsia="仿宋" w:cs="仿宋"/>
          <w:sz w:val="32"/>
          <w:szCs w:val="32"/>
        </w:rPr>
        <w:t>）中规定，氰戊菊酯和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氰戊菊酯在茶叶中的最大残留限量值为</w:t>
      </w:r>
      <w:r>
        <w:rPr>
          <w:rFonts w:ascii="仿宋" w:hAnsi="仿宋" w:eastAsia="仿宋" w:cs="仿宋"/>
          <w:sz w:val="32"/>
          <w:szCs w:val="32"/>
        </w:rPr>
        <w:t>0.1mg/kg</w:t>
      </w:r>
      <w:r>
        <w:rPr>
          <w:rFonts w:hint="eastAsia" w:ascii="仿宋" w:hAnsi="仿宋" w:eastAsia="仿宋" w:cs="仿宋"/>
          <w:sz w:val="32"/>
          <w:szCs w:val="32"/>
        </w:rPr>
        <w:t>。茶叶中氰戊菊酯和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氰戊菊酯超标的原因，可能是茶农违规使用相关农药，也可能是环境中残留农药的迁移性污染。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毒死蜱</w:t>
      </w:r>
    </w:p>
    <w:p>
      <w:pPr>
        <w:pStyle w:val="6"/>
        <w:widowControl/>
        <w:wordWrap w:val="0"/>
        <w:spacing w:beforeAutospacing="0" w:afterAutospacing="0"/>
        <w:ind w:firstLine="640" w:firstLineChars="200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毒死蜱是一种具有触杀、胃毒和熏蒸作用的有机磷杀虫剂，具有胃毒、触杀、熏蒸三重作用，对水稻、小麦、棉花、果树、蔬菜、茶树上多种咀嚼式和刺吸式</w:t>
      </w:r>
      <w:r>
        <w:fldChar w:fldCharType="begin"/>
      </w:r>
      <w:r>
        <w:instrText xml:space="preserve"> HYPERLINK "https://baike.baidu.com/item/%E5%8F%A3%E5%99%A8" \t "https://baike.baidu.com/item/%E6%B0%AF%E5%90%A1%E7%A1%AB%E7%A3%B7/_blank"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口器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害虫均具有较好防效，毒死蜱对鱼类及水生生物毒性较高，在土壤中残留期较长。长期暴露在含有毒死蜱的环境中，可能会存在神经毒性、生殖毒性，并可能会影响胚胎的生长发育。《食品安全国家标准</w:t>
      </w:r>
      <w:r>
        <w:rPr>
          <w:rFonts w:ascii="仿宋" w:hAnsi="仿宋" w:eastAsia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食品中农药最大残留限量》（</w:t>
      </w:r>
      <w:r>
        <w:rPr>
          <w:rFonts w:ascii="仿宋" w:hAnsi="仿宋" w:eastAsia="仿宋" w:cs="仿宋"/>
          <w:sz w:val="32"/>
          <w:szCs w:val="32"/>
        </w:rPr>
        <w:t>GB 2763-2019</w:t>
      </w:r>
      <w:r>
        <w:rPr>
          <w:rFonts w:hint="eastAsia" w:ascii="仿宋" w:hAnsi="仿宋" w:eastAsia="仿宋" w:cs="仿宋"/>
          <w:sz w:val="32"/>
          <w:szCs w:val="32"/>
        </w:rPr>
        <w:t>）中规定，毒死蜱在茶叶中的最大限量值为</w:t>
      </w:r>
      <w:r>
        <w:rPr>
          <w:rFonts w:ascii="仿宋" w:hAnsi="仿宋" w:eastAsia="仿宋" w:cs="仿宋"/>
          <w:sz w:val="32"/>
          <w:szCs w:val="32"/>
        </w:rPr>
        <w:t>2mg/kg</w:t>
      </w:r>
      <w:r>
        <w:rPr>
          <w:rFonts w:hint="eastAsia" w:ascii="仿宋" w:hAnsi="仿宋" w:eastAsia="仿宋" w:cs="仿宋"/>
          <w:sz w:val="32"/>
          <w:szCs w:val="32"/>
        </w:rPr>
        <w:t>。茶叶中毒死蜱超标的原因，可能是茶农违规使用相关农药，也可能是环境中残留农药的迁移性污染。</w:t>
      </w:r>
    </w:p>
    <w:p>
      <w:pPr>
        <w:pStyle w:val="6"/>
        <w:widowControl/>
        <w:wordWrap w:val="0"/>
        <w:spacing w:beforeAutospacing="0" w:afterAutospacing="0"/>
        <w:ind w:firstLine="643" w:firstLineChars="200"/>
        <w:rPr>
          <w:rFonts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三、阴离子合成洗涤剂</w:t>
      </w:r>
      <w:r>
        <w:rPr>
          <w:rFonts w:ascii="宋体" w:hAnsi="宋体" w:cs="宋体"/>
          <w:b/>
          <w:bCs/>
          <w:kern w:val="2"/>
          <w:sz w:val="32"/>
          <w:szCs w:val="32"/>
        </w:rPr>
        <w:t>(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以十二烷基苯磺酸钠计</w:t>
      </w:r>
      <w:r>
        <w:rPr>
          <w:rFonts w:ascii="宋体" w:hAnsi="宋体" w:cs="宋体"/>
          <w:b/>
          <w:bCs/>
          <w:kern w:val="2"/>
          <w:sz w:val="32"/>
          <w:szCs w:val="32"/>
        </w:rPr>
        <w:t>)</w:t>
      </w:r>
    </w:p>
    <w:p>
      <w:pPr>
        <w:pStyle w:val="6"/>
        <w:widowControl/>
        <w:wordWrap w:val="0"/>
        <w:spacing w:beforeAutospacing="0" w:afterAutospacing="0"/>
        <w:ind w:firstLine="640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阴离子合成洗涤剂是我们日常生活中经常用到的洗衣粉、洗洁精、洗衣液、肥皂等洗涤剂的主要成分，以十二烷基苯磺酸钠为主，是一种低毒物质</w:t>
      </w:r>
      <w:r>
        <w:rPr>
          <w:rFonts w:ascii="仿宋" w:hAnsi="仿宋" w:eastAsia="仿宋" w:cs="仿宋"/>
          <w:kern w:val="2"/>
          <w:sz w:val="32"/>
          <w:szCs w:val="32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</w:rPr>
        <w:t>因其使用方便、易溶解、稳定性好、成本低等优点</w:t>
      </w:r>
      <w:r>
        <w:rPr>
          <w:rFonts w:ascii="仿宋" w:hAnsi="仿宋" w:eastAsia="仿宋" w:cs="仿宋"/>
          <w:kern w:val="2"/>
          <w:sz w:val="32"/>
          <w:szCs w:val="32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</w:rPr>
        <w:t>在消毒企业中广泛使用。《食品安全国家标准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>消毒餐（饮）具》（</w:t>
      </w:r>
      <w:r>
        <w:rPr>
          <w:rFonts w:ascii="仿宋" w:hAnsi="仿宋" w:eastAsia="仿宋" w:cs="仿宋"/>
          <w:kern w:val="2"/>
          <w:sz w:val="32"/>
          <w:szCs w:val="32"/>
        </w:rPr>
        <w:t>GB 14934-2016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中规定，餐（饮）具中阴离子合成洗涤剂（以十二烷基苯磺酸钠计）不得检出。阴离子合成洗涤剂超标其原因可能是餐（饮）具消毒单位使用的洗涤剂不合格或使用量过大，未经足够量清水冲洗，餐具漂洗池内清洗用水重复使用，餐具数量多，造成交叉污染，进而残存在餐（饮）具中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004339C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1E16B59"/>
    <w:rsid w:val="57637964"/>
    <w:rsid w:val="58B17416"/>
    <w:rsid w:val="593E1AD5"/>
    <w:rsid w:val="597455F6"/>
    <w:rsid w:val="59EF6DE3"/>
    <w:rsid w:val="5A0D6B68"/>
    <w:rsid w:val="5A5C1AF8"/>
    <w:rsid w:val="5D740921"/>
    <w:rsid w:val="61474AD9"/>
    <w:rsid w:val="66187906"/>
    <w:rsid w:val="66741875"/>
    <w:rsid w:val="67B204EF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2021-10-13T03:20:00Z</cp:lastPrinted>
  <dcterms:modified xsi:type="dcterms:W3CDTF">2021-10-29T08:23:10Z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