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附件1</w:t>
      </w:r>
    </w:p>
    <w:p>
      <w:pPr>
        <w:pStyle w:val="5"/>
        <w:widowControl/>
        <w:wordWrap w:val="0"/>
        <w:spacing w:before="0" w:beforeAutospacing="0" w:after="0" w:afterAutospacing="0" w:line="600" w:lineRule="exact"/>
        <w:jc w:val="center"/>
        <w:rPr>
          <w:rFonts w:hint="eastAsia" w:ascii="宋体" w:hAnsi="宋体"/>
          <w:color w:val="auto"/>
          <w:sz w:val="44"/>
          <w:szCs w:val="44"/>
          <w:u w:val="none"/>
        </w:rPr>
      </w:pPr>
      <w:r>
        <w:rPr>
          <w:rFonts w:hint="eastAsia" w:ascii="方正小标宋简体" w:eastAsia="方正小标宋简体"/>
          <w:color w:val="auto"/>
          <w:spacing w:val="-12"/>
          <w:sz w:val="44"/>
          <w:szCs w:val="44"/>
          <w:u w:val="none"/>
        </w:rPr>
        <w:t>部分不合格项目的小知识</w:t>
      </w:r>
    </w:p>
    <w:p>
      <w:pPr>
        <w:pStyle w:val="5"/>
        <w:widowControl/>
        <w:numPr>
          <w:ilvl w:val="0"/>
          <w:numId w:val="1"/>
        </w:numPr>
        <w:wordWrap w:val="0"/>
        <w:spacing w:before="0" w:beforeAutospacing="0" w:after="0" w:afterAutospacing="0" w:line="600" w:lineRule="exact"/>
        <w:ind w:firstLine="640" w:firstLineChars="200"/>
        <w:rPr>
          <w:rFonts w:hint="eastAsia" w:ascii="黑体" w:hAnsi="黑体" w:eastAsia="黑体" w:cs="黑体"/>
          <w:color w:val="auto"/>
          <w:kern w:val="2"/>
          <w:sz w:val="32"/>
          <w:szCs w:val="32"/>
          <w:u w:val="none"/>
          <w:lang w:val="en-US" w:eastAsia="zh-CN"/>
        </w:rPr>
      </w:pPr>
      <w:r>
        <w:rPr>
          <w:rFonts w:hint="eastAsia" w:ascii="黑体" w:hAnsi="黑体" w:eastAsia="黑体" w:cs="黑体"/>
          <w:color w:val="auto"/>
          <w:kern w:val="2"/>
          <w:sz w:val="32"/>
          <w:szCs w:val="32"/>
          <w:u w:val="none"/>
          <w:lang w:val="en-US" w:eastAsia="zh-CN"/>
        </w:rPr>
        <w:t>铝的残留量(干样品，以 Al 计)</w:t>
      </w:r>
    </w:p>
    <w:p>
      <w:pPr>
        <w:pStyle w:val="5"/>
        <w:widowControl/>
        <w:wordWrap w:val="0"/>
        <w:spacing w:before="0" w:beforeAutospacing="0" w:after="0" w:afterAutospacing="0" w:line="600" w:lineRule="exact"/>
        <w:ind w:firstLine="640" w:firstLineChars="200"/>
        <w:rPr>
          <w:rFonts w:hint="eastAsia" w:ascii="仿宋_GB2312" w:hAnsi="仿宋_GB2312" w:eastAsia="仿宋_GB2312" w:cs="仿宋_GB2312"/>
          <w:color w:val="auto"/>
          <w:kern w:val="2"/>
          <w:sz w:val="32"/>
          <w:szCs w:val="32"/>
          <w:u w:val="none"/>
        </w:rPr>
      </w:pPr>
      <w:r>
        <w:rPr>
          <w:rFonts w:hint="eastAsia" w:ascii="仿宋_GB2312" w:hAnsi="仿宋_GB2312" w:eastAsia="仿宋_GB2312" w:cs="仿宋_GB2312"/>
          <w:kern w:val="2"/>
          <w:sz w:val="32"/>
          <w:szCs w:val="32"/>
        </w:rPr>
        <w:t>本次抽检有</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批次粉丝铝的残留量</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干样品，以</w:t>
      </w:r>
      <w:r>
        <w:rPr>
          <w:rFonts w:ascii="仿宋_GB2312" w:hAnsi="仿宋_GB2312" w:eastAsia="仿宋_GB2312" w:cs="仿宋_GB2312"/>
          <w:kern w:val="2"/>
          <w:sz w:val="32"/>
          <w:szCs w:val="32"/>
        </w:rPr>
        <w:t>Al</w:t>
      </w:r>
      <w:r>
        <w:rPr>
          <w:rFonts w:hint="eastAsia" w:ascii="仿宋_GB2312" w:hAnsi="仿宋_GB2312" w:eastAsia="仿宋_GB2312" w:cs="仿宋_GB2312"/>
          <w:kern w:val="2"/>
          <w:sz w:val="32"/>
          <w:szCs w:val="32"/>
        </w:rPr>
        <w:t>计</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不符合食品安全国家标准规定。硫酸铝钾（俗称“钾明矾”）或硫酸铝铵（俗称“铵明矾”）作为膨松剂、稳定剂是食品加工中常用的食品添加剂，使用后会产生铝残留。根据生产需要适当添加到食品中，铝的残留量超标的原因可能是，个别企业为改善产品口感，在生产加工过程中超限量、超范围使用含铝添加剂，或者其使用的复配添加剂中铝含量过高。</w:t>
      </w:r>
    </w:p>
    <w:p>
      <w:pPr>
        <w:pStyle w:val="5"/>
        <w:widowControl/>
        <w:wordWrap w:val="0"/>
        <w:spacing w:before="0" w:beforeAutospacing="0" w:after="0" w:afterAutospacing="0" w:line="600" w:lineRule="exact"/>
        <w:ind w:firstLine="643" w:firstLineChars="200"/>
        <w:rPr>
          <w:rFonts w:hint="eastAsia" w:ascii="黑体" w:hAnsi="黑体" w:eastAsia="黑体" w:cs="仿宋_GB2312"/>
          <w:color w:val="auto"/>
          <w:kern w:val="2"/>
          <w:sz w:val="32"/>
          <w:szCs w:val="32"/>
          <w:u w:val="none"/>
          <w:lang w:eastAsia="zh-CN"/>
        </w:rPr>
      </w:pPr>
      <w:r>
        <w:rPr>
          <w:rFonts w:hint="eastAsia" w:ascii="黑体" w:hAnsi="黑体" w:eastAsia="黑体" w:cs="黑体"/>
          <w:b/>
          <w:bCs/>
          <w:color w:val="auto"/>
          <w:kern w:val="2"/>
          <w:sz w:val="32"/>
          <w:szCs w:val="32"/>
          <w:u w:val="none"/>
          <w:lang w:val="en-US" w:eastAsia="zh-CN"/>
        </w:rPr>
        <w:t>二、</w:t>
      </w:r>
      <w:r>
        <w:rPr>
          <w:rFonts w:hint="eastAsia" w:ascii="黑体" w:hAnsi="黑体" w:eastAsia="黑体" w:cs="仿宋_GB2312"/>
          <w:color w:val="auto"/>
          <w:kern w:val="2"/>
          <w:sz w:val="32"/>
          <w:szCs w:val="32"/>
          <w:u w:val="none"/>
          <w:lang w:eastAsia="zh-CN"/>
        </w:rPr>
        <w:t>腐霉利</w:t>
      </w:r>
    </w:p>
    <w:p>
      <w:pPr>
        <w:pStyle w:val="5"/>
        <w:widowControl/>
        <w:wordWrap w:val="0"/>
        <w:spacing w:before="0" w:beforeAutospacing="0" w:after="0" w:afterAutospacing="0" w:line="600" w:lineRule="exact"/>
        <w:ind w:firstLine="640" w:firstLineChars="200"/>
        <w:rPr>
          <w:rFonts w:hint="default" w:ascii="仿宋" w:hAnsi="仿宋" w:eastAsia="仿宋" w:cs="仿宋_GB2312"/>
          <w:color w:val="auto"/>
          <w:kern w:val="2"/>
          <w:sz w:val="32"/>
          <w:szCs w:val="32"/>
          <w:u w:val="none"/>
          <w:lang w:val="en-US" w:eastAsia="zh-CN"/>
        </w:rPr>
      </w:pPr>
      <w:r>
        <w:rPr>
          <w:rFonts w:hint="eastAsia" w:ascii="仿宋" w:hAnsi="仿宋" w:eastAsia="仿宋" w:cs="仿宋_GB2312"/>
          <w:color w:val="auto"/>
          <w:kern w:val="2"/>
          <w:sz w:val="32"/>
          <w:szCs w:val="32"/>
          <w:u w:val="none"/>
          <w:lang w:val="en-US" w:eastAsia="zh-CN" w:bidi="ar-SA"/>
        </w:rPr>
        <w:t>本次抽检有2批次食用农产品腐霉利不符合食品安全国家标准规定。腐霉利是一种杀菌剂，兼具保护和治疗作用，可用于防治黄瓜、茄子、番茄、洋葱等的灰霉病，莴苣、辣椒的茎腐病，油菜菌核病等。韭菜中腐霉利残留超标主要原因应是种植环节超量使用腐霉利或使用后未过安全期采摘而导致。</w:t>
      </w:r>
    </w:p>
    <w:p>
      <w:pPr>
        <w:pStyle w:val="5"/>
        <w:widowControl/>
        <w:wordWrap w:val="0"/>
        <w:spacing w:before="0" w:beforeAutospacing="0" w:after="0" w:afterAutospacing="0" w:line="600" w:lineRule="exact"/>
        <w:ind w:firstLine="640"/>
        <w:rPr>
          <w:rFonts w:hint="eastAsia" w:ascii="黑体" w:hAnsi="黑体" w:eastAsia="黑体" w:cs="仿宋_GB2312"/>
          <w:color w:val="auto"/>
          <w:kern w:val="2"/>
          <w:sz w:val="32"/>
          <w:szCs w:val="32"/>
          <w:u w:val="none"/>
          <w:lang w:val="en-US" w:eastAsia="zh-CN"/>
        </w:rPr>
      </w:pPr>
      <w:r>
        <w:rPr>
          <w:rFonts w:hint="eastAsia" w:ascii="黑体" w:hAnsi="黑体" w:eastAsia="黑体" w:cs="黑体"/>
          <w:color w:val="auto"/>
          <w:kern w:val="2"/>
          <w:sz w:val="32"/>
          <w:szCs w:val="32"/>
          <w:u w:val="none"/>
          <w:lang w:val="en-US" w:eastAsia="zh-CN"/>
        </w:rPr>
        <w:t>三、</w:t>
      </w:r>
      <w:r>
        <w:rPr>
          <w:rFonts w:hint="eastAsia" w:ascii="黑体" w:hAnsi="黑体" w:eastAsia="黑体" w:cs="仿宋_GB2312"/>
          <w:color w:val="auto"/>
          <w:kern w:val="2"/>
          <w:sz w:val="32"/>
          <w:szCs w:val="32"/>
          <w:u w:val="none"/>
          <w:lang w:val="en-US" w:eastAsia="zh-CN"/>
        </w:rPr>
        <w:t>甲拌磷</w:t>
      </w:r>
    </w:p>
    <w:p>
      <w:pPr>
        <w:numPr>
          <w:ilvl w:val="0"/>
          <w:numId w:val="0"/>
        </w:numPr>
        <w:wordWrap w:val="0"/>
        <w:autoSpaceDN w:val="0"/>
        <w:spacing w:line="480" w:lineRule="auto"/>
        <w:ind w:firstLine="640" w:firstLineChars="200"/>
        <w:jc w:val="left"/>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color w:val="auto"/>
          <w:kern w:val="2"/>
          <w:sz w:val="32"/>
          <w:szCs w:val="32"/>
          <w:u w:val="none"/>
          <w:lang w:val="en-US" w:eastAsia="zh-CN" w:bidi="ar-SA"/>
        </w:rPr>
        <w:t>本次抽检有1批次食用农产品甲拌磷不符合食品安全国家标准规定。甲拌磷是一种有机磷类广谱、内吸、高毒杀虫剂，对害虫具有触杀、胃毒、熏蒸作用，属高毒农药。抽检中蔬菜检出甲拌磷不合格，其原因可能是种植过程中违规使用，或由土壤等环境污染而富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56903"/>
    <w:multiLevelType w:val="singleLevel"/>
    <w:tmpl w:val="9ED569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7774E88"/>
    <w:rsid w:val="0F761330"/>
    <w:rsid w:val="0F982896"/>
    <w:rsid w:val="268F25C4"/>
    <w:rsid w:val="32AE4387"/>
    <w:rsid w:val="4B8B6C54"/>
    <w:rsid w:val="57637964"/>
    <w:rsid w:val="593E1AD5"/>
    <w:rsid w:val="66741875"/>
    <w:rsid w:val="6ECA0FA9"/>
    <w:rsid w:val="76E9322E"/>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rPr>
      <w:rFonts w:hAnsi="Calibri"/>
      <w:kern w:val="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99"/>
    <w:pPr>
      <w:ind w:firstLine="420" w:firstLineChars="200"/>
    </w:p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Administrator</cp:lastModifiedBy>
  <dcterms:modified xsi:type="dcterms:W3CDTF">2021-04-28T07:47:45Z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A9CE553E7F8B4E16978F17193EDF3D0C</vt:lpwstr>
  </property>
</Properties>
</file>