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附件1</w:t>
      </w:r>
      <w:r>
        <w:rPr>
          <w:rFonts w:hint="eastAsia" w:ascii="黑体" w:hAnsi="黑体" w:eastAsia="黑体" w:cs="黑体"/>
          <w:color w:val="000000"/>
          <w:sz w:val="32"/>
          <w:szCs w:val="32"/>
          <w:lang w:eastAsia="zh-CN"/>
        </w:rPr>
        <w:t>：</w:t>
      </w:r>
    </w:p>
    <w:p>
      <w:pPr>
        <w:spacing w:line="500" w:lineRule="exact"/>
        <w:rPr>
          <w:rFonts w:eastAsia="黑体"/>
          <w:color w:val="000000"/>
          <w:sz w:val="32"/>
          <w:szCs w:val="32"/>
        </w:rPr>
      </w:pPr>
    </w:p>
    <w:p>
      <w:pPr>
        <w:spacing w:line="5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2020年无菌和植入性医疗器械生产企业自查表</w:t>
      </w:r>
    </w:p>
    <w:p>
      <w:pPr>
        <w:spacing w:line="500" w:lineRule="exact"/>
        <w:ind w:firstLine="560" w:firstLineChars="200"/>
        <w:jc w:val="left"/>
        <w:rPr>
          <w:rFonts w:eastAsia="楷体_GB2312"/>
          <w:color w:val="000000"/>
          <w:kern w:val="0"/>
          <w:sz w:val="28"/>
          <w:szCs w:val="28"/>
          <w:lang w:bidi="bn-IN"/>
        </w:rPr>
      </w:pPr>
      <w:r>
        <w:rPr>
          <w:rFonts w:eastAsia="楷体_GB2312"/>
          <w:color w:val="000000"/>
          <w:kern w:val="0"/>
          <w:sz w:val="28"/>
          <w:szCs w:val="28"/>
          <w:lang w:bidi="bn-IN"/>
        </w:rPr>
        <w:t xml:space="preserve">企业名称（盖章）：                                             产品名称：  </w:t>
      </w:r>
    </w:p>
    <w:p>
      <w:pPr>
        <w:spacing w:line="500" w:lineRule="exact"/>
        <w:ind w:firstLine="560" w:firstLineChars="200"/>
        <w:jc w:val="left"/>
        <w:rPr>
          <w:rFonts w:eastAsia="楷体_GB2312"/>
          <w:color w:val="000000"/>
          <w:kern w:val="0"/>
          <w:sz w:val="28"/>
          <w:szCs w:val="28"/>
          <w:lang w:bidi="bn-IN"/>
        </w:rPr>
      </w:pPr>
      <w:r>
        <w:rPr>
          <w:rFonts w:eastAsia="楷体_GB2312"/>
          <w:color w:val="000000"/>
          <w:kern w:val="0"/>
          <w:sz w:val="28"/>
          <w:szCs w:val="28"/>
          <w:lang w:bidi="bn-IN"/>
        </w:rPr>
        <w:t>自查人员：                                                     自查日期：</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089"/>
        <w:gridCol w:w="6011"/>
        <w:gridCol w:w="1698"/>
        <w:gridCol w:w="1611"/>
        <w:gridCol w:w="1565"/>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16" w:hRule="atLeast"/>
          <w:tblHeader/>
          <w:jc w:val="center"/>
        </w:trPr>
        <w:tc>
          <w:tcPr>
            <w:tcW w:w="1089"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黑体"/>
                <w:color w:val="000000"/>
                <w:kern w:val="0"/>
                <w:sz w:val="28"/>
                <w:szCs w:val="28"/>
                <w:lang w:bidi="bn-IN"/>
              </w:rPr>
            </w:pPr>
            <w:r>
              <w:rPr>
                <w:rFonts w:hint="default" w:eastAsia="黑体"/>
                <w:color w:val="000000"/>
                <w:kern w:val="0"/>
                <w:sz w:val="28"/>
                <w:szCs w:val="28"/>
                <w:lang w:bidi="bn-IN"/>
              </w:rPr>
              <w:t>序号</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黑体"/>
                <w:color w:val="000000"/>
                <w:kern w:val="0"/>
                <w:sz w:val="28"/>
                <w:szCs w:val="28"/>
                <w:lang w:bidi="bn-IN"/>
              </w:rPr>
            </w:pPr>
            <w:r>
              <w:rPr>
                <w:rFonts w:hint="default" w:eastAsia="黑体"/>
                <w:color w:val="000000"/>
                <w:kern w:val="0"/>
                <w:sz w:val="28"/>
                <w:szCs w:val="28"/>
                <w:lang w:bidi="bn-IN"/>
              </w:rPr>
              <w:t>自查要点</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黑体"/>
                <w:color w:val="000000"/>
                <w:kern w:val="0"/>
                <w:sz w:val="28"/>
                <w:szCs w:val="28"/>
                <w:lang w:bidi="bn-IN"/>
              </w:rPr>
            </w:pPr>
            <w:r>
              <w:rPr>
                <w:rFonts w:hint="default" w:eastAsia="黑体"/>
                <w:color w:val="000000"/>
                <w:kern w:val="0"/>
                <w:sz w:val="28"/>
                <w:szCs w:val="28"/>
                <w:lang w:bidi="bn-IN"/>
              </w:rPr>
              <w:t>自查情况</w:t>
            </w: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黑体"/>
                <w:color w:val="000000"/>
                <w:kern w:val="0"/>
                <w:sz w:val="28"/>
                <w:szCs w:val="28"/>
                <w:lang w:bidi="bn-IN"/>
              </w:rPr>
            </w:pPr>
            <w:r>
              <w:rPr>
                <w:rFonts w:hint="default" w:eastAsia="黑体"/>
                <w:color w:val="000000"/>
                <w:kern w:val="0"/>
                <w:sz w:val="28"/>
                <w:szCs w:val="28"/>
                <w:lang w:bidi="bn-IN"/>
              </w:rPr>
              <w:t>原因分析</w:t>
            </w: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黑体"/>
                <w:color w:val="000000"/>
                <w:kern w:val="0"/>
                <w:sz w:val="28"/>
                <w:szCs w:val="28"/>
                <w:lang w:bidi="bn-IN"/>
              </w:rPr>
            </w:pPr>
            <w:r>
              <w:rPr>
                <w:rFonts w:hint="default" w:eastAsia="黑体"/>
                <w:color w:val="000000"/>
                <w:kern w:val="0"/>
                <w:sz w:val="28"/>
                <w:szCs w:val="28"/>
                <w:lang w:bidi="bn-IN"/>
              </w:rPr>
              <w:t>整改措施</w:t>
            </w: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黑体"/>
                <w:color w:val="000000"/>
                <w:kern w:val="0"/>
                <w:sz w:val="28"/>
                <w:szCs w:val="28"/>
                <w:lang w:bidi="bn-IN"/>
              </w:rPr>
            </w:pPr>
            <w:r>
              <w:rPr>
                <w:rFonts w:hint="default" w:eastAsia="黑体"/>
                <w:color w:val="000000"/>
                <w:kern w:val="0"/>
                <w:sz w:val="28"/>
                <w:szCs w:val="28"/>
                <w:lang w:bidi="bn-IN"/>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1</w:t>
            </w:r>
          </w:p>
        </w:tc>
        <w:tc>
          <w:tcPr>
            <w:tcW w:w="1277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b/>
                <w:color w:val="000000"/>
                <w:sz w:val="28"/>
                <w:szCs w:val="28"/>
              </w:rPr>
              <w:t>发现的问题是否已完成整改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013" w:hRule="atLeast"/>
          <w:jc w:val="center"/>
        </w:trPr>
        <w:tc>
          <w:tcPr>
            <w:tcW w:w="1089"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1.1</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上一年度企业质量管理体系自查报告、监管部门监督检查记录、监督抽验情况等发现的问题是否已完成整改。</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1.2</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对发现的问题是否进行了分析，并制定采取纠正、预防措施</w:t>
            </w:r>
            <w:r>
              <w:rPr>
                <w:rFonts w:hint="eastAsia" w:eastAsia="仿宋_GB2312"/>
                <w:color w:val="000000"/>
                <w:sz w:val="28"/>
                <w:szCs w:val="28"/>
              </w:rPr>
              <w:t>，</w:t>
            </w:r>
            <w:r>
              <w:rPr>
                <w:rFonts w:hint="default" w:eastAsia="仿宋_GB2312"/>
                <w:color w:val="000000"/>
                <w:sz w:val="28"/>
                <w:szCs w:val="28"/>
              </w:rPr>
              <w:t>防止类似问题再次发生。</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2</w:t>
            </w:r>
          </w:p>
        </w:tc>
        <w:tc>
          <w:tcPr>
            <w:tcW w:w="12779" w:type="dxa"/>
            <w:gridSpan w:val="5"/>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b/>
                <w:color w:val="000000"/>
                <w:sz w:val="28"/>
                <w:szCs w:val="28"/>
              </w:rPr>
              <w:t>是否接受过法规培训和考核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191"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2.1</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企业法定代表人（企业负责人）是否</w:t>
            </w:r>
            <w:r>
              <w:rPr>
                <w:rFonts w:hint="default" w:eastAsia="仿宋_GB2312"/>
                <w:color w:val="000000"/>
                <w:sz w:val="28"/>
                <w:szCs w:val="28"/>
              </w:rPr>
              <w:t>熟悉医疗器械法律法规及质量管理体系相关要求，并符合法规及质量管理规范中对其职责要求。</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2.2</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管理者代表是否</w:t>
            </w:r>
            <w:r>
              <w:rPr>
                <w:rFonts w:hint="default" w:eastAsia="仿宋_GB2312"/>
                <w:color w:val="000000"/>
                <w:sz w:val="28"/>
                <w:szCs w:val="28"/>
              </w:rPr>
              <w:t>熟悉医疗器械法律法规及质量管理体系相关要求，并符合法规、质量管理规范及管理者代表指南中对其职责要求。</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003"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2.3</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技术、生产、质量管理部门负责人是否熟悉医疗器械法律法规，具有质量管理的实践经验，是否有能力对生产管理和质量管理中实际问题作出正确判断和处理。</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4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lang w:bidi="bn-IN"/>
              </w:rPr>
              <w:t>2.4</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从事影响产品质量工作的人员，是否经过与其岗位要求相适应的培训，具有相关的理论知识和实际操作技能。</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3</w:t>
            </w:r>
          </w:p>
        </w:tc>
        <w:tc>
          <w:tcPr>
            <w:tcW w:w="12779" w:type="dxa"/>
            <w:gridSpan w:val="5"/>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b/>
                <w:color w:val="000000"/>
                <w:sz w:val="28"/>
                <w:szCs w:val="28"/>
              </w:rPr>
              <w:t>是否符合洁净室（区）的环境要求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23"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3.1</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kern w:val="0"/>
                <w:sz w:val="28"/>
                <w:szCs w:val="28"/>
                <w:lang w:bidi="bn-IN"/>
              </w:rPr>
              <w:t>是否明确了生产过程的洁净度级别；是否在相应级别洁净室（区）内进行生产。</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78"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3.2</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是否配备了压差等监测装置，并按要求进行监测。</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103"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3.3</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kern w:val="0"/>
                <w:sz w:val="28"/>
                <w:szCs w:val="28"/>
                <w:lang w:bidi="bn-IN"/>
              </w:rPr>
              <w:t>洁净</w:t>
            </w:r>
            <w:r>
              <w:rPr>
                <w:rFonts w:hint="default" w:eastAsia="仿宋_GB2312"/>
                <w:color w:val="000000"/>
                <w:sz w:val="28"/>
                <w:szCs w:val="28"/>
              </w:rPr>
              <w:t>级别是否与生产产品相适应。</w:t>
            </w:r>
          </w:p>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植入和介入到血管内的无菌医疗器械加工生产区域应当不低于10,000级洁净度级别，与血液、骨髓腔或非自然腔道直接或间接接触的无菌植入医疗器械应当不低于100,000级洁净度级别。与人体损伤表面和粘膜接触的无菌植入医疗器械，加工生产区域应当不低于300,000级洁净度级别，对于有要求或采用无菌操作技术加工的无菌植入性医疗器械，应当在10,000级下的局部100级洁净室（区）内进行生产。</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4</w:t>
            </w:r>
          </w:p>
        </w:tc>
        <w:tc>
          <w:tcPr>
            <w:tcW w:w="12779" w:type="dxa"/>
            <w:gridSpan w:val="5"/>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b/>
                <w:color w:val="000000"/>
                <w:sz w:val="28"/>
                <w:szCs w:val="28"/>
              </w:rPr>
              <w:t>是否配备与所生产产品和规模相匹配的生产设备、检验设备并确保有效运行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4.1</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Style w:val="17"/>
                <w:rFonts w:hint="default" w:eastAsia="仿宋_GB2312"/>
                <w:i w:val="0"/>
                <w:iCs w:val="0"/>
                <w:color w:val="000000"/>
                <w:sz w:val="28"/>
                <w:szCs w:val="28"/>
              </w:rPr>
            </w:pPr>
            <w:r>
              <w:rPr>
                <w:rFonts w:hint="default" w:eastAsia="仿宋_GB2312"/>
                <w:color w:val="000000"/>
                <w:sz w:val="28"/>
                <w:szCs w:val="28"/>
              </w:rPr>
              <w:t>对照产品技术要求、生产工艺流程图、检验规程等，生产设备、检验仪器是否满足生产和检验需要。</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4.2</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计量器具的校准记录，是否在有效期内。</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4.3</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工艺用水是否配备相应的制水设备，并有防止污染的措施；工艺用水是否满足要求。</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5</w:t>
            </w:r>
          </w:p>
        </w:tc>
        <w:tc>
          <w:tcPr>
            <w:tcW w:w="1277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b/>
                <w:color w:val="000000"/>
                <w:sz w:val="28"/>
                <w:szCs w:val="28"/>
              </w:rPr>
              <w:t>是否符合变更程序，特别是强制性标准实施后的变更情况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425"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5.</w:t>
            </w:r>
            <w:r>
              <w:rPr>
                <w:rFonts w:hint="default" w:eastAsia="仿宋_GB2312"/>
                <w:b/>
                <w:color w:val="000000"/>
                <w:sz w:val="28"/>
                <w:szCs w:val="28"/>
              </w:rPr>
              <w:t>1</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产品变更的设计评审、验证和确认记录是否符合要求。设计更改的内容和结果涉及到改变医疗器械产品注册证所载明的内容时，是否已完成注册变更。</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highlight w:val="yellow"/>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5.2</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sz w:val="28"/>
                <w:szCs w:val="28"/>
              </w:rPr>
            </w:pPr>
            <w:r>
              <w:rPr>
                <w:rFonts w:hint="default" w:eastAsia="仿宋_GB2312"/>
                <w:color w:val="000000"/>
                <w:sz w:val="28"/>
                <w:szCs w:val="28"/>
              </w:rPr>
              <w:t>强制性标准有更新时,是否及时进行相关变更</w:t>
            </w:r>
            <w:r>
              <w:rPr>
                <w:rFonts w:hint="default" w:eastAsia="仿宋_GB2312"/>
                <w:color w:val="000000"/>
                <w:kern w:val="0"/>
                <w:sz w:val="28"/>
                <w:szCs w:val="28"/>
              </w:rPr>
              <w:t>。</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6</w:t>
            </w:r>
          </w:p>
        </w:tc>
        <w:tc>
          <w:tcPr>
            <w:tcW w:w="1277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b/>
                <w:color w:val="000000"/>
                <w:sz w:val="28"/>
                <w:szCs w:val="28"/>
              </w:rPr>
              <w:t>是否符合采购的要求，是否对供应商进行审核评价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6.1</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Style w:val="17"/>
                <w:rFonts w:hint="default" w:eastAsia="仿宋_GB2312"/>
                <w:b/>
                <w:color w:val="000000"/>
                <w:sz w:val="28"/>
                <w:szCs w:val="28"/>
              </w:rPr>
            </w:pPr>
            <w:r>
              <w:rPr>
                <w:rFonts w:hint="default" w:eastAsia="仿宋_GB2312"/>
                <w:color w:val="000000"/>
                <w:kern w:val="0"/>
                <w:sz w:val="28"/>
                <w:szCs w:val="28"/>
                <w:lang w:bidi="bn-IN"/>
              </w:rPr>
              <w:t>采购物品是否符合规定的要求，且</w:t>
            </w:r>
            <w:r>
              <w:rPr>
                <w:rFonts w:hint="default" w:eastAsia="仿宋_GB2312"/>
                <w:color w:val="000000"/>
                <w:kern w:val="0"/>
                <w:sz w:val="28"/>
                <w:szCs w:val="28"/>
              </w:rPr>
              <w:t>不低于</w:t>
            </w:r>
            <w:r>
              <w:rPr>
                <w:rFonts w:hint="default" w:eastAsia="仿宋_GB2312"/>
                <w:color w:val="000000"/>
                <w:kern w:val="0"/>
                <w:sz w:val="28"/>
                <w:szCs w:val="28"/>
                <w:lang w:bidi="bn-IN"/>
              </w:rPr>
              <w:t>法律法规的相关规定和国家强制性标准的相关要求。</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6.2</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highlight w:val="yellow"/>
                <w:lang w:bidi="bn-IN"/>
              </w:rPr>
            </w:pPr>
            <w:r>
              <w:rPr>
                <w:rFonts w:hint="default" w:eastAsia="仿宋_GB2312"/>
                <w:color w:val="000000"/>
                <w:kern w:val="0"/>
                <w:sz w:val="28"/>
                <w:szCs w:val="28"/>
                <w:lang w:bidi="bn-IN"/>
              </w:rPr>
              <w:t>是否与主要原材料供应商签订质量协议，明确双方所承担的质量责任。</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6.3</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Style w:val="17"/>
                <w:rFonts w:hint="default" w:eastAsia="仿宋_GB2312"/>
                <w:b/>
                <w:color w:val="000000"/>
                <w:sz w:val="28"/>
                <w:szCs w:val="28"/>
              </w:rPr>
            </w:pPr>
            <w:r>
              <w:rPr>
                <w:rFonts w:hint="default" w:eastAsia="仿宋_GB2312"/>
                <w:color w:val="000000"/>
                <w:kern w:val="0"/>
                <w:sz w:val="28"/>
                <w:szCs w:val="28"/>
              </w:rPr>
              <w:t>采购物品是否有检验或验证记录，</w:t>
            </w:r>
            <w:r>
              <w:rPr>
                <w:rFonts w:hint="default" w:eastAsia="仿宋_GB2312"/>
                <w:color w:val="000000"/>
                <w:kern w:val="0"/>
                <w:sz w:val="28"/>
                <w:szCs w:val="28"/>
                <w:lang w:bidi="bn-IN"/>
              </w:rPr>
              <w:t>采购记录是否同时满足可追溯要求。</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624"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6.4</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特别是一次性输注器具生产企业应当符合聚氯乙烯输液输血器具中荧光物质识别及定量补充检验方法的要求，是否对原材料进行控制。</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7</w:t>
            </w:r>
          </w:p>
        </w:tc>
        <w:tc>
          <w:tcPr>
            <w:tcW w:w="1277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b/>
                <w:color w:val="000000"/>
                <w:sz w:val="28"/>
                <w:szCs w:val="28"/>
              </w:rPr>
              <w:t>是否对特殊工序和关键过程进行了识别和有效控制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378"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7.1</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Style w:val="17"/>
                <w:rFonts w:hint="default" w:eastAsia="仿宋_GB2312"/>
                <w:b/>
                <w:i w:val="0"/>
                <w:color w:val="000000"/>
                <w:sz w:val="28"/>
                <w:szCs w:val="28"/>
              </w:rPr>
            </w:pPr>
            <w:r>
              <w:rPr>
                <w:rFonts w:hint="default" w:eastAsia="仿宋_GB2312"/>
                <w:color w:val="000000"/>
                <w:kern w:val="0"/>
                <w:sz w:val="28"/>
                <w:szCs w:val="28"/>
                <w:lang w:bidi="bn-IN"/>
              </w:rPr>
              <w:t>生产工艺规程、作业指导书等相关文件是否明确关键工序和特殊过程，对关键工序和特殊过程的重要参数是否做验证或确认。</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7.2</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Style w:val="17"/>
                <w:rFonts w:hint="default" w:eastAsia="仿宋_GB2312"/>
                <w:b/>
                <w:color w:val="000000"/>
                <w:sz w:val="28"/>
                <w:szCs w:val="28"/>
              </w:rPr>
            </w:pPr>
            <w:r>
              <w:rPr>
                <w:rFonts w:hint="default" w:eastAsia="仿宋_GB2312"/>
                <w:color w:val="000000"/>
                <w:kern w:val="0"/>
                <w:sz w:val="28"/>
                <w:szCs w:val="28"/>
                <w:lang w:bidi="bn-IN"/>
              </w:rPr>
              <w:t>对生产的特殊过程是否进行确认，并保存记录，包括确认方案，确认方法、操作人员、结果评价、再确认等内容。</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7.3</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 xml:space="preserve">每批产品均应当有生产记录，生产记录是否包括：产品名称、规格型号、原材料批号、生产批号、生产日期、数量、主要设备、工艺参数、操作人员等内容，满足可追溯的要求。 </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7.4</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产品的说明书、标签是否符合相关法律法规及标准要求。</w:t>
            </w:r>
          </w:p>
        </w:tc>
        <w:tc>
          <w:tcPr>
            <w:tcW w:w="16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8</w:t>
            </w:r>
          </w:p>
        </w:tc>
        <w:tc>
          <w:tcPr>
            <w:tcW w:w="12779" w:type="dxa"/>
            <w:gridSpan w:val="5"/>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b/>
                <w:color w:val="000000"/>
                <w:sz w:val="28"/>
                <w:szCs w:val="28"/>
              </w:rPr>
              <w:t>是否符合灭菌过程控制要求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8.1</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是否选择适宜的方法对产品进行灭菌或采用适宜的无菌加工技术以保证产品无菌，并执行相关法规和标准的要求。</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13"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8.2</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灭菌过程确认的程序文件是否符合要求，记录或报告是否经过评审和批准。</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8.3</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是否制定灭菌过程控制文件，保持每一灭菌批的灭菌过程参数记录，灭菌记录是否可追溯到产品的每一生产批。</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179"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8.4</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产品的无菌性能和环氧乙烷残留量是否满足标准要求，并有相应的检验或验证记录。</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611"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565"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c>
          <w:tcPr>
            <w:tcW w:w="1894"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9</w:t>
            </w:r>
          </w:p>
        </w:tc>
        <w:tc>
          <w:tcPr>
            <w:tcW w:w="12779" w:type="dxa"/>
            <w:gridSpan w:val="5"/>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b/>
                <w:color w:val="000000"/>
                <w:sz w:val="28"/>
                <w:szCs w:val="28"/>
              </w:rPr>
              <w:t>质量控制及产品放行是否符合强制性标准以及经注册的产品技术要求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929"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9.1</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
                <w:bCs/>
                <w:iCs/>
                <w:color w:val="000000"/>
                <w:kern w:val="0"/>
                <w:sz w:val="28"/>
                <w:szCs w:val="28"/>
                <w:lang w:bidi="bn-IN"/>
              </w:rPr>
            </w:pPr>
            <w:r>
              <w:rPr>
                <w:rFonts w:hint="default" w:eastAsia="仿宋_GB2312"/>
                <w:color w:val="000000"/>
                <w:kern w:val="0"/>
                <w:sz w:val="28"/>
                <w:szCs w:val="28"/>
                <w:lang w:bidi="bn-IN"/>
              </w:rPr>
              <w:t>产品检验规程是否涵盖强制性标准以及经注册或者备案的产品技术要求的性能指标；确认检验记录是否能够证实产品符合要求；查看是否根据检验规程及检验结果出具相应的检验报告或证书。</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34"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9.2</w:t>
            </w:r>
          </w:p>
        </w:tc>
        <w:tc>
          <w:tcPr>
            <w:tcW w:w="6011" w:type="dxa"/>
            <w:noWrap w:val="0"/>
            <w:tcMar>
              <w:left w:w="57" w:type="dxa"/>
              <w:right w:w="57" w:type="dxa"/>
            </w:tcMar>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lang w:bidi="bn-IN"/>
              </w:rPr>
              <w:t>每批产品是否有检验记录，并满足可追溯要求。</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565" w:type="dxa"/>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894" w:type="dxa"/>
            <w:noWrap w:val="0"/>
            <w:vAlign w:val="center"/>
          </w:tcPr>
          <w:p>
            <w:pPr>
              <w:keepNext w:val="0"/>
              <w:keepLines w:val="0"/>
              <w:pageBreakBefore w:val="0"/>
              <w:widowControl/>
              <w:suppressLineNumbers w:val="0"/>
              <w:tabs>
                <w:tab w:val="left" w:pos="3285"/>
              </w:tabs>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9.3</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
                <w:iCs/>
                <w:color w:val="000000"/>
                <w:sz w:val="28"/>
                <w:szCs w:val="28"/>
              </w:rPr>
            </w:pPr>
            <w:r>
              <w:rPr>
                <w:rFonts w:hint="default" w:eastAsia="仿宋_GB2312"/>
                <w:color w:val="000000"/>
                <w:kern w:val="0"/>
                <w:sz w:val="28"/>
                <w:szCs w:val="28"/>
                <w:lang w:bidi="bn-IN"/>
              </w:rPr>
              <w:t>是否有工艺用水管理规定，工艺用水检测项目和检测要求是否符合相应级别的水质要求。</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9.4</w:t>
            </w:r>
          </w:p>
        </w:tc>
        <w:tc>
          <w:tcPr>
            <w:tcW w:w="6011"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rPr>
            </w:pPr>
            <w:r>
              <w:rPr>
                <w:rFonts w:hint="default" w:eastAsia="仿宋_GB2312"/>
                <w:color w:val="000000"/>
                <w:kern w:val="0"/>
                <w:sz w:val="28"/>
                <w:szCs w:val="28"/>
              </w:rPr>
              <w:t>是否按照医疗器械相关行业标准要求对洁净室（区）的尘粒、浮游菌或沉降菌、换气次数或风速、静压差、温度和相对湿度进行定期检（监）测，并保留检（监）测记录。</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rPr>
            </w:pPr>
            <w:r>
              <w:rPr>
                <w:rFonts w:hint="default" w:eastAsia="仿宋_GB2312"/>
                <w:b/>
                <w:color w:val="000000"/>
                <w:sz w:val="28"/>
                <w:szCs w:val="28"/>
              </w:rPr>
              <w:t>10</w:t>
            </w:r>
          </w:p>
        </w:tc>
        <w:tc>
          <w:tcPr>
            <w:tcW w:w="1277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r>
              <w:rPr>
                <w:rFonts w:hint="default" w:eastAsia="仿宋_GB2312"/>
                <w:b/>
                <w:color w:val="000000"/>
                <w:sz w:val="28"/>
                <w:szCs w:val="28"/>
              </w:rPr>
              <w:t>是否建立与所生产产品相适应的医疗器械不良事件收集方法和进行召回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10.1</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 xml:space="preserve">是否已设立或指定部门，并配备与产品相关的人员开展医疗器械不良事件监测工作。 </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10.2</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是否按要求建立并保存医疗器械不良事件监测记录。植入性医疗器械的监测记录应当永久保存。</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413"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10.3</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内审文件和记录，包括内审计划、内审报告以及相关改进措施，内审报告中是否包括了对法规符合性的评价。是否在规定时间内进行了内审。是否提出了改进措施并落实具体职责和要求，是否按计划实施。</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3" w:hRule="atLeast"/>
          <w:jc w:val="center"/>
        </w:trPr>
        <w:tc>
          <w:tcPr>
            <w:tcW w:w="1089" w:type="dxa"/>
            <w:noWrap w:val="0"/>
            <w:tcMar>
              <w:left w:w="57" w:type="dxa"/>
              <w:right w:w="57" w:type="dxa"/>
            </w:tcMar>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jc w:val="center"/>
              <w:textAlignment w:val="auto"/>
              <w:outlineLvl w:val="9"/>
              <w:rPr>
                <w:rFonts w:hint="default" w:eastAsia="仿宋_GB2312"/>
                <w:b/>
                <w:color w:val="000000"/>
                <w:sz w:val="28"/>
                <w:szCs w:val="28"/>
                <w:lang w:bidi="bn-IN"/>
              </w:rPr>
            </w:pPr>
            <w:r>
              <w:rPr>
                <w:rFonts w:hint="default" w:eastAsia="仿宋_GB2312"/>
                <w:b/>
                <w:color w:val="000000"/>
                <w:sz w:val="28"/>
                <w:szCs w:val="28"/>
                <w:lang w:bidi="bn-IN"/>
              </w:rPr>
              <w:t>10.4</w:t>
            </w:r>
          </w:p>
        </w:tc>
        <w:tc>
          <w:tcPr>
            <w:tcW w:w="6011"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r>
              <w:rPr>
                <w:rFonts w:hint="default" w:eastAsia="仿宋_GB2312"/>
                <w:color w:val="000000"/>
                <w:kern w:val="0"/>
                <w:sz w:val="28"/>
                <w:szCs w:val="28"/>
                <w:lang w:bidi="bn-IN"/>
              </w:rPr>
              <w:t>对存在安全隐患的医疗器械，是否按照有关法规要求采取召回</w:t>
            </w:r>
            <w:r>
              <w:rPr>
                <w:rFonts w:hint="default" w:eastAsia="仿宋_GB2312"/>
                <w:color w:val="000000"/>
                <w:kern w:val="0"/>
                <w:sz w:val="28"/>
                <w:szCs w:val="28"/>
              </w:rPr>
              <w:t>整改</w:t>
            </w:r>
            <w:r>
              <w:rPr>
                <w:rFonts w:hint="default" w:eastAsia="仿宋_GB2312"/>
                <w:color w:val="000000"/>
                <w:kern w:val="0"/>
                <w:sz w:val="28"/>
                <w:szCs w:val="28"/>
                <w:lang w:bidi="bn-IN"/>
              </w:rPr>
              <w:t>措施，并按规定向有关部门报告。</w:t>
            </w:r>
          </w:p>
        </w:tc>
        <w:tc>
          <w:tcPr>
            <w:tcW w:w="1698" w:type="dxa"/>
            <w:noWrap w:val="0"/>
            <w:vAlign w:val="center"/>
          </w:tcPr>
          <w:p>
            <w:pPr>
              <w:keepNext w:val="0"/>
              <w:keepLines w:val="0"/>
              <w:pageBreakBefore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color w:val="000000"/>
                <w:kern w:val="0"/>
                <w:sz w:val="28"/>
                <w:szCs w:val="28"/>
                <w:lang w:bidi="bn-IN"/>
              </w:rPr>
            </w:pPr>
          </w:p>
        </w:tc>
        <w:tc>
          <w:tcPr>
            <w:tcW w:w="16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textAlignment w:val="auto"/>
              <w:outlineLvl w:val="9"/>
              <w:rPr>
                <w:rFonts w:hint="default" w:eastAsia="仿宋_GB2312"/>
                <w:bCs/>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eastAsia="仿宋_GB2312"/>
          <w:b/>
          <w:color w:val="000000"/>
          <w:kern w:val="0"/>
          <w:sz w:val="28"/>
          <w:szCs w:val="28"/>
          <w:lang w:bidi="bn-IN"/>
        </w:rPr>
      </w:pPr>
      <w:r>
        <w:rPr>
          <w:rFonts w:eastAsia="仿宋_GB2312"/>
          <w:b/>
          <w:color w:val="000000"/>
          <w:kern w:val="0"/>
          <w:sz w:val="28"/>
          <w:szCs w:val="28"/>
          <w:lang w:bidi="bn-IN"/>
        </w:rPr>
        <w:t>管理者代表签名：                                               联系方式：</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eastAsia="仿宋_GB2312"/>
          <w:b/>
          <w:color w:val="000000"/>
          <w:kern w:val="0"/>
          <w:sz w:val="28"/>
          <w:szCs w:val="28"/>
          <w:lang w:bidi="bn-IN"/>
        </w:rPr>
      </w:pPr>
      <w:r>
        <w:rPr>
          <w:rFonts w:eastAsia="仿宋_GB2312"/>
          <w:b/>
          <w:color w:val="000000"/>
          <w:kern w:val="0"/>
          <w:sz w:val="28"/>
          <w:szCs w:val="28"/>
          <w:lang w:bidi="bn-IN"/>
        </w:rPr>
        <w:t>企业法定代表人或企业负责人签名：                               联系方式：</w:t>
      </w:r>
    </w:p>
    <w:p>
      <w:pPr>
        <w:keepNext w:val="0"/>
        <w:keepLines w:val="0"/>
        <w:pageBreakBefore w:val="0"/>
        <w:kinsoku/>
        <w:wordWrap/>
        <w:overflowPunct/>
        <w:topLinePunct w:val="0"/>
        <w:autoSpaceDE/>
        <w:autoSpaceDN/>
        <w:bidi w:val="0"/>
        <w:spacing w:before="0" w:beforeLines="0" w:after="0" w:afterLines="0" w:line="280" w:lineRule="exact"/>
        <w:ind w:left="0" w:leftChars="0" w:right="0" w:rightChars="0" w:firstLine="0" w:firstLineChars="0"/>
        <w:textAlignment w:val="auto"/>
        <w:outlineLvl w:val="9"/>
        <w:rPr>
          <w:rFonts w:eastAsia="仿宋_GB2312"/>
          <w:sz w:val="28"/>
          <w:szCs w:val="28"/>
        </w:rPr>
      </w:pPr>
    </w:p>
    <w:p>
      <w:pPr>
        <w:spacing w:line="500" w:lineRule="exact"/>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2：</w:t>
      </w:r>
    </w:p>
    <w:p>
      <w:pPr>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2020年无菌和植入性医疗器械经营企业自查</w:t>
      </w:r>
      <w:r>
        <w:rPr>
          <w:rFonts w:hint="eastAsia" w:ascii="方正小标宋简体" w:hAnsi="方正小标宋简体" w:eastAsia="方正小标宋简体" w:cs="方正小标宋简体"/>
          <w:color w:val="auto"/>
          <w:kern w:val="0"/>
          <w:sz w:val="44"/>
          <w:szCs w:val="44"/>
          <w:lang w:eastAsia="zh-CN"/>
        </w:rPr>
        <w:t>表</w:t>
      </w:r>
    </w:p>
    <w:p>
      <w:pPr>
        <w:spacing w:line="500" w:lineRule="exact"/>
        <w:rPr>
          <w:rFonts w:eastAsia="楷体_GB2312"/>
          <w:bCs/>
          <w:color w:val="auto"/>
          <w:kern w:val="0"/>
          <w:sz w:val="28"/>
          <w:szCs w:val="28"/>
        </w:rPr>
      </w:pPr>
      <w:r>
        <w:rPr>
          <w:rFonts w:eastAsia="楷体_GB2312"/>
          <w:bCs/>
          <w:color w:val="auto"/>
          <w:kern w:val="0"/>
          <w:sz w:val="28"/>
          <w:szCs w:val="28"/>
        </w:rPr>
        <w:t xml:space="preserve">企业名称（盖章）：                                            </w:t>
      </w:r>
    </w:p>
    <w:p>
      <w:pPr>
        <w:spacing w:line="500" w:lineRule="exact"/>
        <w:rPr>
          <w:rFonts w:eastAsia="楷体_GB2312"/>
          <w:color w:val="auto"/>
          <w:sz w:val="32"/>
          <w:szCs w:val="32"/>
        </w:rPr>
      </w:pPr>
      <w:r>
        <w:rPr>
          <w:rFonts w:eastAsia="楷体_GB2312"/>
          <w:bCs/>
          <w:color w:val="auto"/>
          <w:kern w:val="0"/>
          <w:sz w:val="28"/>
          <w:szCs w:val="28"/>
        </w:rPr>
        <w:t>自查人员：                                                 自查日期：</w:t>
      </w:r>
    </w:p>
    <w:tbl>
      <w:tblPr>
        <w:tblStyle w:val="9"/>
        <w:tblW w:w="14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
        <w:gridCol w:w="8235"/>
        <w:gridCol w:w="1338"/>
        <w:gridCol w:w="1423"/>
        <w:gridCol w:w="141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00" w:type="dxa"/>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eastAsia="黑体"/>
                <w:bCs/>
                <w:color w:val="auto"/>
                <w:kern w:val="0"/>
                <w:sz w:val="28"/>
                <w:szCs w:val="28"/>
              </w:rPr>
            </w:pPr>
            <w:r>
              <w:rPr>
                <w:rFonts w:hint="default" w:eastAsia="黑体"/>
                <w:bCs/>
                <w:color w:val="auto"/>
                <w:kern w:val="0"/>
                <w:sz w:val="28"/>
                <w:szCs w:val="28"/>
              </w:rPr>
              <w:t>序号</w:t>
            </w:r>
          </w:p>
        </w:tc>
        <w:tc>
          <w:tcPr>
            <w:tcW w:w="8235" w:type="dxa"/>
            <w:noWrap w:val="0"/>
            <w:vAlign w:val="center"/>
          </w:tcPr>
          <w:p>
            <w:pPr>
              <w:keepNext w:val="0"/>
              <w:keepLines w:val="0"/>
              <w:widowControl/>
              <w:suppressLineNumbers w:val="0"/>
              <w:spacing w:before="0" w:beforeAutospacing="0" w:after="0" w:afterAutospacing="0" w:line="400" w:lineRule="exact"/>
              <w:ind w:left="0" w:right="0"/>
              <w:jc w:val="center"/>
              <w:rPr>
                <w:rFonts w:hint="default" w:eastAsia="黑体"/>
                <w:bCs/>
                <w:color w:val="auto"/>
                <w:kern w:val="0"/>
                <w:sz w:val="28"/>
                <w:szCs w:val="28"/>
              </w:rPr>
            </w:pPr>
            <w:r>
              <w:rPr>
                <w:rFonts w:hint="default" w:eastAsia="黑体"/>
                <w:bCs/>
                <w:color w:val="auto"/>
                <w:kern w:val="0"/>
                <w:sz w:val="28"/>
                <w:szCs w:val="28"/>
              </w:rPr>
              <w:t>自查要点</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center"/>
              <w:rPr>
                <w:rFonts w:hint="default" w:eastAsia="黑体"/>
                <w:bCs/>
                <w:color w:val="auto"/>
                <w:kern w:val="0"/>
                <w:sz w:val="28"/>
                <w:szCs w:val="28"/>
              </w:rPr>
            </w:pPr>
            <w:r>
              <w:rPr>
                <w:rFonts w:hint="default" w:eastAsia="黑体"/>
                <w:bCs/>
                <w:color w:val="auto"/>
                <w:kern w:val="0"/>
                <w:sz w:val="28"/>
                <w:szCs w:val="28"/>
              </w:rPr>
              <w:t>自查情况</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center"/>
              <w:rPr>
                <w:rFonts w:hint="default" w:eastAsia="黑体"/>
                <w:bCs/>
                <w:color w:val="auto"/>
                <w:kern w:val="0"/>
                <w:sz w:val="28"/>
                <w:szCs w:val="28"/>
              </w:rPr>
            </w:pPr>
            <w:r>
              <w:rPr>
                <w:rFonts w:hint="default" w:eastAsia="黑体"/>
                <w:bCs/>
                <w:color w:val="auto"/>
                <w:kern w:val="0"/>
                <w:sz w:val="28"/>
                <w:szCs w:val="28"/>
              </w:rPr>
              <w:t>原因分析</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center"/>
              <w:rPr>
                <w:rFonts w:hint="default" w:eastAsia="黑体"/>
                <w:bCs/>
                <w:color w:val="auto"/>
                <w:kern w:val="0"/>
                <w:sz w:val="28"/>
                <w:szCs w:val="28"/>
              </w:rPr>
            </w:pPr>
            <w:r>
              <w:rPr>
                <w:rFonts w:hint="default" w:eastAsia="黑体"/>
                <w:bCs/>
                <w:color w:val="auto"/>
                <w:kern w:val="0"/>
                <w:sz w:val="28"/>
                <w:szCs w:val="28"/>
              </w:rPr>
              <w:t>整改措施</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center"/>
              <w:rPr>
                <w:rFonts w:hint="default" w:eastAsia="黑体"/>
                <w:bCs/>
                <w:color w:val="auto"/>
                <w:kern w:val="0"/>
                <w:sz w:val="28"/>
                <w:szCs w:val="28"/>
              </w:rPr>
            </w:pPr>
            <w:r>
              <w:rPr>
                <w:rFonts w:hint="default" w:eastAsia="黑体"/>
                <w:bCs/>
                <w:color w:val="auto"/>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1</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是否未经许可经营第三类医疗器械</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2</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是否经营未取得医疗器械注册证的第二类、第三类医疗器械</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3</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是否提供虚假资料或采取其他欺骗手段取得医疗器械经营许可证</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4</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是否伪造、变造、买卖、出租、出借医疗器械经营许可证</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5</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是否未按规定备案经营第二类医疗器械</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6</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是否第二类医疗器械经营备案时提供虚假资料</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7</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是否伪造、变造、买卖、出租、出借医疗器械经营备案凭证</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8</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是否擅自变更经营场所或者库房地址、扩大经营范围或者擅自设立库房</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9</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是否未按规定办理登记事项变更</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10</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是否经营不符合强制性标准或不符合经注册或备案的产品技术要求的医疗器械</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b/>
                <w:color w:val="auto"/>
                <w:sz w:val="28"/>
                <w:szCs w:val="28"/>
              </w:rPr>
            </w:pPr>
            <w:r>
              <w:rPr>
                <w:rFonts w:hint="default" w:eastAsia="仿宋_GB2312"/>
                <w:b/>
                <w:color w:val="auto"/>
                <w:sz w:val="28"/>
                <w:szCs w:val="28"/>
              </w:rPr>
              <w:t>11</w:t>
            </w:r>
          </w:p>
        </w:tc>
        <w:tc>
          <w:tcPr>
            <w:tcW w:w="8235" w:type="dxa"/>
            <w:noWrap w:val="0"/>
            <w:vAlign w:val="center"/>
          </w:tcPr>
          <w:p>
            <w:pPr>
              <w:keepNext w:val="0"/>
              <w:keepLines w:val="0"/>
              <w:widowControl/>
              <w:suppressLineNumbers w:val="0"/>
              <w:spacing w:before="0" w:beforeAutospacing="0" w:after="0" w:afterAutospacing="0" w:line="400" w:lineRule="exact"/>
              <w:ind w:left="0" w:right="0"/>
              <w:rPr>
                <w:rFonts w:hint="default" w:eastAsia="仿宋_GB2312"/>
                <w:color w:val="auto"/>
                <w:kern w:val="0"/>
                <w:sz w:val="28"/>
                <w:szCs w:val="28"/>
              </w:rPr>
            </w:pPr>
            <w:r>
              <w:rPr>
                <w:rFonts w:hint="default" w:eastAsia="仿宋_GB2312"/>
                <w:color w:val="auto"/>
                <w:kern w:val="0"/>
                <w:sz w:val="28"/>
                <w:szCs w:val="28"/>
              </w:rPr>
              <w:t>是否经营无合格证明文件、过期、失效、淘汰的医疗器械</w:t>
            </w:r>
          </w:p>
        </w:tc>
        <w:tc>
          <w:tcPr>
            <w:tcW w:w="1338"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12</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是否经营说明书、标签不符合规定的医疗器械</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13</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是否未按照医疗器械说明书和标签标示要求运输、贮存医疗器械</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14</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是否未依照规定建立并执行医疗器械进货查验记录制度</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15</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是否从事第二类、第三类医疗器械批发业务以及第三类医疗器械零售业务的经营企业未依照规定建立并执行销售记录制度</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16</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是否派出销售人员销售医疗器械，未按要求提供授权书</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17</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经营条件发生变化，不再符合医疗器械经营质量管理规范要求，是否未按照规定进行整改</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18</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是否从不具有资质的生产、经营企业购进医疗器械</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19</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仿宋_GB2312"/>
                <w:color w:val="auto"/>
                <w:kern w:val="0"/>
                <w:sz w:val="28"/>
                <w:szCs w:val="28"/>
              </w:rPr>
            </w:pPr>
            <w:r>
              <w:rPr>
                <w:rFonts w:hint="default" w:eastAsia="仿宋_GB2312"/>
                <w:color w:val="auto"/>
                <w:kern w:val="0"/>
                <w:sz w:val="28"/>
                <w:szCs w:val="28"/>
              </w:rPr>
              <w:t>监管部门责令实施召回或停止经营后，是否拒不停止经营（召回）医疗器械</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20</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是否未开展医疗器械不良事件监测</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21</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企业质量负责人是否负责医疗器械质量管理工作，独立履行职责，在企业内部对医疗器械质量管理具有裁决权，承担相应的质量管理责任。</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22</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企业质量管理机构或者质量管理人员是否全面履行职责。</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23</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企业是否依据《医疗器械经营质量管理规范》建立覆盖医疗器械经营全过程的质量管理制度，并保存相关记录或者档案。</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24</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从事第二类、第三类医疗器械批发业务和第三类医疗器械零售业务的企业开展购货者资格审核、医疗器械追踪溯源情况。</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25</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第三类医疗器械经营企业是否建立质量管理自查制度，是否于每年年底前向所在地设区的负责医疗器械监督管理的部门提交年度自查报告。</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26</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进货查验记录和销售记录是否保存至医疗器械有效期后2年；无有效期的，不得少于5年。植入类医疗器械进货查验记录和销售记录是否永久保存。</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27</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企业法定代表人（负责人）、质量管理人员是否有相关法律法规禁止从业的情形。</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28</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企业是否具有与经营范围和经营规模相适应、独立的经营场所和库房，经营场所和库房的面积是否满足经营要求。</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29</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库房的选址、设计、布局、建造、改造和维护是否符合医疗器械贮存的要求，能防止医疗器械的混淆、差错或被污损，并具有符合医疗器械产品特性要求的贮存设施、设备。</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30</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对有特殊温湿度贮存要求的医疗器械，是否配备有效调控及监测温湿度的设备或者仪器。</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31</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经营第三类医疗器械的企业，是否具有符合医疗器械经营质量管理要求的计算机信息管理系统，保证经营的产品可追溯。</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32</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企业为其他医疗器械生产经营企业提供贮存、配送服务，是否符合以下要求：</w:t>
            </w:r>
            <w:r>
              <w:rPr>
                <w:rFonts w:hint="default" w:eastAsia="仿宋_GB2312"/>
                <w:color w:val="auto"/>
                <w:kern w:val="0"/>
                <w:sz w:val="28"/>
                <w:szCs w:val="28"/>
              </w:rPr>
              <w:br w:type="textWrapping"/>
            </w:r>
            <w:r>
              <w:rPr>
                <w:rFonts w:hint="default" w:eastAsia="仿宋_GB2312"/>
                <w:color w:val="auto"/>
                <w:kern w:val="0"/>
                <w:sz w:val="28"/>
                <w:szCs w:val="28"/>
              </w:rPr>
              <w:t>（一）具备从事现代物流储运业务的条件；</w:t>
            </w:r>
            <w:r>
              <w:rPr>
                <w:rFonts w:hint="default" w:eastAsia="仿宋_GB2312"/>
                <w:color w:val="auto"/>
                <w:kern w:val="0"/>
                <w:sz w:val="28"/>
                <w:szCs w:val="28"/>
              </w:rPr>
              <w:br w:type="textWrapping"/>
            </w:r>
            <w:r>
              <w:rPr>
                <w:rFonts w:hint="default" w:eastAsia="仿宋_GB2312"/>
                <w:color w:val="auto"/>
                <w:kern w:val="0"/>
                <w:sz w:val="28"/>
                <w:szCs w:val="28"/>
              </w:rPr>
              <w:t>（二）具有与委托方实施实时电子数据交换和实现产品经营全过程可追溯、可追踪管理的计算机信息平台和技术手段；</w:t>
            </w:r>
            <w:r>
              <w:rPr>
                <w:rFonts w:hint="default" w:eastAsia="仿宋_GB2312"/>
                <w:color w:val="auto"/>
                <w:kern w:val="0"/>
                <w:sz w:val="28"/>
                <w:szCs w:val="28"/>
              </w:rPr>
              <w:br w:type="textWrapping"/>
            </w:r>
            <w:r>
              <w:rPr>
                <w:rFonts w:hint="default" w:eastAsia="仿宋_GB2312"/>
                <w:color w:val="auto"/>
                <w:kern w:val="0"/>
                <w:sz w:val="28"/>
                <w:szCs w:val="28"/>
              </w:rPr>
              <w:t>（三）具有接受食品药品监督管理部门电子监管的数据接口；</w:t>
            </w:r>
            <w:r>
              <w:rPr>
                <w:rFonts w:hint="default" w:eastAsia="仿宋_GB2312"/>
                <w:color w:val="auto"/>
                <w:kern w:val="0"/>
                <w:sz w:val="28"/>
                <w:szCs w:val="28"/>
              </w:rPr>
              <w:br w:type="textWrapping"/>
            </w:r>
            <w:r>
              <w:rPr>
                <w:rFonts w:hint="default" w:eastAsia="仿宋_GB2312"/>
                <w:color w:val="auto"/>
                <w:kern w:val="0"/>
                <w:sz w:val="28"/>
                <w:szCs w:val="28"/>
              </w:rPr>
              <w:t>（四）食品药品监督管理部门的其他有关要求。</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33</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企业在采购前是否审核供货者的合法资格、所购入医疗器械的合法性并获取加盖供货者公章的相关证明文件或复印件。</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00"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34</w:t>
            </w:r>
          </w:p>
        </w:tc>
        <w:tc>
          <w:tcPr>
            <w:tcW w:w="8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企业采购记录是否列明医疗器械的名称、规格（型号）、注册证号或备案凭证号、单位、数量、单价、金额、供货者、购货日期等。</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　</w:t>
            </w: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9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35</w:t>
            </w:r>
          </w:p>
        </w:tc>
        <w:tc>
          <w:tcPr>
            <w:tcW w:w="824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b/>
                <w:bCs/>
                <w:color w:val="auto"/>
                <w:kern w:val="0"/>
                <w:sz w:val="28"/>
                <w:szCs w:val="28"/>
              </w:rPr>
            </w:pPr>
            <w:r>
              <w:rPr>
                <w:rFonts w:hint="default" w:eastAsia="仿宋_GB2312"/>
                <w:color w:val="auto"/>
                <w:kern w:val="0"/>
                <w:sz w:val="28"/>
                <w:szCs w:val="28"/>
              </w:rPr>
              <w:t>验收人员是否对医疗器械的外观、包装、标签以及合格证明文件等进行检查、核对，并做好验收记录。</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b/>
                <w:bCs/>
                <w:color w:val="auto"/>
                <w:kern w:val="0"/>
                <w:sz w:val="28"/>
                <w:szCs w:val="28"/>
              </w:rPr>
            </w:pPr>
            <w:r>
              <w:rPr>
                <w:rFonts w:hint="default" w:eastAsia="仿宋_GB2312"/>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b/>
                <w:bCs/>
                <w:color w:val="auto"/>
                <w:kern w:val="0"/>
                <w:sz w:val="28"/>
                <w:szCs w:val="28"/>
              </w:rPr>
            </w:pPr>
            <w:r>
              <w:rPr>
                <w:rFonts w:hint="default" w:eastAsia="仿宋_GB2312"/>
                <w:color w:val="auto"/>
                <w:kern w:val="0"/>
                <w:sz w:val="28"/>
                <w:szCs w:val="28"/>
              </w:rPr>
              <w:t>　</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　</w:t>
            </w: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olor w:val="auto"/>
                <w:kern w:val="0"/>
                <w:sz w:val="22"/>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36</w:t>
            </w:r>
          </w:p>
        </w:tc>
        <w:tc>
          <w:tcPr>
            <w:tcW w:w="824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从事医疗器械批发业务的企业，是否将医疗器械批发销售给合法的购货者，销售前应当对购货者的证明文件、经营范围进行核实，建立购货者档案，保证医疗器械销售流向真实、合法。</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37</w:t>
            </w:r>
          </w:p>
        </w:tc>
        <w:tc>
          <w:tcPr>
            <w:tcW w:w="824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从事第二、第三类医疗器械批发以及第三类医疗器械零售业务的企业建立的销售记录是否包括以下内容：（一）医疗器械的名称、规格（型号）、注册证号或者备案凭证编号、数量、单价、金额；（二）医疗器械的生产批号或序列号、有效期、销售日期；（三）生产企业和生产企业许可证号（或者备案凭证编号）。</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仿宋_GB2312"/>
                <w:b/>
                <w:color w:val="auto"/>
                <w:sz w:val="28"/>
                <w:szCs w:val="28"/>
              </w:rPr>
            </w:pPr>
            <w:r>
              <w:rPr>
                <w:rFonts w:hint="default" w:eastAsia="仿宋_GB2312"/>
                <w:b/>
                <w:color w:val="auto"/>
                <w:sz w:val="28"/>
                <w:szCs w:val="28"/>
              </w:rPr>
              <w:t>38</w:t>
            </w:r>
          </w:p>
        </w:tc>
        <w:tc>
          <w:tcPr>
            <w:tcW w:w="824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r>
              <w:rPr>
                <w:rFonts w:hint="default" w:eastAsia="仿宋_GB2312"/>
                <w:color w:val="auto"/>
                <w:kern w:val="0"/>
                <w:sz w:val="28"/>
                <w:szCs w:val="28"/>
              </w:rPr>
              <w:t>从事医疗器械批发业务的企业，销售记录是否包括购货者的名称、经营许可证号（或者备案凭证编号）、经营地址、联系方式。</w:t>
            </w:r>
          </w:p>
        </w:tc>
        <w:tc>
          <w:tcPr>
            <w:tcW w:w="13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c>
          <w:tcPr>
            <w:tcW w:w="14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eastAsia="仿宋_GB2312"/>
                <w:color w:val="auto"/>
                <w:kern w:val="0"/>
                <w:sz w:val="28"/>
                <w:szCs w:val="28"/>
              </w:rPr>
            </w:pPr>
          </w:p>
        </w:tc>
      </w:tr>
    </w:tbl>
    <w:p>
      <w:pPr>
        <w:widowControl/>
        <w:spacing w:line="400" w:lineRule="exact"/>
        <w:rPr>
          <w:rFonts w:eastAsia="仿宋_GB2312"/>
          <w:b/>
          <w:bCs/>
          <w:color w:val="auto"/>
          <w:kern w:val="0"/>
          <w:sz w:val="28"/>
          <w:szCs w:val="28"/>
        </w:rPr>
      </w:pPr>
    </w:p>
    <w:p>
      <w:pPr>
        <w:widowControl/>
        <w:spacing w:line="400" w:lineRule="exact"/>
        <w:rPr>
          <w:rFonts w:eastAsia="仿宋_GB2312"/>
          <w:b/>
          <w:bCs/>
          <w:color w:val="auto"/>
          <w:kern w:val="0"/>
          <w:sz w:val="28"/>
          <w:szCs w:val="28"/>
        </w:rPr>
      </w:pPr>
      <w:r>
        <w:rPr>
          <w:rFonts w:eastAsia="仿宋_GB2312"/>
          <w:b/>
          <w:bCs/>
          <w:color w:val="auto"/>
          <w:kern w:val="0"/>
          <w:sz w:val="28"/>
          <w:szCs w:val="28"/>
        </w:rPr>
        <w:t>质量负责人签名：                                               联系方式：</w:t>
      </w:r>
    </w:p>
    <w:p>
      <w:pPr>
        <w:rPr>
          <w:rFonts w:eastAsia="仿宋_GB2312"/>
          <w:b/>
          <w:bCs/>
          <w:color w:val="auto"/>
          <w:kern w:val="0"/>
          <w:sz w:val="28"/>
          <w:szCs w:val="28"/>
        </w:rPr>
      </w:pPr>
      <w:r>
        <w:rPr>
          <w:rFonts w:eastAsia="仿宋_GB2312"/>
          <w:b/>
          <w:bCs/>
          <w:color w:val="auto"/>
          <w:kern w:val="0"/>
          <w:sz w:val="28"/>
          <w:szCs w:val="28"/>
        </w:rPr>
        <w:t>企业法定代表人或企业负责人签名：                               联系方式：</w:t>
      </w:r>
    </w:p>
    <w:p>
      <w:pPr>
        <w:spacing w:line="560" w:lineRule="exact"/>
        <w:rPr>
          <w:rFonts w:eastAsia="仿宋_GB2312"/>
          <w:color w:val="auto"/>
          <w:sz w:val="28"/>
          <w:szCs w:val="28"/>
        </w:rPr>
      </w:pPr>
    </w:p>
    <w:p>
      <w:pPr>
        <w:spacing w:line="560" w:lineRule="exact"/>
        <w:rPr>
          <w:rFonts w:eastAsia="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3：</w:t>
      </w:r>
    </w:p>
    <w:p>
      <w:pPr>
        <w:spacing w:line="560" w:lineRule="exact"/>
        <w:jc w:val="center"/>
        <w:rPr>
          <w:rFonts w:hint="eastAsia"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44"/>
          <w:szCs w:val="44"/>
        </w:rPr>
        <w:t>2020年医疗器械使用质量管理自查表</w:t>
      </w:r>
    </w:p>
    <w:p>
      <w:pPr>
        <w:spacing w:line="560" w:lineRule="exact"/>
        <w:rPr>
          <w:rFonts w:eastAsia="楷体_GB2312"/>
          <w:bCs/>
          <w:color w:val="auto"/>
          <w:kern w:val="0"/>
          <w:sz w:val="28"/>
          <w:szCs w:val="28"/>
        </w:rPr>
      </w:pPr>
      <w:r>
        <w:rPr>
          <w:rFonts w:eastAsia="楷体_GB2312"/>
          <w:bCs/>
          <w:color w:val="auto"/>
          <w:kern w:val="0"/>
          <w:sz w:val="28"/>
          <w:szCs w:val="28"/>
        </w:rPr>
        <w:t>单位名称（盖章）：</w:t>
      </w:r>
    </w:p>
    <w:p>
      <w:pPr>
        <w:spacing w:line="560" w:lineRule="exact"/>
        <w:rPr>
          <w:rFonts w:eastAsia="楷体_GB2312"/>
          <w:color w:val="auto"/>
        </w:rPr>
      </w:pPr>
      <w:r>
        <w:rPr>
          <w:rFonts w:eastAsia="楷体_GB2312"/>
          <w:bCs/>
          <w:color w:val="auto"/>
          <w:kern w:val="0"/>
          <w:sz w:val="28"/>
          <w:szCs w:val="28"/>
        </w:rPr>
        <w:t>自查人员：                                                         自查日期：</w:t>
      </w:r>
    </w:p>
    <w:tbl>
      <w:tblPr>
        <w:tblStyle w:val="9"/>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7"/>
        <w:gridCol w:w="7244"/>
        <w:gridCol w:w="12"/>
        <w:gridCol w:w="1421"/>
        <w:gridCol w:w="22"/>
        <w:gridCol w:w="1562"/>
        <w:gridCol w:w="142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91"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黑体"/>
                <w:bCs/>
                <w:color w:val="auto"/>
                <w:kern w:val="0"/>
                <w:sz w:val="28"/>
                <w:szCs w:val="28"/>
              </w:rPr>
            </w:pPr>
            <w:r>
              <w:rPr>
                <w:rFonts w:hint="default" w:eastAsia="黑体"/>
                <w:bCs/>
                <w:color w:val="auto"/>
                <w:kern w:val="0"/>
                <w:sz w:val="28"/>
                <w:szCs w:val="28"/>
              </w:rPr>
              <w:t>序号</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黑体"/>
                <w:bCs/>
                <w:color w:val="auto"/>
                <w:kern w:val="0"/>
                <w:sz w:val="28"/>
                <w:szCs w:val="28"/>
              </w:rPr>
            </w:pPr>
            <w:r>
              <w:rPr>
                <w:rFonts w:hint="default" w:eastAsia="黑体"/>
                <w:bCs/>
                <w:color w:val="auto"/>
                <w:kern w:val="0"/>
                <w:sz w:val="28"/>
                <w:szCs w:val="28"/>
              </w:rPr>
              <w:t>自查要点</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黑体"/>
                <w:bCs/>
                <w:color w:val="auto"/>
                <w:kern w:val="0"/>
                <w:sz w:val="28"/>
                <w:szCs w:val="28"/>
              </w:rPr>
            </w:pPr>
            <w:r>
              <w:rPr>
                <w:rFonts w:hint="default" w:eastAsia="黑体"/>
                <w:bCs/>
                <w:color w:val="auto"/>
                <w:kern w:val="0"/>
                <w:sz w:val="28"/>
                <w:szCs w:val="28"/>
              </w:rPr>
              <w:t>自查情况</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黑体"/>
                <w:bCs/>
                <w:color w:val="auto"/>
                <w:kern w:val="0"/>
                <w:sz w:val="28"/>
                <w:szCs w:val="28"/>
              </w:rPr>
            </w:pPr>
            <w:r>
              <w:rPr>
                <w:rFonts w:hint="default" w:eastAsia="黑体"/>
                <w:bCs/>
                <w:color w:val="auto"/>
                <w:kern w:val="0"/>
                <w:sz w:val="28"/>
                <w:szCs w:val="28"/>
              </w:rPr>
              <w:t>原因分析</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黑体"/>
                <w:bCs/>
                <w:color w:val="auto"/>
                <w:kern w:val="0"/>
                <w:sz w:val="28"/>
                <w:szCs w:val="28"/>
              </w:rPr>
            </w:pPr>
            <w:r>
              <w:rPr>
                <w:rFonts w:hint="default" w:eastAsia="黑体"/>
                <w:bCs/>
                <w:color w:val="auto"/>
                <w:kern w:val="0"/>
                <w:sz w:val="28"/>
                <w:szCs w:val="28"/>
              </w:rPr>
              <w:t>整改措施</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黑体"/>
                <w:bCs/>
                <w:color w:val="auto"/>
                <w:kern w:val="0"/>
                <w:sz w:val="28"/>
                <w:szCs w:val="28"/>
              </w:rPr>
            </w:pPr>
            <w:r>
              <w:rPr>
                <w:rFonts w:hint="default" w:eastAsia="黑体"/>
                <w:bCs/>
                <w:color w:val="auto"/>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医疗器械使用单位是否配备与其规模相适应的医疗器械质量管理机构或者质量管理人员。</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2</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医疗器械质量管理机构或者质量管理人员是否承担本单位使用医疗器械的质量管理责任。</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bookmarkStart w:id="0" w:name="RANGE!A9"/>
            <w:r>
              <w:rPr>
                <w:rFonts w:hint="default" w:eastAsia="仿宋_GB2312"/>
                <w:b/>
                <w:color w:val="auto"/>
                <w:sz w:val="28"/>
                <w:szCs w:val="28"/>
              </w:rPr>
              <w:t>3</w:t>
            </w:r>
            <w:bookmarkEnd w:id="0"/>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医疗器械使用单位是否建立覆盖质量管理全过程的使用质量管理制度。</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4</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医疗器械使用单位发现所使用的医疗器械发生不良事件或者可疑不良事件的，是否按照医疗器械不良事件监测的有关规定报告并处理。</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5</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医疗器械使用单位是否对医疗器械采购实行统一管理，由其指定的部门或者人员统一采购医疗器械，其他部门或者人员不得自行采购。</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6</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7</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真实、完整、准确地记录进货查验情况。进货查验记录是否保存至医疗器械规定使用期限届满后2年或者使用终止后2年。大型医疗器械进货查验记录是否保存至医疗器械规定使用期限届满后5年或者使用终止后5年；植入性医疗器械进货查验记录是否永久保存。</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8</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医疗器械使用单位是否妥善保存购入第三类医疗器械的原始资料，确保信息具有可追溯性。</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9</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10</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医疗器械使用单位应当按照贮存条件、医疗器械有效期限等要求对贮存的医疗器械进行定期检查并记录。</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11</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医疗器械使用单位不得购进和使用未依法注册或者备案、无合格证明文件以及过期、失效、淘汰的医疗器械。</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12</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13</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医疗器械使用单位对植入和介入类医疗器械是否建立使用记录，植入性医疗器械使用记录永久保存，相关资料是否纳入信息化管理系统，确保信息可追溯。</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14</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91"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15</w:t>
            </w:r>
          </w:p>
        </w:tc>
        <w:tc>
          <w:tcPr>
            <w:tcW w:w="725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对使用期限长的大型医疗器械，是否逐台建立使用档案，记录其使用、维护等情况。记录保存期限是否符合不得少于医疗器械规定使用期限届满后5年或者使用终止后5年的要求。</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textAlignment w:val="auto"/>
              <w:outlineLvl w:val="9"/>
              <w:rPr>
                <w:rFonts w:hint="default" w:eastAsia="仿宋_GB2312"/>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b/>
                <w:bCs/>
                <w:color w:val="auto"/>
                <w:kern w:val="0"/>
                <w:sz w:val="28"/>
                <w:szCs w:val="28"/>
              </w:rPr>
            </w:pPr>
            <w:r>
              <w:rPr>
                <w:rFonts w:hint="default" w:eastAsia="仿宋_GB2312"/>
                <w:b/>
                <w:color w:val="auto"/>
                <w:sz w:val="28"/>
                <w:szCs w:val="28"/>
              </w:rPr>
              <w:t>16</w:t>
            </w:r>
          </w:p>
        </w:tc>
        <w:tc>
          <w:tcPr>
            <w:tcW w:w="7263"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r>
              <w:rPr>
                <w:rFonts w:hint="default" w:eastAsia="仿宋_GB2312"/>
                <w:color w:val="auto"/>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r>
              <w:rPr>
                <w:rFonts w:hint="default" w:eastAsia="仿宋_GB2312"/>
                <w:color w:val="auto"/>
                <w:kern w:val="0"/>
                <w:sz w:val="28"/>
                <w:szCs w:val="28"/>
              </w:rPr>
              <w:t>　</w:t>
            </w: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r>
              <w:rPr>
                <w:rFonts w:hint="default"/>
                <w:color w:val="auto"/>
                <w:kern w:val="0"/>
                <w:sz w:val="28"/>
                <w:szCs w:val="28"/>
              </w:rPr>
              <w:t>　</w:t>
            </w: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color w:val="auto"/>
                <w:kern w:val="0"/>
                <w:sz w:val="28"/>
                <w:szCs w:val="28"/>
              </w:rPr>
            </w:pPr>
            <w:r>
              <w:rPr>
                <w:rFonts w:hint="default"/>
                <w:color w:val="auto"/>
                <w:kern w:val="0"/>
                <w:sz w:val="28"/>
                <w:szCs w:val="28"/>
              </w:rPr>
              <w:t>　</w:t>
            </w: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color w:val="auto"/>
                <w:kern w:val="0"/>
                <w:sz w:val="28"/>
                <w:szCs w:val="28"/>
              </w:rPr>
            </w:pPr>
            <w:r>
              <w:rPr>
                <w:rFonts w:hint="default" w:eastAsia="仿宋_GB2312"/>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8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17</w:t>
            </w:r>
          </w:p>
        </w:tc>
        <w:tc>
          <w:tcPr>
            <w:tcW w:w="7263"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r>
              <w:rPr>
                <w:rFonts w:hint="default" w:eastAsia="仿宋_GB2312"/>
                <w:color w:val="auto"/>
                <w:kern w:val="0"/>
                <w:sz w:val="28"/>
                <w:szCs w:val="28"/>
              </w:rPr>
              <w:t>医疗器械使用单位发现使用的医疗器械存在安全隐患的，是否立即停止使用，通知检修；经检修仍不能达到使用安全标准的，是否停止使用，并按照有关规定处置。</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p>
        </w:tc>
        <w:tc>
          <w:tcPr>
            <w:tcW w:w="158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color w:val="auto"/>
                <w:kern w:val="0"/>
                <w:sz w:val="28"/>
                <w:szCs w:val="28"/>
              </w:rPr>
            </w:pP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88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18</w:t>
            </w:r>
          </w:p>
        </w:tc>
        <w:tc>
          <w:tcPr>
            <w:tcW w:w="7251"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r>
              <w:rPr>
                <w:rFonts w:hint="default" w:eastAsia="仿宋_GB2312"/>
                <w:color w:val="auto"/>
                <w:kern w:val="0"/>
                <w:sz w:val="28"/>
                <w:szCs w:val="28"/>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1455"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color w:val="auto"/>
                <w:kern w:val="0"/>
                <w:sz w:val="28"/>
                <w:szCs w:val="28"/>
              </w:rPr>
            </w:pP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b/>
                <w:color w:val="auto"/>
                <w:sz w:val="28"/>
                <w:szCs w:val="28"/>
              </w:rPr>
            </w:pPr>
            <w:r>
              <w:rPr>
                <w:rFonts w:hint="default" w:eastAsia="仿宋_GB2312"/>
                <w:b/>
                <w:color w:val="auto"/>
                <w:sz w:val="28"/>
                <w:szCs w:val="28"/>
              </w:rPr>
              <w:t>19</w:t>
            </w:r>
          </w:p>
        </w:tc>
        <w:tc>
          <w:tcPr>
            <w:tcW w:w="7251"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r>
              <w:rPr>
                <w:rFonts w:hint="default" w:eastAsia="仿宋_GB2312"/>
                <w:color w:val="auto"/>
                <w:kern w:val="0"/>
                <w:sz w:val="28"/>
                <w:szCs w:val="28"/>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1455"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b/>
                <w:bCs/>
                <w:color w:val="auto"/>
                <w:kern w:val="0"/>
                <w:sz w:val="28"/>
                <w:szCs w:val="28"/>
              </w:rPr>
            </w:pPr>
          </w:p>
        </w:tc>
        <w:tc>
          <w:tcPr>
            <w:tcW w:w="1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color w:val="auto"/>
                <w:kern w:val="0"/>
                <w:sz w:val="28"/>
                <w:szCs w:val="28"/>
              </w:rPr>
            </w:pPr>
          </w:p>
        </w:tc>
        <w:tc>
          <w:tcPr>
            <w:tcW w:w="1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default" w:eastAsia="仿宋_GB2312"/>
                <w:color w:val="auto"/>
                <w:kern w:val="0"/>
                <w:sz w:val="28"/>
                <w:szCs w:val="2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eastAsia="仿宋_GB2312"/>
          <w:b w:val="0"/>
          <w:bCs w:val="0"/>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b w:val="0"/>
          <w:bCs w:val="0"/>
          <w:color w:val="auto"/>
        </w:rPr>
      </w:pPr>
      <w:r>
        <w:rPr>
          <w:rFonts w:eastAsia="仿宋_GB2312"/>
          <w:b w:val="0"/>
          <w:bCs w:val="0"/>
          <w:color w:val="auto"/>
          <w:kern w:val="0"/>
          <w:sz w:val="28"/>
          <w:szCs w:val="28"/>
        </w:rPr>
        <w:t>质量负责人签名：                                               联系方式：</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textAlignment w:val="auto"/>
        <w:outlineLvl w:val="9"/>
        <w:rPr>
          <w:b w:val="0"/>
          <w:bCs w:val="0"/>
          <w:color w:val="auto"/>
        </w:rPr>
      </w:pPr>
      <w:r>
        <w:rPr>
          <w:rFonts w:eastAsia="仿宋_GB2312"/>
          <w:b w:val="0"/>
          <w:bCs w:val="0"/>
          <w:color w:val="auto"/>
          <w:kern w:val="0"/>
          <w:sz w:val="28"/>
          <w:szCs w:val="28"/>
        </w:rPr>
        <w:t>单位法定代表人或负责人签名：                                   联系方式：</w:t>
      </w:r>
    </w:p>
    <w:p>
      <w:pPr>
        <w:spacing w:line="560" w:lineRule="exact"/>
        <w:jc w:val="left"/>
        <w:rPr>
          <w:rFonts w:hint="eastAsia" w:eastAsia="黑体"/>
          <w:color w:val="000000"/>
          <w:sz w:val="32"/>
          <w:szCs w:val="32"/>
          <w:lang w:eastAsia="zh-CN"/>
        </w:rPr>
      </w:pPr>
      <w:r>
        <w:rPr>
          <w:rFonts w:hint="eastAsia" w:ascii="黑体" w:hAnsi="黑体" w:eastAsia="黑体" w:cs="黑体"/>
          <w:color w:val="000000"/>
          <w:sz w:val="32"/>
          <w:szCs w:val="32"/>
        </w:rPr>
        <w:t>附件4</w:t>
      </w:r>
      <w:r>
        <w:rPr>
          <w:rFonts w:hint="eastAsia" w:ascii="黑体" w:hAnsi="黑体" w:eastAsia="黑体" w:cs="黑体"/>
          <w:color w:val="000000"/>
          <w:sz w:val="32"/>
          <w:szCs w:val="32"/>
          <w:lang w:eastAsia="zh-CN"/>
        </w:rPr>
        <w:t>：</w:t>
      </w:r>
    </w:p>
    <w:p>
      <w:pPr>
        <w:spacing w:line="560" w:lineRule="exact"/>
        <w:jc w:val="center"/>
        <w:rPr>
          <w:rFonts w:hint="eastAsia" w:ascii="方正小标宋简体" w:hAnsi="方正小标宋简体" w:eastAsia="方正小标宋简体" w:cs="方正小标宋简体"/>
          <w:color w:val="000000"/>
          <w:sz w:val="44"/>
          <w:szCs w:val="40"/>
        </w:rPr>
      </w:pPr>
      <w:r>
        <w:rPr>
          <w:rFonts w:hint="eastAsia" w:ascii="方正小标宋简体" w:hAnsi="方正小标宋简体" w:eastAsia="方正小标宋简体" w:cs="方正小标宋简体"/>
          <w:color w:val="000000"/>
          <w:sz w:val="44"/>
          <w:szCs w:val="40"/>
        </w:rPr>
        <w:t>2020年无菌和植入性医疗器械生产企业监督检查情况汇总表</w:t>
      </w:r>
    </w:p>
    <w:p>
      <w:pPr>
        <w:widowControl/>
        <w:spacing w:line="560" w:lineRule="exact"/>
        <w:ind w:firstLine="240" w:firstLineChars="100"/>
        <w:rPr>
          <w:color w:val="000000"/>
          <w:szCs w:val="21"/>
        </w:rPr>
      </w:pPr>
      <w:r>
        <w:rPr>
          <w:rFonts w:eastAsia="仿宋_GB2312"/>
          <w:color w:val="000000"/>
          <w:kern w:val="0"/>
          <w:sz w:val="24"/>
        </w:rPr>
        <w:t>上报单位（公章）：</w:t>
      </w:r>
      <w:r>
        <w:rPr>
          <w:rFonts w:hint="eastAsia"/>
          <w:color w:val="000000"/>
          <w:kern w:val="0"/>
          <w:sz w:val="24"/>
          <w:lang w:val="en-US" w:eastAsia="zh-CN"/>
        </w:rPr>
        <w:t xml:space="preserve">                                                                 </w:t>
      </w:r>
      <w:r>
        <w:rPr>
          <w:rFonts w:hint="eastAsia"/>
          <w:color w:val="auto"/>
          <w:kern w:val="0"/>
          <w:sz w:val="24"/>
          <w:lang w:val="en-US" w:eastAsia="zh-CN"/>
        </w:rPr>
        <w:t xml:space="preserve"> 填报日期：</w:t>
      </w:r>
    </w:p>
    <w:tbl>
      <w:tblPr>
        <w:tblStyle w:val="9"/>
        <w:tblW w:w="0" w:type="auto"/>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939"/>
        <w:gridCol w:w="708"/>
        <w:gridCol w:w="702"/>
        <w:gridCol w:w="739"/>
        <w:gridCol w:w="709"/>
        <w:gridCol w:w="567"/>
        <w:gridCol w:w="567"/>
        <w:gridCol w:w="1187"/>
        <w:gridCol w:w="728"/>
        <w:gridCol w:w="715"/>
        <w:gridCol w:w="850"/>
        <w:gridCol w:w="709"/>
        <w:gridCol w:w="851"/>
        <w:gridCol w:w="850"/>
        <w:gridCol w:w="851"/>
        <w:gridCol w:w="850"/>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3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93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无菌和植入性医疗器械生产企业数</w:t>
            </w:r>
          </w:p>
        </w:tc>
        <w:tc>
          <w:tcPr>
            <w:tcW w:w="70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检查前企业停产数</w:t>
            </w:r>
          </w:p>
        </w:tc>
        <w:tc>
          <w:tcPr>
            <w:tcW w:w="70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通过检查的企业数</w:t>
            </w:r>
          </w:p>
        </w:tc>
        <w:tc>
          <w:tcPr>
            <w:tcW w:w="73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未通过检查的企业数</w:t>
            </w:r>
          </w:p>
        </w:tc>
        <w:tc>
          <w:tcPr>
            <w:tcW w:w="70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累计出动检查人次</w:t>
            </w:r>
          </w:p>
        </w:tc>
        <w:tc>
          <w:tcPr>
            <w:tcW w:w="56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累计检查次数</w:t>
            </w:r>
          </w:p>
        </w:tc>
        <w:tc>
          <w:tcPr>
            <w:tcW w:w="56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复查企业家数</w:t>
            </w:r>
          </w:p>
        </w:tc>
        <w:tc>
          <w:tcPr>
            <w:tcW w:w="118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复查企业家数占行政区域内无菌、植入性医疗器械生产企业数比例</w:t>
            </w:r>
          </w:p>
        </w:tc>
        <w:tc>
          <w:tcPr>
            <w:tcW w:w="72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累计查处违法违规企业数</w:t>
            </w:r>
          </w:p>
        </w:tc>
        <w:tc>
          <w:tcPr>
            <w:tcW w:w="7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责令改正（家次）</w:t>
            </w:r>
          </w:p>
        </w:tc>
        <w:tc>
          <w:tcPr>
            <w:tcW w:w="1559"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累计查处违法违规情况</w:t>
            </w:r>
          </w:p>
        </w:tc>
        <w:tc>
          <w:tcPr>
            <w:tcW w:w="340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累计处罚情况</w:t>
            </w:r>
          </w:p>
        </w:tc>
        <w:tc>
          <w:tcPr>
            <w:tcW w:w="73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r>
              <w:rPr>
                <w:rFonts w:hint="default" w:eastAsia="仿宋_GB2312"/>
                <w:color w:val="000000"/>
                <w:kern w:val="0"/>
                <w:sz w:val="21"/>
                <w:szCs w:val="21"/>
              </w:rPr>
              <w:t>累计移送公安机关件数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3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93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70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70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73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70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56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56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118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72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7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数量</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（件）</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货值</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spacing w:val="-6"/>
                <w:kern w:val="0"/>
                <w:sz w:val="21"/>
                <w:szCs w:val="21"/>
              </w:rPr>
              <w:t>（万元</w:t>
            </w:r>
            <w:r>
              <w:rPr>
                <w:rFonts w:hint="default" w:eastAsia="仿宋_GB2312"/>
                <w:color w:val="000000"/>
                <w:kern w:val="0"/>
                <w:sz w:val="21"/>
                <w:szCs w:val="21"/>
              </w:rPr>
              <w:t>）</w:t>
            </w: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警告</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（家）</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立案（家）</w:t>
            </w: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罚没款金额（万元）</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吊销许可证（家）</w:t>
            </w:r>
          </w:p>
        </w:tc>
        <w:tc>
          <w:tcPr>
            <w:tcW w:w="732"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2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无菌医疗器械（</w:t>
            </w:r>
            <w:r>
              <w:rPr>
                <w:rFonts w:hint="default"/>
                <w:color w:val="000000"/>
                <w:kern w:val="0"/>
                <w:sz w:val="21"/>
                <w:szCs w:val="21"/>
              </w:rPr>
              <w:t>Ⅱ</w:t>
            </w:r>
            <w:r>
              <w:rPr>
                <w:rFonts w:hint="default" w:eastAsia="仿宋_GB2312"/>
                <w:color w:val="000000"/>
                <w:kern w:val="0"/>
                <w:sz w:val="21"/>
                <w:szCs w:val="21"/>
              </w:rPr>
              <w:t>）</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2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无菌医疗器械（</w:t>
            </w:r>
            <w:r>
              <w:rPr>
                <w:rFonts w:hint="default"/>
                <w:color w:val="000000"/>
                <w:kern w:val="0"/>
                <w:sz w:val="21"/>
                <w:szCs w:val="21"/>
              </w:rPr>
              <w:t>Ⅲ</w:t>
            </w:r>
            <w:r>
              <w:rPr>
                <w:rFonts w:hint="default" w:eastAsia="仿宋_GB2312"/>
                <w:color w:val="000000"/>
                <w:kern w:val="0"/>
                <w:sz w:val="21"/>
                <w:szCs w:val="21"/>
              </w:rPr>
              <w:t>）</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2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eastAsia="仿宋_GB2312"/>
                <w:color w:val="000000"/>
                <w:kern w:val="0"/>
                <w:sz w:val="21"/>
                <w:szCs w:val="21"/>
              </w:rPr>
            </w:pPr>
            <w:r>
              <w:rPr>
                <w:rFonts w:hint="default" w:eastAsia="仿宋_GB2312"/>
                <w:color w:val="000000"/>
                <w:kern w:val="0"/>
                <w:sz w:val="21"/>
                <w:szCs w:val="21"/>
              </w:rPr>
              <w:t>植入性医疗器械</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c>
          <w:tcPr>
            <w:tcW w:w="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eastAsia="仿宋_GB2312"/>
          <w:b w:val="0"/>
          <w:bCs w:val="0"/>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eastAsia="仿宋_GB2312"/>
          <w:b w:val="0"/>
          <w:bCs w:val="0"/>
          <w:color w:val="auto"/>
          <w:kern w:val="0"/>
          <w:sz w:val="28"/>
          <w:szCs w:val="28"/>
        </w:rPr>
      </w:pPr>
      <w:r>
        <w:rPr>
          <w:rFonts w:eastAsia="仿宋_GB2312"/>
          <w:b w:val="0"/>
          <w:bCs w:val="0"/>
          <w:color w:val="auto"/>
          <w:kern w:val="0"/>
          <w:sz w:val="28"/>
          <w:szCs w:val="28"/>
        </w:rPr>
        <w:t>填表人：                                                      联系电话：</w:t>
      </w:r>
    </w:p>
    <w:p>
      <w:pPr>
        <w:spacing w:line="560" w:lineRule="exact"/>
        <w:jc w:val="left"/>
        <w:rPr>
          <w:rFonts w:eastAsia="仿宋_GB2312"/>
          <w:sz w:val="28"/>
          <w:szCs w:val="28"/>
        </w:rPr>
      </w:pPr>
      <w:r>
        <w:rPr>
          <w:rFonts w:eastAsia="仿宋_GB2312"/>
          <w:color w:val="000000"/>
          <w:kern w:val="0"/>
          <w:sz w:val="24"/>
        </w:rPr>
        <w:t>（注）：</w:t>
      </w:r>
      <w:r>
        <w:rPr>
          <w:rFonts w:eastAsia="仿宋_GB2312"/>
          <w:color w:val="000000"/>
          <w:spacing w:val="-11"/>
          <w:kern w:val="0"/>
          <w:sz w:val="24"/>
        </w:rPr>
        <w:t>无菌和植入性医疗器械生产企业数=检查前企业停产数+通过检查的企业数（含复查通过）+未通过检查企业数（含复查未通过）</w:t>
      </w:r>
    </w:p>
    <w:p>
      <w:pPr>
        <w:spacing w:line="560" w:lineRule="exact"/>
        <w:jc w:val="left"/>
        <w:rPr>
          <w:rFonts w:hint="eastAsia" w:ascii="黑体" w:hAnsi="黑体" w:eastAsia="黑体" w:cs="黑体"/>
          <w:color w:val="auto"/>
          <w:sz w:val="32"/>
          <w:szCs w:val="32"/>
        </w:rPr>
      </w:pPr>
    </w:p>
    <w:p>
      <w:pPr>
        <w:pStyle w:val="2"/>
        <w:rPr>
          <w:rFonts w:hint="eastAsia"/>
        </w:rPr>
      </w:pPr>
    </w:p>
    <w:p>
      <w:pPr>
        <w:spacing w:line="560" w:lineRule="exact"/>
        <w:jc w:val="left"/>
        <w:rPr>
          <w:rFonts w:eastAsia="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widowControl/>
        <w:spacing w:before="156" w:beforeLines="50" w:after="156" w:afterLines="50" w:line="560" w:lineRule="exact"/>
        <w:jc w:val="center"/>
        <w:rPr>
          <w:rFonts w:hint="eastAsia" w:ascii="方正小标宋简体" w:hAnsi="方正小标宋简体" w:eastAsia="方正小标宋简体" w:cs="方正小标宋简体"/>
          <w:color w:val="auto"/>
          <w:sz w:val="44"/>
          <w:szCs w:val="40"/>
        </w:rPr>
      </w:pPr>
      <w:r>
        <w:rPr>
          <w:rFonts w:hint="eastAsia" w:ascii="方正小标宋简体" w:hAnsi="方正小标宋简体" w:eastAsia="方正小标宋简体" w:cs="方正小标宋简体"/>
          <w:color w:val="auto"/>
          <w:sz w:val="44"/>
          <w:szCs w:val="40"/>
        </w:rPr>
        <w:t>2020年无菌和植入性医疗器械经营使用单位监督检查情况汇总表</w:t>
      </w:r>
    </w:p>
    <w:p>
      <w:pPr>
        <w:widowControl/>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上报单位（公章）</w:t>
      </w:r>
      <w:r>
        <w:rPr>
          <w:rFonts w:hint="eastAsia" w:ascii="仿宋_GB2312" w:hAnsi="仿宋_GB2312" w:eastAsia="仿宋_GB2312" w:cs="仿宋_GB2312"/>
          <w:color w:val="auto"/>
          <w:kern w:val="0"/>
          <w:sz w:val="28"/>
          <w:szCs w:val="28"/>
          <w:lang w:val="en-US" w:eastAsia="zh-CN"/>
        </w:rPr>
        <w:t xml:space="preserve">                                                                填报日期：</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4"/>
        <w:gridCol w:w="740"/>
        <w:gridCol w:w="820"/>
        <w:gridCol w:w="820"/>
        <w:gridCol w:w="236"/>
        <w:gridCol w:w="1165"/>
        <w:gridCol w:w="1300"/>
        <w:gridCol w:w="804"/>
        <w:gridCol w:w="959"/>
        <w:gridCol w:w="593"/>
        <w:gridCol w:w="593"/>
        <w:gridCol w:w="599"/>
        <w:gridCol w:w="781"/>
        <w:gridCol w:w="619"/>
        <w:gridCol w:w="781"/>
        <w:gridCol w:w="781"/>
        <w:gridCol w:w="579"/>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类别</w:t>
            </w:r>
          </w:p>
        </w:tc>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监督检查的企业（单位）数</w:t>
            </w: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复查的企业（单位）数</w:t>
            </w:r>
          </w:p>
        </w:tc>
        <w:tc>
          <w:tcPr>
            <w:tcW w:w="1056"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查处未经许可（备案）从事经营（网络销售）医疗器械案件数</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查处经营（网络销售）未取得注册证或者备案凭证的医疗器械</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案件数</w:t>
            </w:r>
          </w:p>
        </w:tc>
        <w:tc>
          <w:tcPr>
            <w:tcW w:w="13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查处利用体验式、会销等营销方式进行超范围经营、无证经营和经营无证产品</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案件数</w:t>
            </w:r>
          </w:p>
        </w:tc>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责令整改企业（单位）数</w:t>
            </w:r>
          </w:p>
        </w:tc>
        <w:tc>
          <w:tcPr>
            <w:tcW w:w="49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行政处罚情况</w:t>
            </w:r>
          </w:p>
        </w:tc>
        <w:tc>
          <w:tcPr>
            <w:tcW w:w="7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移送公安机关案件数</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通报卫生计生部门案件数</w:t>
            </w:r>
          </w:p>
        </w:tc>
        <w:tc>
          <w:tcPr>
            <w:tcW w:w="5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重点案件情况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12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1056" w:type="dxa"/>
            <w:gridSpan w:val="2"/>
            <w:vMerge w:val="continue"/>
            <w:tcBorders>
              <w:left w:val="single" w:color="auto" w:sz="4" w:space="0"/>
              <w:bottom w:val="nil"/>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宋体" w:hAnsi="宋体" w:eastAsia="宋体" w:cs="宋体"/>
                <w:color w:val="auto"/>
                <w:kern w:val="0"/>
                <w:sz w:val="18"/>
                <w:szCs w:val="18"/>
                <w:highlight w:val="yellow"/>
              </w:rPr>
            </w:pPr>
          </w:p>
        </w:tc>
        <w:tc>
          <w:tcPr>
            <w:tcW w:w="1165" w:type="dxa"/>
            <w:vMerge w:val="continue"/>
            <w:tcBorders>
              <w:left w:val="single" w:color="auto" w:sz="4" w:space="0"/>
              <w:bottom w:val="nil"/>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highlight w:val="yellow"/>
              </w:rPr>
            </w:pPr>
          </w:p>
        </w:tc>
        <w:tc>
          <w:tcPr>
            <w:tcW w:w="1300"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立案查处违法违规企业（单位）数</w:t>
            </w:r>
          </w:p>
        </w:tc>
        <w:tc>
          <w:tcPr>
            <w:tcW w:w="59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警告（单位数）</w:t>
            </w:r>
          </w:p>
        </w:tc>
        <w:tc>
          <w:tcPr>
            <w:tcW w:w="59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罚款（万元）</w:t>
            </w:r>
          </w:p>
        </w:tc>
        <w:tc>
          <w:tcPr>
            <w:tcW w:w="59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没收违法所得(万元)</w:t>
            </w:r>
          </w:p>
        </w:tc>
        <w:tc>
          <w:tcPr>
            <w:tcW w:w="7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没收非法医疗器械（个）</w:t>
            </w:r>
          </w:p>
        </w:tc>
        <w:tc>
          <w:tcPr>
            <w:tcW w:w="6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责令停业（单位数）</w:t>
            </w:r>
          </w:p>
        </w:tc>
        <w:tc>
          <w:tcPr>
            <w:tcW w:w="7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吊销许可证（个）</w:t>
            </w: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24"/>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24"/>
              </w:rPr>
            </w:pPr>
          </w:p>
        </w:tc>
        <w:tc>
          <w:tcPr>
            <w:tcW w:w="5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jc w:val="center"/>
        </w:trPr>
        <w:tc>
          <w:tcPr>
            <w:tcW w:w="12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经营</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企业</w:t>
            </w: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82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820" w:type="dxa"/>
            <w:tcBorders>
              <w:top w:val="single" w:color="auto" w:sz="4" w:space="0"/>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1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95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9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9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9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7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7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7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7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jc w:val="center"/>
        </w:trPr>
        <w:tc>
          <w:tcPr>
            <w:tcW w:w="12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使用</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单位</w:t>
            </w: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 w:val="18"/>
                <w:szCs w:val="18"/>
              </w:rPr>
            </w:pPr>
          </w:p>
        </w:tc>
        <w:tc>
          <w:tcPr>
            <w:tcW w:w="82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820" w:type="dxa"/>
            <w:tcBorders>
              <w:top w:val="single" w:color="auto" w:sz="4" w:space="0"/>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1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highlight w:val="black"/>
              </w:rPr>
            </w:pPr>
          </w:p>
        </w:tc>
        <w:tc>
          <w:tcPr>
            <w:tcW w:w="95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9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9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9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7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7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7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7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color w:val="auto"/>
                <w:kern w:val="0"/>
                <w:szCs w:val="21"/>
              </w:rPr>
            </w:pPr>
          </w:p>
        </w:tc>
      </w:tr>
    </w:tbl>
    <w:p>
      <w:pPr>
        <w:tabs>
          <w:tab w:val="left" w:pos="7560"/>
        </w:tabs>
        <w:rPr>
          <w:rFonts w:hint="eastAsia"/>
          <w:color w:val="auto"/>
        </w:rPr>
      </w:pPr>
      <w:r>
        <w:rPr>
          <w:rFonts w:eastAsia="仿宋_GB2312"/>
          <w:color w:val="auto"/>
          <w:kern w:val="0"/>
          <w:szCs w:val="21"/>
        </w:rPr>
        <w:t>填表人：                                                          联系电话：</w:t>
      </w:r>
      <w:r>
        <w:rPr>
          <w:color w:val="auto"/>
        </w:rPr>
        <w:t xml:space="preserve"> </w:t>
      </w:r>
    </w:p>
    <w:p>
      <w:pPr>
        <w:pStyle w:val="2"/>
        <w:ind w:left="0" w:leftChars="0" w:firstLine="0" w:firstLineChars="0"/>
        <w:rPr>
          <w:rFonts w:hint="eastAsia" w:ascii="仿宋_GB2312" w:hAnsi="仿宋" w:eastAsia="仿宋_GB2312"/>
          <w:color w:val="000000" w:themeColor="text1"/>
          <w:sz w:val="28"/>
          <w:szCs w:val="28"/>
          <w:lang w:val="en-US" w:eastAsia="zh-CN"/>
          <w14:textFill>
            <w14:solidFill>
              <w14:schemeClr w14:val="tx1"/>
            </w14:solidFill>
          </w14:textFill>
        </w:rPr>
      </w:pPr>
    </w:p>
    <w:p>
      <w:pPr>
        <w:pStyle w:val="2"/>
        <w:ind w:left="0" w:leftChars="0" w:firstLine="0" w:firstLineChars="0"/>
        <w:rPr>
          <w:rFonts w:hint="eastAsia" w:ascii="仿宋_GB2312" w:hAnsi="仿宋" w:eastAsia="仿宋_GB2312"/>
          <w:color w:val="000000" w:themeColor="text1"/>
          <w:sz w:val="28"/>
          <w:szCs w:val="28"/>
          <w:lang w:val="en-US" w:eastAsia="zh-CN"/>
          <w14:textFill>
            <w14:solidFill>
              <w14:schemeClr w14:val="tx1"/>
            </w14:solidFill>
          </w14:textFill>
        </w:rPr>
      </w:pPr>
    </w:p>
    <w:p>
      <w:pPr>
        <w:pStyle w:val="2"/>
        <w:ind w:left="0" w:leftChars="0" w:firstLine="0" w:firstLineChars="0"/>
        <w:rPr>
          <w:rFonts w:hint="eastAsia" w:ascii="仿宋_GB2312" w:hAnsi="仿宋" w:eastAsia="仿宋_GB2312"/>
          <w:color w:val="000000" w:themeColor="text1"/>
          <w:sz w:val="28"/>
          <w:szCs w:val="28"/>
          <w:lang w:val="en-US" w:eastAsia="zh-CN"/>
          <w14:textFill>
            <w14:solidFill>
              <w14:schemeClr w14:val="tx1"/>
            </w14:solidFill>
          </w14:textFill>
        </w:rPr>
        <w:sectPr>
          <w:footerReference r:id="rId3" w:type="default"/>
          <w:pgSz w:w="16838" w:h="11905" w:orient="landscape"/>
          <w:pgMar w:top="1474" w:right="1474" w:bottom="1474" w:left="1474" w:header="851" w:footer="1247" w:gutter="0"/>
          <w:pgBorders>
            <w:top w:val="none" w:sz="0" w:space="0"/>
            <w:left w:val="none" w:sz="0" w:space="0"/>
            <w:bottom w:val="none" w:sz="0" w:space="0"/>
            <w:right w:val="none" w:sz="0" w:space="0"/>
          </w:pgBorders>
          <w:pgNumType w:fmt="decimal" w:start="7"/>
          <w:cols w:space="0" w:num="1"/>
          <w:rtlGutter w:val="0"/>
          <w:docGrid w:type="lines" w:linePitch="373" w:charSpace="0"/>
        </w:sect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sectPr>
      <w:footerReference r:id="rId4" w:type="default"/>
      <w:pgSz w:w="11905" w:h="16838"/>
      <w:pgMar w:top="2041" w:right="1474" w:bottom="1531" w:left="1474" w:header="851" w:footer="1247" w:gutter="0"/>
      <w:pgBorders>
        <w:top w:val="none" w:sz="0" w:space="0"/>
        <w:left w:val="none" w:sz="0" w:space="0"/>
        <w:bottom w:val="none" w:sz="0" w:space="0"/>
        <w:right w:val="none" w:sz="0" w:space="0"/>
      </w:pgBorders>
      <w:pgNumType w:fmt="decimal" w:start="2"/>
      <w:cols w:space="0" w:num="1"/>
      <w:rtlGutter w:val="0"/>
      <w:docGrid w:type="lines" w:linePitch="3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663058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663058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663057408" behindDoc="0" locked="0" layoutInCell="1" allowOverlap="1">
              <wp:simplePos x="0" y="0"/>
              <wp:positionH relativeFrom="margin">
                <wp:posOffset>5405755</wp:posOffset>
              </wp:positionH>
              <wp:positionV relativeFrom="paragraph">
                <wp:posOffset>-94615</wp:posOffset>
              </wp:positionV>
              <wp:extent cx="619125" cy="3314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19125"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5.65pt;margin-top:-7.45pt;height:26.1pt;width:48.75pt;mso-position-horizontal-relative:margin;z-index:663057408;mso-width-relative:page;mso-height-relative:page;" filled="f" stroked="f" coordsize="21600,21600" o:gfxdata="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jyOQ9oAAAAK&#10;AQAADwAAAAAAAAABACAAAAAiAAAAZHJzL2Rvd25yZXYueG1sUEsBAhQAFAAAAAgAh07iQCCCF/8a&#10;AgAAFQQAAA4AAAAAAAAAAQAgAAAAKQEAAGRycy9lMm9Eb2MueG1sUEsFBgAAAAAGAAYAWQEAALUF&#10;A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525924352" behindDoc="0" locked="0" layoutInCell="1" allowOverlap="1">
              <wp:simplePos x="0" y="0"/>
              <wp:positionH relativeFrom="margin">
                <wp:posOffset>5405755</wp:posOffset>
              </wp:positionH>
              <wp:positionV relativeFrom="paragraph">
                <wp:posOffset>-94615</wp:posOffset>
              </wp:positionV>
              <wp:extent cx="619125" cy="331470"/>
              <wp:effectExtent l="0" t="0" r="0" b="0"/>
              <wp:wrapNone/>
              <wp:docPr id="9" name="文本框 9"/>
              <wp:cNvGraphicFramePr/>
              <a:graphic xmlns:a="http://schemas.openxmlformats.org/drawingml/2006/main">
                <a:graphicData uri="http://schemas.microsoft.com/office/word/2010/wordprocessingShape">
                  <wps:wsp>
                    <wps:cNvSpPr txBox="1"/>
                    <wps:spPr>
                      <a:xfrm>
                        <a:off x="0" y="0"/>
                        <a:ext cx="619125"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5.65pt;margin-top:-7.45pt;height:26.1pt;width:48.75pt;mso-position-horizontal-relative:margin;z-index:525924352;mso-width-relative:page;mso-height-relative:page;" filled="f" stroked="f" coordsize="21600,21600" o:gfxdata="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jyOQ9oAAAAK&#10;AQAADwAAAAAAAAABACAAAAAiAAAAZHJzL2Rvd25yZXYueG1sUEsBAhQAFAAAAAgAh07iQMwkd3Ua&#10;AgAAEwQAAA4AAAAAAAAAAQAgAAAAKQEAAGRycy9lMm9Eb2MueG1sUEsFBgAAAAAGAAYAWQEAALUF&#10;A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readOnly" w:enforcement="0"/>
  <w:defaultTabStop w:val="420"/>
  <w:drawingGridVerticalSpacing w:val="186"/>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2A6B1D9-CA18-4681-9242-C456B0D3A5A0}"/>
    <w:docVar w:name="DocumentName" w:val="（六市监秘〔2020〕69号)关于餐饮服务单位不得承办集体聚餐的紧急通知(1)(1)"/>
  </w:docVars>
  <w:rsids>
    <w:rsidRoot w:val="0B2D3663"/>
    <w:rsid w:val="003F7B35"/>
    <w:rsid w:val="00590997"/>
    <w:rsid w:val="0066436A"/>
    <w:rsid w:val="00F00DE8"/>
    <w:rsid w:val="010B1BFB"/>
    <w:rsid w:val="021E6860"/>
    <w:rsid w:val="02210672"/>
    <w:rsid w:val="0241475A"/>
    <w:rsid w:val="025478A7"/>
    <w:rsid w:val="02774B82"/>
    <w:rsid w:val="03061C46"/>
    <w:rsid w:val="03825DF7"/>
    <w:rsid w:val="03B961B1"/>
    <w:rsid w:val="03D47FC0"/>
    <w:rsid w:val="03F7417D"/>
    <w:rsid w:val="044B586D"/>
    <w:rsid w:val="045D126C"/>
    <w:rsid w:val="048E7272"/>
    <w:rsid w:val="05950BCC"/>
    <w:rsid w:val="061F7561"/>
    <w:rsid w:val="06CC55EB"/>
    <w:rsid w:val="074576A5"/>
    <w:rsid w:val="076C4ACE"/>
    <w:rsid w:val="080F4D18"/>
    <w:rsid w:val="0871009F"/>
    <w:rsid w:val="088B29AC"/>
    <w:rsid w:val="0991565B"/>
    <w:rsid w:val="09BE5C7C"/>
    <w:rsid w:val="09BF3BC8"/>
    <w:rsid w:val="0A14422C"/>
    <w:rsid w:val="0AD141F7"/>
    <w:rsid w:val="0AF056A0"/>
    <w:rsid w:val="0B2D3663"/>
    <w:rsid w:val="0C7739F6"/>
    <w:rsid w:val="0CA83E9E"/>
    <w:rsid w:val="0CCF313A"/>
    <w:rsid w:val="0D67512D"/>
    <w:rsid w:val="0E1413CD"/>
    <w:rsid w:val="0E5C418D"/>
    <w:rsid w:val="0E623BC4"/>
    <w:rsid w:val="0EF73FC3"/>
    <w:rsid w:val="0FB95AAD"/>
    <w:rsid w:val="101C4AC9"/>
    <w:rsid w:val="10B073BA"/>
    <w:rsid w:val="10DD6C9B"/>
    <w:rsid w:val="11083E20"/>
    <w:rsid w:val="11092554"/>
    <w:rsid w:val="11AA24FD"/>
    <w:rsid w:val="11C20CDA"/>
    <w:rsid w:val="1223113B"/>
    <w:rsid w:val="12B70C09"/>
    <w:rsid w:val="12FC2F58"/>
    <w:rsid w:val="13B42E6E"/>
    <w:rsid w:val="13E052F2"/>
    <w:rsid w:val="15A96E8E"/>
    <w:rsid w:val="166964AE"/>
    <w:rsid w:val="16841B32"/>
    <w:rsid w:val="16EB48CA"/>
    <w:rsid w:val="16F83CCC"/>
    <w:rsid w:val="172C32DC"/>
    <w:rsid w:val="179D2AF5"/>
    <w:rsid w:val="17D55AA2"/>
    <w:rsid w:val="185C1419"/>
    <w:rsid w:val="19427F41"/>
    <w:rsid w:val="195B0A3D"/>
    <w:rsid w:val="1A253587"/>
    <w:rsid w:val="1A335425"/>
    <w:rsid w:val="1A5942A7"/>
    <w:rsid w:val="1A941D9B"/>
    <w:rsid w:val="1AAA72DE"/>
    <w:rsid w:val="1B035B15"/>
    <w:rsid w:val="1B0B3E4E"/>
    <w:rsid w:val="1BD114E0"/>
    <w:rsid w:val="1BE035AB"/>
    <w:rsid w:val="1BE67F42"/>
    <w:rsid w:val="1BEE5957"/>
    <w:rsid w:val="1C8E2510"/>
    <w:rsid w:val="1CDA7618"/>
    <w:rsid w:val="1D161AB6"/>
    <w:rsid w:val="1D4243A7"/>
    <w:rsid w:val="1D7A26C2"/>
    <w:rsid w:val="1DF024D9"/>
    <w:rsid w:val="1E9A620A"/>
    <w:rsid w:val="1EEF0961"/>
    <w:rsid w:val="1FAE7864"/>
    <w:rsid w:val="1FC7046D"/>
    <w:rsid w:val="20090B8A"/>
    <w:rsid w:val="20290572"/>
    <w:rsid w:val="206874B7"/>
    <w:rsid w:val="20842DC1"/>
    <w:rsid w:val="20A73122"/>
    <w:rsid w:val="21187343"/>
    <w:rsid w:val="21331419"/>
    <w:rsid w:val="21C44D10"/>
    <w:rsid w:val="21F81C1C"/>
    <w:rsid w:val="22D577EA"/>
    <w:rsid w:val="22F52FD4"/>
    <w:rsid w:val="23323779"/>
    <w:rsid w:val="23C441FD"/>
    <w:rsid w:val="23E475DE"/>
    <w:rsid w:val="23EC5953"/>
    <w:rsid w:val="248837E4"/>
    <w:rsid w:val="24A677F8"/>
    <w:rsid w:val="24AA2F56"/>
    <w:rsid w:val="24CF60B0"/>
    <w:rsid w:val="25BE6F8D"/>
    <w:rsid w:val="25C943C5"/>
    <w:rsid w:val="25E34B2B"/>
    <w:rsid w:val="260B268B"/>
    <w:rsid w:val="26521C15"/>
    <w:rsid w:val="26A64885"/>
    <w:rsid w:val="26EA71AD"/>
    <w:rsid w:val="26FD6C27"/>
    <w:rsid w:val="271322F2"/>
    <w:rsid w:val="27450E75"/>
    <w:rsid w:val="27E65EE2"/>
    <w:rsid w:val="27F307FF"/>
    <w:rsid w:val="2814644F"/>
    <w:rsid w:val="28383773"/>
    <w:rsid w:val="2857700E"/>
    <w:rsid w:val="28AA0D06"/>
    <w:rsid w:val="28CA1668"/>
    <w:rsid w:val="2972212D"/>
    <w:rsid w:val="2AC92E7C"/>
    <w:rsid w:val="2AE12170"/>
    <w:rsid w:val="2AF922DA"/>
    <w:rsid w:val="2B4638D7"/>
    <w:rsid w:val="2BE97B86"/>
    <w:rsid w:val="2C544614"/>
    <w:rsid w:val="2C7A499C"/>
    <w:rsid w:val="2CE03B1D"/>
    <w:rsid w:val="2D00666F"/>
    <w:rsid w:val="2D593E39"/>
    <w:rsid w:val="2D5F0694"/>
    <w:rsid w:val="2D871C49"/>
    <w:rsid w:val="2DF25672"/>
    <w:rsid w:val="2DFA4447"/>
    <w:rsid w:val="2E032E24"/>
    <w:rsid w:val="2EA46D0B"/>
    <w:rsid w:val="2EB5592C"/>
    <w:rsid w:val="2EB95665"/>
    <w:rsid w:val="2F675574"/>
    <w:rsid w:val="2F8564F0"/>
    <w:rsid w:val="300A64DA"/>
    <w:rsid w:val="30BC0883"/>
    <w:rsid w:val="318A2AD7"/>
    <w:rsid w:val="31CA6EA6"/>
    <w:rsid w:val="323D6CC7"/>
    <w:rsid w:val="3302084A"/>
    <w:rsid w:val="33265E11"/>
    <w:rsid w:val="33854115"/>
    <w:rsid w:val="33FD0364"/>
    <w:rsid w:val="34335A93"/>
    <w:rsid w:val="34F66913"/>
    <w:rsid w:val="3521541E"/>
    <w:rsid w:val="362E5CF8"/>
    <w:rsid w:val="366543C1"/>
    <w:rsid w:val="36762BA3"/>
    <w:rsid w:val="368A0E82"/>
    <w:rsid w:val="368F43E0"/>
    <w:rsid w:val="37774330"/>
    <w:rsid w:val="37B66C1D"/>
    <w:rsid w:val="38130EFB"/>
    <w:rsid w:val="38197428"/>
    <w:rsid w:val="38412289"/>
    <w:rsid w:val="38D21797"/>
    <w:rsid w:val="39604374"/>
    <w:rsid w:val="3A0204B0"/>
    <w:rsid w:val="3A8D4DC4"/>
    <w:rsid w:val="3BE026D3"/>
    <w:rsid w:val="3C2851C7"/>
    <w:rsid w:val="3C646F18"/>
    <w:rsid w:val="3C9E63B0"/>
    <w:rsid w:val="3CA41B38"/>
    <w:rsid w:val="3CA47700"/>
    <w:rsid w:val="3CAB17E3"/>
    <w:rsid w:val="3D214459"/>
    <w:rsid w:val="3D426F97"/>
    <w:rsid w:val="3D5615E4"/>
    <w:rsid w:val="3D966A38"/>
    <w:rsid w:val="3DC84E04"/>
    <w:rsid w:val="3DD434B3"/>
    <w:rsid w:val="3E1D38A5"/>
    <w:rsid w:val="3E464808"/>
    <w:rsid w:val="3E817948"/>
    <w:rsid w:val="3E897ECA"/>
    <w:rsid w:val="3E8C6883"/>
    <w:rsid w:val="3F195D54"/>
    <w:rsid w:val="3F8A4D4E"/>
    <w:rsid w:val="3FA6789C"/>
    <w:rsid w:val="3FA85F65"/>
    <w:rsid w:val="3FAB357F"/>
    <w:rsid w:val="40426CFF"/>
    <w:rsid w:val="40B53E71"/>
    <w:rsid w:val="40BC4CC6"/>
    <w:rsid w:val="40D8780D"/>
    <w:rsid w:val="40E126CF"/>
    <w:rsid w:val="41592380"/>
    <w:rsid w:val="41712545"/>
    <w:rsid w:val="417A5E80"/>
    <w:rsid w:val="41B622FC"/>
    <w:rsid w:val="43531687"/>
    <w:rsid w:val="435F4FA9"/>
    <w:rsid w:val="43DA4BE6"/>
    <w:rsid w:val="4425635B"/>
    <w:rsid w:val="46A451F1"/>
    <w:rsid w:val="46EC761F"/>
    <w:rsid w:val="4792230F"/>
    <w:rsid w:val="4813496D"/>
    <w:rsid w:val="48A77AA5"/>
    <w:rsid w:val="48B664FC"/>
    <w:rsid w:val="49145521"/>
    <w:rsid w:val="498E0CA4"/>
    <w:rsid w:val="49BE02BB"/>
    <w:rsid w:val="4A7A52B1"/>
    <w:rsid w:val="4AF64032"/>
    <w:rsid w:val="4BEA3480"/>
    <w:rsid w:val="4C385B41"/>
    <w:rsid w:val="4C481D55"/>
    <w:rsid w:val="4CA949A9"/>
    <w:rsid w:val="4CD5083C"/>
    <w:rsid w:val="4CE51F9A"/>
    <w:rsid w:val="4CED58FA"/>
    <w:rsid w:val="4E0021B2"/>
    <w:rsid w:val="4E436291"/>
    <w:rsid w:val="4FBB1116"/>
    <w:rsid w:val="50543181"/>
    <w:rsid w:val="50DF155E"/>
    <w:rsid w:val="50F56CF0"/>
    <w:rsid w:val="512242FE"/>
    <w:rsid w:val="51C97BBF"/>
    <w:rsid w:val="51EA1D26"/>
    <w:rsid w:val="52EF4BB8"/>
    <w:rsid w:val="536D72D2"/>
    <w:rsid w:val="53960005"/>
    <w:rsid w:val="53AA722F"/>
    <w:rsid w:val="53AC0B72"/>
    <w:rsid w:val="54251333"/>
    <w:rsid w:val="54AE6EC7"/>
    <w:rsid w:val="554415DC"/>
    <w:rsid w:val="55494FD4"/>
    <w:rsid w:val="55C20011"/>
    <w:rsid w:val="55E61AFF"/>
    <w:rsid w:val="565379FF"/>
    <w:rsid w:val="57072162"/>
    <w:rsid w:val="570B4FA7"/>
    <w:rsid w:val="574C2137"/>
    <w:rsid w:val="579A3D60"/>
    <w:rsid w:val="58075B56"/>
    <w:rsid w:val="58493EB6"/>
    <w:rsid w:val="593019E2"/>
    <w:rsid w:val="593C75C7"/>
    <w:rsid w:val="599A3559"/>
    <w:rsid w:val="59B87709"/>
    <w:rsid w:val="59FE53C4"/>
    <w:rsid w:val="5C1B3CCA"/>
    <w:rsid w:val="5C9B311D"/>
    <w:rsid w:val="5CE7213F"/>
    <w:rsid w:val="5D1E7C7A"/>
    <w:rsid w:val="5D2261BF"/>
    <w:rsid w:val="5D934896"/>
    <w:rsid w:val="5DA60845"/>
    <w:rsid w:val="5DC700AC"/>
    <w:rsid w:val="5E816297"/>
    <w:rsid w:val="5EAB6923"/>
    <w:rsid w:val="5EF618D0"/>
    <w:rsid w:val="5F071FB9"/>
    <w:rsid w:val="5F3F3136"/>
    <w:rsid w:val="5F5011FF"/>
    <w:rsid w:val="5FDA484C"/>
    <w:rsid w:val="608B3AFB"/>
    <w:rsid w:val="60B65F0D"/>
    <w:rsid w:val="60E34D96"/>
    <w:rsid w:val="619A2167"/>
    <w:rsid w:val="623B2CB3"/>
    <w:rsid w:val="629264AC"/>
    <w:rsid w:val="62A36967"/>
    <w:rsid w:val="62BB7CBD"/>
    <w:rsid w:val="632E588E"/>
    <w:rsid w:val="63705DC0"/>
    <w:rsid w:val="63CC5949"/>
    <w:rsid w:val="642466E9"/>
    <w:rsid w:val="64625332"/>
    <w:rsid w:val="648D0EDA"/>
    <w:rsid w:val="64CD1662"/>
    <w:rsid w:val="64D36723"/>
    <w:rsid w:val="64D62681"/>
    <w:rsid w:val="64D80566"/>
    <w:rsid w:val="64EC10AA"/>
    <w:rsid w:val="65225251"/>
    <w:rsid w:val="65875AF4"/>
    <w:rsid w:val="65B03FB5"/>
    <w:rsid w:val="65F8565E"/>
    <w:rsid w:val="6613276C"/>
    <w:rsid w:val="66655185"/>
    <w:rsid w:val="668B3E0C"/>
    <w:rsid w:val="66BF2E07"/>
    <w:rsid w:val="66DB5933"/>
    <w:rsid w:val="679A0DCD"/>
    <w:rsid w:val="67C8346E"/>
    <w:rsid w:val="681F3395"/>
    <w:rsid w:val="682F51E4"/>
    <w:rsid w:val="688517EC"/>
    <w:rsid w:val="6921269F"/>
    <w:rsid w:val="693A49B4"/>
    <w:rsid w:val="69746A03"/>
    <w:rsid w:val="699C0F0D"/>
    <w:rsid w:val="69A9280D"/>
    <w:rsid w:val="69AE51A1"/>
    <w:rsid w:val="69B8596F"/>
    <w:rsid w:val="69D66878"/>
    <w:rsid w:val="6ABD0607"/>
    <w:rsid w:val="6B30032E"/>
    <w:rsid w:val="6B817B40"/>
    <w:rsid w:val="6B83140C"/>
    <w:rsid w:val="6B992224"/>
    <w:rsid w:val="6BDC6139"/>
    <w:rsid w:val="6BF440B4"/>
    <w:rsid w:val="6C0E14D9"/>
    <w:rsid w:val="6C402AEF"/>
    <w:rsid w:val="6C5C177D"/>
    <w:rsid w:val="6D0C7B83"/>
    <w:rsid w:val="6D286A0A"/>
    <w:rsid w:val="6D324F4A"/>
    <w:rsid w:val="6D901208"/>
    <w:rsid w:val="6DA00278"/>
    <w:rsid w:val="6DD96D14"/>
    <w:rsid w:val="6E3C5E59"/>
    <w:rsid w:val="6E8F3418"/>
    <w:rsid w:val="6E9F7FEC"/>
    <w:rsid w:val="6EB1331C"/>
    <w:rsid w:val="6EFC4A05"/>
    <w:rsid w:val="6EFC5730"/>
    <w:rsid w:val="6F262747"/>
    <w:rsid w:val="6F480F3A"/>
    <w:rsid w:val="6F892DD5"/>
    <w:rsid w:val="6FAE161E"/>
    <w:rsid w:val="6FCF7588"/>
    <w:rsid w:val="70466525"/>
    <w:rsid w:val="704C77E6"/>
    <w:rsid w:val="708527A6"/>
    <w:rsid w:val="70AA5422"/>
    <w:rsid w:val="70E76877"/>
    <w:rsid w:val="71520665"/>
    <w:rsid w:val="717739F7"/>
    <w:rsid w:val="71AD421A"/>
    <w:rsid w:val="71D12CBC"/>
    <w:rsid w:val="71DE22D6"/>
    <w:rsid w:val="725E78EF"/>
    <w:rsid w:val="7284274F"/>
    <w:rsid w:val="72A92686"/>
    <w:rsid w:val="72FA16C8"/>
    <w:rsid w:val="73612FC3"/>
    <w:rsid w:val="737862EF"/>
    <w:rsid w:val="73EA26BD"/>
    <w:rsid w:val="73F53582"/>
    <w:rsid w:val="740123CF"/>
    <w:rsid w:val="743B200D"/>
    <w:rsid w:val="744279F8"/>
    <w:rsid w:val="748156A5"/>
    <w:rsid w:val="74B754B2"/>
    <w:rsid w:val="74E87FCE"/>
    <w:rsid w:val="75F91464"/>
    <w:rsid w:val="76A55039"/>
    <w:rsid w:val="76C4137E"/>
    <w:rsid w:val="777B73AE"/>
    <w:rsid w:val="77DA0A9A"/>
    <w:rsid w:val="795F650B"/>
    <w:rsid w:val="79917DE6"/>
    <w:rsid w:val="79BF3A6E"/>
    <w:rsid w:val="7A0751AA"/>
    <w:rsid w:val="7A5540D5"/>
    <w:rsid w:val="7ABA5224"/>
    <w:rsid w:val="7B1A1AA1"/>
    <w:rsid w:val="7B2A3BEF"/>
    <w:rsid w:val="7BC34BB3"/>
    <w:rsid w:val="7BE11577"/>
    <w:rsid w:val="7BF74763"/>
    <w:rsid w:val="7CE3218F"/>
    <w:rsid w:val="7D55020A"/>
    <w:rsid w:val="7D5E7E17"/>
    <w:rsid w:val="7D641CEE"/>
    <w:rsid w:val="7E23053A"/>
    <w:rsid w:val="7E3311C2"/>
    <w:rsid w:val="7ECB1CE0"/>
    <w:rsid w:val="7F3E50D0"/>
    <w:rsid w:val="7FBB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ind w:left="1756"/>
      <w:outlineLvl w:val="0"/>
    </w:pPr>
    <w:rPr>
      <w:rFonts w:ascii="方正小标宋简体" w:hAnsi="方正小标宋简体" w:eastAsia="方正小标宋简体"/>
      <w:sz w:val="40"/>
      <w:szCs w:val="40"/>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eastAsia="方正仿宋_GBK"/>
    </w:rPr>
  </w:style>
  <w:style w:type="paragraph" w:styleId="4">
    <w:name w:val="Body Text"/>
    <w:basedOn w:val="1"/>
    <w:qFormat/>
    <w:uiPriority w:val="99"/>
    <w:pPr>
      <w:spacing w:before="9"/>
      <w:ind w:left="111"/>
    </w:pPr>
    <w:rPr>
      <w:rFonts w:ascii="仿宋_GB2312" w:hAnsi="仿宋_GB2312"/>
      <w:sz w:val="31"/>
      <w:szCs w:val="31"/>
    </w:rPr>
  </w:style>
  <w:style w:type="paragraph" w:styleId="5">
    <w:name w:val="Plain Text"/>
    <w:basedOn w:val="1"/>
    <w:unhideWhenUsed/>
    <w:qFormat/>
    <w:uiPriority w:val="99"/>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List Paragraph"/>
    <w:basedOn w:val="1"/>
    <w:qFormat/>
    <w:uiPriority w:val="34"/>
    <w:pPr>
      <w:ind w:firstLine="420" w:firstLineChars="200"/>
    </w:pPr>
  </w:style>
  <w:style w:type="character" w:customStyle="1" w:styleId="16">
    <w:name w:val="讨论疑问"/>
    <w:qFormat/>
    <w:uiPriority w:val="1"/>
    <w:rPr>
      <w:i/>
      <w:iCs/>
      <w:color w:val="1F497D"/>
      <w:u w:val="double" w:color="FF0000"/>
    </w:rPr>
  </w:style>
  <w:style w:type="character" w:customStyle="1" w:styleId="17">
    <w:name w:val="Subtle Emphasis"/>
    <w:qFormat/>
    <w:uiPriority w:val="19"/>
    <w:rPr>
      <w:i/>
      <w:iCs/>
      <w:color w:val="548DD4"/>
    </w:rPr>
  </w:style>
  <w:style w:type="paragraph" w:customStyle="1" w:styleId="18">
    <w:name w:val="Table Paragraph"/>
    <w:basedOn w:val="1"/>
    <w:qFormat/>
    <w:uiPriority w:val="99"/>
  </w:style>
  <w:style w:type="paragraph" w:customStyle="1" w:styleId="19">
    <w:name w:val="_Style 1"/>
    <w:basedOn w:val="1"/>
    <w:qFormat/>
    <w:uiPriority w:val="34"/>
    <w:pPr>
      <w:ind w:firstLine="420" w:firstLineChars="200"/>
    </w:pPr>
    <w:rPr>
      <w:rFonts w:ascii="Calibri" w:hAnsi="Calibri" w:eastAsia="宋体" w:cs="Times New Roman"/>
    </w:rPr>
  </w:style>
  <w:style w:type="paragraph" w:customStyle="1" w:styleId="20">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9236</Words>
  <Characters>9487</Characters>
  <Lines>0</Lines>
  <Paragraphs>0</Paragraphs>
  <TotalTime>1</TotalTime>
  <ScaleCrop>false</ScaleCrop>
  <LinksUpToDate>false</LinksUpToDate>
  <CharactersWithSpaces>10468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2019-02-22T08:12:00Z</dcterms:created>
  <dc:creator>gyb1</dc:creator>
  <cp:lastModifiedBy>佚之狐1366935377</cp:lastModifiedBy>
  <cp:lastPrinted>2020-05-06T01:37:00Z</cp:lastPrinted>
  <dcterms:modified xsi:type="dcterms:W3CDTF">2020-05-06T02:51:50Z</dcterms:modified>
  <dc:title>六市监秘〔2020〕71号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